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1D" w:rsidRDefault="001B0F61" w:rsidP="00851E1D">
      <w:pPr>
        <w:jc w:val="center"/>
        <w:rPr>
          <w:rFonts w:ascii="Times New Roman" w:hAnsi="Times New Roman"/>
          <w:b/>
          <w:szCs w:val="24"/>
          <w:lang w:val="es-ES"/>
        </w:rPr>
        <w:sectPr w:rsidR="00851E1D" w:rsidSect="00254F6B">
          <w:headerReference w:type="default" r:id="rId7"/>
          <w:footerReference w:type="default" r:id="rId8"/>
          <w:type w:val="continuous"/>
          <w:pgSz w:w="12242" w:h="15842" w:code="119"/>
          <w:pgMar w:top="1985" w:right="1417" w:bottom="2268" w:left="1701" w:header="567" w:footer="454" w:gutter="0"/>
          <w:cols w:space="708"/>
          <w:docGrid w:linePitch="360"/>
        </w:sectPr>
      </w:pPr>
      <w:r w:rsidRPr="004F1C6A">
        <w:rPr>
          <w:rFonts w:ascii="Times New Roman" w:hAnsi="Times New Roman"/>
          <w:b/>
          <w:szCs w:val="24"/>
          <w:lang w:val="es-ES"/>
        </w:rPr>
        <w:t>MEMORANDO</w:t>
      </w:r>
    </w:p>
    <w:p w:rsidR="00851E1D" w:rsidRPr="004F1C6A" w:rsidRDefault="001B0F61" w:rsidP="00851E1D">
      <w:pPr>
        <w:rPr>
          <w:rFonts w:ascii="Times New Roman" w:hAnsi="Times New Roman"/>
          <w:b/>
          <w:szCs w:val="24"/>
          <w:lang w:val="es-ES"/>
        </w:rPr>
      </w:pPr>
    </w:p>
    <w:p w:rsidR="00851E1D" w:rsidRDefault="001B0F61" w:rsidP="00E574B9">
      <w:pPr>
        <w:ind w:left="1134" w:hanging="1134"/>
        <w:rPr>
          <w:rFonts w:ascii="Times New Roman" w:hAnsi="Times New Roman"/>
          <w:b/>
          <w:szCs w:val="24"/>
          <w:lang w:val="es-ES"/>
        </w:rPr>
      </w:pPr>
      <w:r w:rsidRPr="004F1C6A">
        <w:rPr>
          <w:rFonts w:ascii="Times New Roman" w:hAnsi="Times New Roman"/>
          <w:b/>
          <w:szCs w:val="24"/>
          <w:lang w:val="es-ES"/>
        </w:rPr>
        <w:t>Para:</w:t>
      </w:r>
      <w:r>
        <w:rPr>
          <w:rFonts w:ascii="Times New Roman" w:hAnsi="Times New Roman"/>
          <w:b/>
          <w:szCs w:val="24"/>
          <w:lang w:val="es-ES"/>
        </w:rPr>
        <w:tab/>
        <w:t xml:space="preserve">JULIÁN FABRIZZIO HUÉRFANO ARDILA </w:t>
      </w:r>
    </w:p>
    <w:p w:rsidR="0069720A" w:rsidRPr="0069720A" w:rsidRDefault="001B0F61" w:rsidP="0069720A">
      <w:pPr>
        <w:ind w:left="1134"/>
        <w:rPr>
          <w:rFonts w:ascii="Times New Roman" w:hAnsi="Times New Roman"/>
          <w:color w:val="000000"/>
          <w:szCs w:val="24"/>
          <w:lang w:val="es-ES"/>
        </w:rPr>
      </w:pPr>
      <w:r w:rsidRPr="0069720A">
        <w:rPr>
          <w:rFonts w:ascii="Times New Roman" w:hAnsi="Times New Roman"/>
          <w:szCs w:val="24"/>
          <w:lang w:val="es-ES"/>
        </w:rPr>
        <w:t xml:space="preserve">Subsecretario de Gestión Corporativa </w:t>
      </w:r>
    </w:p>
    <w:p w:rsidR="00E22D00" w:rsidRDefault="001B0F61" w:rsidP="00E574B9">
      <w:pPr>
        <w:ind w:left="1134" w:hanging="1134"/>
      </w:pPr>
    </w:p>
    <w:p w:rsidR="0069720A" w:rsidRDefault="001B0F61" w:rsidP="00E574B9">
      <w:pPr>
        <w:ind w:left="1134" w:hanging="1134"/>
        <w:jc w:val="left"/>
        <w:rPr>
          <w:rFonts w:ascii="Times New Roman" w:hAnsi="Times New Roman"/>
          <w:b/>
          <w:color w:val="000000"/>
          <w:szCs w:val="24"/>
          <w:lang w:val="es-ES"/>
        </w:rPr>
      </w:pPr>
      <w:r w:rsidRPr="004F1C6A">
        <w:rPr>
          <w:rFonts w:ascii="Times New Roman" w:hAnsi="Times New Roman"/>
          <w:b/>
          <w:color w:val="000000"/>
          <w:szCs w:val="24"/>
          <w:lang w:val="es-ES"/>
        </w:rPr>
        <w:t>De:</w:t>
      </w:r>
      <w:r>
        <w:rPr>
          <w:rFonts w:ascii="Times New Roman" w:hAnsi="Times New Roman"/>
          <w:b/>
          <w:color w:val="000000"/>
          <w:szCs w:val="24"/>
          <w:lang w:val="es-ES"/>
        </w:rPr>
        <w:tab/>
        <w:t>ARIEL ELIÉCER CARRERO M</w:t>
      </w:r>
      <w:r>
        <w:rPr>
          <w:rFonts w:ascii="Times New Roman" w:hAnsi="Times New Roman"/>
          <w:b/>
          <w:color w:val="000000"/>
          <w:szCs w:val="24"/>
          <w:lang w:val="es-ES"/>
        </w:rPr>
        <w:t xml:space="preserve">ONTAÑEZ </w:t>
      </w:r>
    </w:p>
    <w:p w:rsidR="00851E1D" w:rsidRPr="0069720A" w:rsidRDefault="001B0F61" w:rsidP="00E574B9">
      <w:pPr>
        <w:ind w:left="1134" w:hanging="1134"/>
        <w:jc w:val="left"/>
        <w:rPr>
          <w:rFonts w:ascii="Times New Roman" w:hAnsi="Times New Roman"/>
          <w:color w:val="000000"/>
          <w:szCs w:val="24"/>
          <w:lang w:val="es-ES"/>
        </w:rPr>
      </w:pPr>
      <w:r w:rsidRPr="0069720A">
        <w:rPr>
          <w:rFonts w:ascii="Times New Roman" w:hAnsi="Times New Roman"/>
          <w:color w:val="000000"/>
          <w:szCs w:val="24"/>
          <w:lang w:val="es-ES"/>
        </w:rPr>
        <w:tab/>
        <w:t xml:space="preserve">Dirección de Estratificación </w:t>
      </w:r>
      <w:r w:rsidRPr="0069720A">
        <w:rPr>
          <w:rFonts w:ascii="Times New Roman" w:hAnsi="Times New Roman"/>
          <w:color w:val="000000"/>
          <w:szCs w:val="24"/>
          <w:lang w:val="es-ES"/>
        </w:rPr>
        <w:tab/>
      </w:r>
    </w:p>
    <w:p w:rsidR="00851E1D" w:rsidRDefault="001B0F61" w:rsidP="00E574B9">
      <w:pPr>
        <w:ind w:left="1134" w:hanging="1134"/>
        <w:rPr>
          <w:rFonts w:ascii="Times New Roman" w:hAnsi="Times New Roman"/>
          <w:b/>
          <w:szCs w:val="24"/>
          <w:lang w:val="es-ES"/>
        </w:rPr>
      </w:pPr>
    </w:p>
    <w:p w:rsidR="00851E1D" w:rsidRDefault="001B0F61" w:rsidP="00E574B9">
      <w:pPr>
        <w:ind w:left="1134" w:hanging="1134"/>
        <w:rPr>
          <w:rFonts w:ascii="Times New Roman" w:hAnsi="Times New Roman"/>
          <w:b/>
          <w:szCs w:val="24"/>
          <w:lang w:val="es-ES"/>
        </w:rPr>
        <w:sectPr w:rsidR="00851E1D" w:rsidSect="00342187">
          <w:type w:val="continuous"/>
          <w:pgSz w:w="12242" w:h="15842" w:code="119"/>
          <w:pgMar w:top="1985" w:right="1418" w:bottom="2268" w:left="1701" w:header="567" w:footer="454" w:gutter="0"/>
          <w:cols w:space="708"/>
          <w:docGrid w:linePitch="360"/>
        </w:sectPr>
      </w:pPr>
    </w:p>
    <w:p w:rsidR="00851E1D" w:rsidRPr="004F1C6A" w:rsidRDefault="001B0F61" w:rsidP="00851E1D">
      <w:pPr>
        <w:rPr>
          <w:rFonts w:ascii="Times New Roman" w:hAnsi="Times New Roman"/>
          <w:szCs w:val="24"/>
          <w:lang w:val="es-ES"/>
        </w:rPr>
      </w:pPr>
      <w:r w:rsidRPr="004F1C6A">
        <w:rPr>
          <w:rFonts w:ascii="Times New Roman" w:hAnsi="Times New Roman"/>
          <w:b/>
          <w:szCs w:val="24"/>
          <w:lang w:val="es-ES"/>
        </w:rPr>
        <w:lastRenderedPageBreak/>
        <w:t xml:space="preserve">Fecha: </w:t>
      </w:r>
      <w:bookmarkStart w:id="11" w:name="dia"/>
      <w:r w:rsidRPr="004F1C6A">
        <w:rPr>
          <w:rFonts w:ascii="Times New Roman" w:hAnsi="Times New Roman"/>
          <w:szCs w:val="24"/>
          <w:lang w:val="es-ES"/>
        </w:rPr>
        <w:t>13</w:t>
      </w:r>
      <w:bookmarkEnd w:id="11"/>
      <w:r w:rsidRPr="004F1C6A">
        <w:rPr>
          <w:rFonts w:ascii="Times New Roman" w:hAnsi="Times New Roman"/>
          <w:szCs w:val="24"/>
          <w:lang w:val="es-ES"/>
        </w:rPr>
        <w:t xml:space="preserve"> de </w:t>
      </w:r>
      <w:bookmarkStart w:id="12" w:name="mes"/>
      <w:r w:rsidRPr="004F1C6A">
        <w:rPr>
          <w:rFonts w:ascii="Times New Roman" w:hAnsi="Times New Roman"/>
          <w:szCs w:val="24"/>
          <w:lang w:val="es-ES"/>
        </w:rPr>
        <w:t>octubre</w:t>
      </w:r>
      <w:bookmarkEnd w:id="12"/>
      <w:r w:rsidRPr="004F1C6A">
        <w:rPr>
          <w:rFonts w:ascii="Times New Roman" w:hAnsi="Times New Roman"/>
          <w:szCs w:val="24"/>
          <w:lang w:val="es-ES"/>
        </w:rPr>
        <w:t xml:space="preserve"> de </w:t>
      </w:r>
      <w:bookmarkStart w:id="13" w:name="anio"/>
      <w:r w:rsidRPr="004F1C6A">
        <w:rPr>
          <w:rFonts w:ascii="Times New Roman" w:hAnsi="Times New Roman"/>
          <w:szCs w:val="24"/>
          <w:lang w:val="es-ES"/>
        </w:rPr>
        <w:t>2015</w:t>
      </w:r>
      <w:bookmarkEnd w:id="13"/>
    </w:p>
    <w:p w:rsidR="00851E1D" w:rsidRDefault="001B0F61" w:rsidP="00851E1D">
      <w:pPr>
        <w:rPr>
          <w:rFonts w:ascii="Times New Roman" w:hAnsi="Times New Roman"/>
          <w:b/>
          <w:szCs w:val="24"/>
          <w:lang w:val="es-ES"/>
        </w:rPr>
        <w:sectPr w:rsidR="00851E1D" w:rsidSect="00254F6B">
          <w:type w:val="continuous"/>
          <w:pgSz w:w="12242" w:h="15842" w:code="119"/>
          <w:pgMar w:top="1985" w:right="1417" w:bottom="2268" w:left="1701" w:header="567" w:footer="454" w:gutter="0"/>
          <w:cols w:space="708"/>
          <w:docGrid w:linePitch="360"/>
        </w:sectPr>
      </w:pPr>
    </w:p>
    <w:p w:rsidR="00851E1D" w:rsidRDefault="001B0F61" w:rsidP="00851E1D">
      <w:pPr>
        <w:rPr>
          <w:rFonts w:ascii="Times New Roman" w:hAnsi="Times New Roman"/>
          <w:b/>
          <w:szCs w:val="24"/>
          <w:lang w:val="es-ES"/>
        </w:rPr>
      </w:pPr>
    </w:p>
    <w:p w:rsidR="00851E1D" w:rsidRDefault="001B0F61" w:rsidP="0001310D">
      <w:pPr>
        <w:ind w:left="1134" w:hanging="1134"/>
        <w:rPr>
          <w:rFonts w:ascii="Times New Roman" w:hAnsi="Times New Roman"/>
          <w:b/>
          <w:szCs w:val="24"/>
          <w:lang w:val="es-ES"/>
        </w:rPr>
      </w:pPr>
      <w:r w:rsidRPr="004F1C6A">
        <w:rPr>
          <w:rFonts w:ascii="Times New Roman" w:hAnsi="Times New Roman"/>
          <w:b/>
          <w:szCs w:val="24"/>
          <w:lang w:val="es-ES"/>
        </w:rPr>
        <w:t>Radicado</w:t>
      </w:r>
      <w:bookmarkStart w:id="14" w:name="radicado"/>
      <w:r w:rsidRPr="004F1C6A">
        <w:rPr>
          <w:rFonts w:ascii="Times New Roman" w:hAnsi="Times New Roman"/>
          <w:b/>
          <w:szCs w:val="24"/>
          <w:lang w:val="es-ES"/>
        </w:rPr>
        <w:t>:</w:t>
      </w:r>
      <w:r>
        <w:rPr>
          <w:rFonts w:ascii="Times New Roman" w:hAnsi="Times New Roman"/>
          <w:b/>
          <w:szCs w:val="24"/>
          <w:lang w:val="es-ES"/>
        </w:rPr>
        <w:t xml:space="preserve"> Respuesta 3-2015-14492</w:t>
      </w:r>
    </w:p>
    <w:bookmarkEnd w:id="14"/>
    <w:p w:rsidR="00851E1D" w:rsidRDefault="001B0F61" w:rsidP="0001310D">
      <w:pPr>
        <w:ind w:left="1134" w:hanging="1134"/>
        <w:rPr>
          <w:rFonts w:ascii="Times New Roman" w:hAnsi="Times New Roman"/>
          <w:b/>
          <w:szCs w:val="24"/>
          <w:lang w:val="es-ES"/>
        </w:rPr>
      </w:pPr>
    </w:p>
    <w:p w:rsidR="00851E1D" w:rsidRPr="004F1C6A" w:rsidRDefault="001B0F61" w:rsidP="0001310D">
      <w:pPr>
        <w:ind w:left="1134" w:hanging="1134"/>
        <w:rPr>
          <w:rFonts w:ascii="Times New Roman" w:hAnsi="Times New Roman"/>
          <w:b/>
          <w:szCs w:val="24"/>
          <w:lang w:val="es-ES"/>
        </w:rPr>
      </w:pPr>
      <w:r w:rsidRPr="004F1C6A">
        <w:rPr>
          <w:rFonts w:ascii="Times New Roman" w:hAnsi="Times New Roman"/>
          <w:b/>
          <w:szCs w:val="24"/>
          <w:lang w:val="es-ES"/>
        </w:rPr>
        <w:t>Asunto</w:t>
      </w:r>
      <w:r>
        <w:rPr>
          <w:rFonts w:ascii="Times New Roman" w:hAnsi="Times New Roman"/>
          <w:b/>
          <w:szCs w:val="24"/>
          <w:lang w:val="es-ES"/>
        </w:rPr>
        <w:t>:</w:t>
      </w:r>
      <w:bookmarkStart w:id="15" w:name="asunto"/>
      <w:r w:rsidRPr="0069720A">
        <w:rPr>
          <w:rFonts w:ascii="Times New Roman" w:hAnsi="Times New Roman"/>
          <w:szCs w:val="24"/>
          <w:lang w:val="es-ES"/>
        </w:rPr>
        <w:t xml:space="preserve">Informe de Empalme </w:t>
      </w:r>
    </w:p>
    <w:bookmarkEnd w:id="15"/>
    <w:p w:rsidR="00851E1D" w:rsidRDefault="001B0F61" w:rsidP="00851E1D">
      <w:pPr>
        <w:rPr>
          <w:rFonts w:ascii="Times New Roman" w:hAnsi="Times New Roman"/>
          <w:szCs w:val="24"/>
          <w:lang w:val="es-ES"/>
        </w:rPr>
      </w:pPr>
    </w:p>
    <w:p w:rsidR="0069720A" w:rsidRDefault="001B0F61" w:rsidP="00851E1D">
      <w:pPr>
        <w:rPr>
          <w:rFonts w:ascii="Times New Roman" w:hAnsi="Times New Roman"/>
          <w:szCs w:val="24"/>
          <w:lang w:val="es-ES"/>
        </w:rPr>
      </w:pPr>
    </w:p>
    <w:p w:rsidR="0069720A" w:rsidRDefault="001B0F61" w:rsidP="00851E1D">
      <w:pPr>
        <w:rPr>
          <w:rFonts w:ascii="Times New Roman" w:hAnsi="Times New Roman"/>
          <w:szCs w:val="24"/>
          <w:lang w:val="es-ES"/>
        </w:rPr>
      </w:pPr>
      <w:r>
        <w:rPr>
          <w:rFonts w:ascii="Times New Roman" w:hAnsi="Times New Roman"/>
          <w:szCs w:val="24"/>
          <w:lang w:val="es-ES"/>
        </w:rPr>
        <w:t xml:space="preserve">En atención a la solicitud realizada por la Subsecretaría </w:t>
      </w:r>
      <w:r w:rsidRPr="0069720A">
        <w:rPr>
          <w:rFonts w:ascii="Times New Roman" w:hAnsi="Times New Roman"/>
          <w:szCs w:val="24"/>
          <w:lang w:val="es-ES"/>
        </w:rPr>
        <w:t xml:space="preserve">de </w:t>
      </w:r>
      <w:r w:rsidRPr="0069720A">
        <w:rPr>
          <w:rFonts w:ascii="Times New Roman" w:hAnsi="Times New Roman"/>
          <w:szCs w:val="24"/>
          <w:lang w:val="es-ES"/>
        </w:rPr>
        <w:t>Gestión Corporativa</w:t>
      </w:r>
      <w:r>
        <w:rPr>
          <w:rFonts w:ascii="Times New Roman" w:hAnsi="Times New Roman"/>
          <w:szCs w:val="24"/>
          <w:lang w:val="es-ES"/>
        </w:rPr>
        <w:t xml:space="preserve">, a continuación remito el informe de avance en la ejecución de los convenios 166 de 2014, 168 de 2014, 197 de 2015 y 123 de 2015, los cuales se encuentra bajo mi supervisión con corte 30 de septiembre del año en curso:  </w:t>
      </w:r>
    </w:p>
    <w:p w:rsidR="0069720A" w:rsidRDefault="001B0F61" w:rsidP="00851E1D">
      <w:pPr>
        <w:rPr>
          <w:rFonts w:ascii="Times New Roman" w:hAnsi="Times New Roman"/>
          <w:szCs w:val="24"/>
          <w:lang w:val="es-ES"/>
        </w:rPr>
      </w:pPr>
    </w:p>
    <w:p w:rsidR="0069720A" w:rsidRDefault="001B0F61" w:rsidP="0069720A">
      <w:pPr>
        <w:rPr>
          <w:b/>
        </w:rPr>
      </w:pPr>
    </w:p>
    <w:p w:rsidR="0069720A" w:rsidRPr="0069720A" w:rsidRDefault="001B0F61" w:rsidP="0069720A">
      <w:pPr>
        <w:numPr>
          <w:ilvl w:val="0"/>
          <w:numId w:val="2"/>
        </w:numPr>
        <w:rPr>
          <w:rFonts w:ascii="Times New Roman" w:hAnsi="Times New Roman"/>
          <w:b/>
          <w:szCs w:val="24"/>
          <w:lang w:val="es-ES"/>
        </w:rPr>
      </w:pPr>
      <w:r w:rsidRPr="0069720A">
        <w:rPr>
          <w:rFonts w:ascii="Times New Roman" w:hAnsi="Times New Roman"/>
          <w:b/>
          <w:szCs w:val="24"/>
          <w:lang w:val="es-ES"/>
        </w:rPr>
        <w:t xml:space="preserve">Convenio </w:t>
      </w:r>
      <w:r w:rsidRPr="0069720A">
        <w:rPr>
          <w:rFonts w:ascii="Times New Roman" w:hAnsi="Times New Roman"/>
          <w:b/>
          <w:szCs w:val="24"/>
          <w:lang w:val="es-ES"/>
        </w:rPr>
        <w:t>marco de cooperación ONU – Hábitat – Secretaría Distrital de Planeación No. 166 de 2014.</w:t>
      </w:r>
    </w:p>
    <w:p w:rsidR="0069720A" w:rsidRPr="0069720A" w:rsidRDefault="001B0F61" w:rsidP="0069720A">
      <w:pPr>
        <w:rPr>
          <w:rFonts w:ascii="Times New Roman" w:hAnsi="Times New Roman"/>
          <w:szCs w:val="24"/>
          <w:lang w:val="es-ES"/>
        </w:rPr>
      </w:pPr>
    </w:p>
    <w:p w:rsidR="0069720A" w:rsidRDefault="001B0F61" w:rsidP="0069720A">
      <w:pPr>
        <w:rPr>
          <w:rFonts w:ascii="Times New Roman" w:hAnsi="Times New Roman"/>
          <w:szCs w:val="24"/>
          <w:lang w:val="es-ES"/>
        </w:rPr>
      </w:pPr>
      <w:r w:rsidRPr="0069720A">
        <w:rPr>
          <w:rFonts w:ascii="Times New Roman" w:hAnsi="Times New Roman"/>
          <w:b/>
          <w:szCs w:val="24"/>
          <w:lang w:val="es-ES"/>
        </w:rPr>
        <w:t>Objeto:</w:t>
      </w:r>
      <w:r w:rsidRPr="0069720A">
        <w:rPr>
          <w:rFonts w:ascii="Times New Roman" w:hAnsi="Times New Roman"/>
          <w:szCs w:val="24"/>
          <w:lang w:val="es-ES"/>
        </w:rPr>
        <w:t xml:space="preserve"> “</w:t>
      </w:r>
      <w:r>
        <w:rPr>
          <w:rFonts w:ascii="Times New Roman" w:hAnsi="Times New Roman"/>
          <w:szCs w:val="24"/>
          <w:lang w:val="es-ES"/>
        </w:rPr>
        <w:t>A</w:t>
      </w:r>
      <w:r w:rsidRPr="0069720A">
        <w:rPr>
          <w:rFonts w:ascii="Times New Roman" w:hAnsi="Times New Roman"/>
          <w:szCs w:val="24"/>
          <w:lang w:val="es-ES"/>
        </w:rPr>
        <w:t>unar esfuerzos técnicos y administrativos para proponer estrategias, mecanismos e instrumentos base para la formulación de políticas públicas de subsidios y</w:t>
      </w:r>
      <w:r w:rsidRPr="0069720A">
        <w:rPr>
          <w:rFonts w:ascii="Times New Roman" w:hAnsi="Times New Roman"/>
          <w:szCs w:val="24"/>
          <w:lang w:val="es-ES"/>
        </w:rPr>
        <w:t xml:space="preserve"> contribuciones que aporten al desarrollo de asentamientos humanos bajo los principios de equidad y sostenibilidad fiscal”.</w:t>
      </w:r>
    </w:p>
    <w:p w:rsidR="0069720A" w:rsidRDefault="001B0F61" w:rsidP="0069720A">
      <w:pPr>
        <w:rPr>
          <w:rFonts w:ascii="Times New Roman" w:hAnsi="Times New Roman"/>
          <w:szCs w:val="24"/>
          <w:lang w:val="es-ES"/>
        </w:rPr>
      </w:pPr>
    </w:p>
    <w:p w:rsidR="0069720A" w:rsidRDefault="001B0F61" w:rsidP="0069720A">
      <w:pPr>
        <w:rPr>
          <w:rFonts w:ascii="Times New Roman" w:hAnsi="Times New Roman"/>
          <w:b/>
          <w:szCs w:val="24"/>
          <w:lang w:val="es-ES"/>
        </w:rPr>
      </w:pPr>
      <w:r w:rsidRPr="0069720A">
        <w:rPr>
          <w:rFonts w:ascii="Times New Roman" w:hAnsi="Times New Roman"/>
          <w:b/>
          <w:szCs w:val="24"/>
          <w:lang w:val="es-ES"/>
        </w:rPr>
        <w:t xml:space="preserve">Compromisos y Responsabilidades – Productos Esperados: </w:t>
      </w:r>
    </w:p>
    <w:p w:rsidR="00584575" w:rsidRDefault="001B0F61" w:rsidP="0069720A">
      <w:pPr>
        <w:rPr>
          <w:rFonts w:ascii="Times New Roman" w:hAnsi="Times New Roman"/>
          <w:b/>
          <w:szCs w:val="24"/>
          <w:lang w:val="es-ES"/>
        </w:rPr>
      </w:pPr>
    </w:p>
    <w:p w:rsidR="00584575" w:rsidRPr="00584575" w:rsidRDefault="001B0F61" w:rsidP="0069720A">
      <w:pPr>
        <w:rPr>
          <w:rFonts w:ascii="Times New Roman" w:hAnsi="Times New Roman"/>
          <w:b/>
          <w:szCs w:val="24"/>
        </w:rPr>
      </w:pPr>
      <w:r w:rsidRPr="00584575">
        <w:rPr>
          <w:rFonts w:ascii="Times New Roman" w:hAnsi="Times New Roman"/>
          <w:szCs w:val="24"/>
        </w:rPr>
        <w:t xml:space="preserve">Los compromisos y responsabilidades del Convenio en mención, conjugan en </w:t>
      </w:r>
      <w:r>
        <w:rPr>
          <w:rFonts w:ascii="Times New Roman" w:hAnsi="Times New Roman"/>
          <w:szCs w:val="24"/>
        </w:rPr>
        <w:t>e</w:t>
      </w:r>
      <w:r>
        <w:rPr>
          <w:rFonts w:ascii="Times New Roman" w:hAnsi="Times New Roman"/>
          <w:szCs w:val="24"/>
        </w:rPr>
        <w:t>l cumplimiento de las siguientes obligaciones</w:t>
      </w:r>
      <w:r w:rsidRPr="00584575">
        <w:rPr>
          <w:rFonts w:ascii="Times New Roman" w:hAnsi="Times New Roman"/>
          <w:szCs w:val="24"/>
        </w:rPr>
        <w:t>:</w:t>
      </w:r>
    </w:p>
    <w:p w:rsidR="0069720A" w:rsidRPr="0069720A" w:rsidRDefault="001B0F61" w:rsidP="00584575">
      <w:pPr>
        <w:numPr>
          <w:ilvl w:val="0"/>
          <w:numId w:val="2"/>
        </w:numPr>
        <w:spacing w:before="240"/>
        <w:rPr>
          <w:rFonts w:ascii="Times New Roman" w:hAnsi="Times New Roman"/>
          <w:szCs w:val="24"/>
          <w:lang w:val="es-ES"/>
        </w:rPr>
      </w:pPr>
      <w:r w:rsidRPr="0069720A">
        <w:rPr>
          <w:rFonts w:ascii="Times New Roman" w:hAnsi="Times New Roman"/>
          <w:szCs w:val="24"/>
          <w:lang w:val="es-ES"/>
        </w:rPr>
        <w:t xml:space="preserve">Intercambiar información generada por las entidades. </w:t>
      </w:r>
    </w:p>
    <w:p w:rsidR="0069720A" w:rsidRPr="0069720A" w:rsidRDefault="001B0F61" w:rsidP="00584575">
      <w:pPr>
        <w:numPr>
          <w:ilvl w:val="0"/>
          <w:numId w:val="2"/>
        </w:numPr>
        <w:spacing w:before="240"/>
        <w:rPr>
          <w:rFonts w:ascii="Times New Roman" w:hAnsi="Times New Roman"/>
          <w:szCs w:val="24"/>
          <w:lang w:val="es-ES"/>
        </w:rPr>
      </w:pPr>
      <w:r w:rsidRPr="0069720A">
        <w:rPr>
          <w:rFonts w:ascii="Times New Roman" w:hAnsi="Times New Roman"/>
          <w:szCs w:val="24"/>
          <w:lang w:val="es-ES"/>
        </w:rPr>
        <w:t>Suscribir convenios específicos que definirán las actividades que se desarrollaran, las condiciones, términos, cronogramas, etc.</w:t>
      </w:r>
    </w:p>
    <w:p w:rsidR="0069720A" w:rsidRPr="0069720A" w:rsidRDefault="001B0F61" w:rsidP="00584575">
      <w:pPr>
        <w:numPr>
          <w:ilvl w:val="0"/>
          <w:numId w:val="2"/>
        </w:numPr>
        <w:spacing w:before="240"/>
        <w:rPr>
          <w:rFonts w:ascii="Times New Roman" w:hAnsi="Times New Roman"/>
          <w:szCs w:val="24"/>
          <w:lang w:val="es-ES"/>
        </w:rPr>
      </w:pPr>
      <w:r w:rsidRPr="0069720A">
        <w:rPr>
          <w:rFonts w:ascii="Times New Roman" w:hAnsi="Times New Roman"/>
          <w:szCs w:val="24"/>
          <w:lang w:val="es-ES"/>
        </w:rPr>
        <w:t>Crear un Comité de Coordin</w:t>
      </w:r>
      <w:r w:rsidRPr="0069720A">
        <w:rPr>
          <w:rFonts w:ascii="Times New Roman" w:hAnsi="Times New Roman"/>
          <w:szCs w:val="24"/>
          <w:lang w:val="es-ES"/>
        </w:rPr>
        <w:t xml:space="preserve">ación Interinstitucional, conformado por dos representantes de ONU Hábitat y dos de la Secretaría de Planeación  el cual tendrá </w:t>
      </w:r>
      <w:r w:rsidRPr="0069720A">
        <w:rPr>
          <w:rFonts w:ascii="Times New Roman" w:hAnsi="Times New Roman"/>
          <w:szCs w:val="24"/>
          <w:lang w:val="es-ES"/>
        </w:rPr>
        <w:lastRenderedPageBreak/>
        <w:t>entre otras, las siguientes funciones: a) Establecer las directrices y el procedimiento a aplicar para la ejecución y cumplimien</w:t>
      </w:r>
      <w:r w:rsidRPr="0069720A">
        <w:rPr>
          <w:rFonts w:ascii="Times New Roman" w:hAnsi="Times New Roman"/>
          <w:szCs w:val="24"/>
          <w:lang w:val="es-ES"/>
        </w:rPr>
        <w:t xml:space="preserve">to del objeto de este </w:t>
      </w:r>
      <w:r>
        <w:rPr>
          <w:rFonts w:ascii="Times New Roman" w:hAnsi="Times New Roman"/>
          <w:szCs w:val="24"/>
          <w:lang w:val="es-ES"/>
        </w:rPr>
        <w:t>convenio</w:t>
      </w:r>
      <w:r w:rsidRPr="0069720A">
        <w:rPr>
          <w:rFonts w:ascii="Times New Roman" w:hAnsi="Times New Roman"/>
          <w:szCs w:val="24"/>
          <w:lang w:val="es-ES"/>
        </w:rPr>
        <w:t xml:space="preserve"> y de los específicos. b) Recibir, revisar, proponer modificaciones si es del caso y ratificar los Planes Operativos de Trabajo. c) Definir en reuniones, las actividades, cronogramas, los productos a realizar así como el orden</w:t>
      </w:r>
      <w:r w:rsidRPr="0069720A">
        <w:rPr>
          <w:rFonts w:ascii="Times New Roman" w:hAnsi="Times New Roman"/>
          <w:szCs w:val="24"/>
          <w:lang w:val="es-ES"/>
        </w:rPr>
        <w:t xml:space="preserve"> de prioridades de entrega de dichos productos. d) Evaluar periódicamente el cronograma de actividades de los convenios específicos y efectuar los ajustes que considere indispensables e impartir las instrucciones y recomendaciones correspondientes. e) Elab</w:t>
      </w:r>
      <w:r w:rsidRPr="0069720A">
        <w:rPr>
          <w:rFonts w:ascii="Times New Roman" w:hAnsi="Times New Roman"/>
          <w:szCs w:val="24"/>
          <w:lang w:val="es-ES"/>
        </w:rPr>
        <w:t>orar las actas de las reuniones realizadas donde se dejará constancia de lo actuado por cada una de las partes. f) Solicitar las reuniones y gestiones que considere necesarias para que el objeto del convenio se cumpla a cabalidad. g) Manifestar a los repre</w:t>
      </w:r>
      <w:r w:rsidRPr="0069720A">
        <w:rPr>
          <w:rFonts w:ascii="Times New Roman" w:hAnsi="Times New Roman"/>
          <w:szCs w:val="24"/>
          <w:lang w:val="es-ES"/>
        </w:rPr>
        <w:t>sentantes legales de la Secretaría Distrital de Planeación y ONU Hábitat cualquier situación que impida la ejecución de este convenio, o que pueda llevar a su paralización, o que constituya incumplimiento grave de algún compromiso para que se adopten las m</w:t>
      </w:r>
      <w:r w:rsidRPr="0069720A">
        <w:rPr>
          <w:rFonts w:ascii="Times New Roman" w:hAnsi="Times New Roman"/>
          <w:szCs w:val="24"/>
          <w:lang w:val="es-ES"/>
        </w:rPr>
        <w:t>edidas correctivas oportunamente. h) Las demás que sean necesarias para el desarrollo del presente convenio.</w:t>
      </w:r>
    </w:p>
    <w:p w:rsidR="0069720A" w:rsidRPr="0069720A" w:rsidRDefault="001B0F61" w:rsidP="00584575">
      <w:pPr>
        <w:numPr>
          <w:ilvl w:val="0"/>
          <w:numId w:val="2"/>
        </w:numPr>
        <w:spacing w:before="240"/>
        <w:rPr>
          <w:rFonts w:ascii="Times New Roman" w:hAnsi="Times New Roman"/>
          <w:szCs w:val="24"/>
          <w:lang w:val="es-ES"/>
        </w:rPr>
      </w:pPr>
      <w:r w:rsidRPr="0069720A">
        <w:rPr>
          <w:rFonts w:ascii="Times New Roman" w:hAnsi="Times New Roman"/>
          <w:szCs w:val="24"/>
          <w:lang w:val="es-ES"/>
        </w:rPr>
        <w:t>Prestar apoyo técnico en la formulación de los proyectos y convenios específicos que se deriven del presente acuerdo.</w:t>
      </w:r>
    </w:p>
    <w:p w:rsidR="0069720A" w:rsidRDefault="001B0F61" w:rsidP="00584575">
      <w:pPr>
        <w:numPr>
          <w:ilvl w:val="0"/>
          <w:numId w:val="2"/>
        </w:numPr>
        <w:spacing w:before="240"/>
        <w:rPr>
          <w:rFonts w:ascii="Times New Roman" w:hAnsi="Times New Roman"/>
          <w:szCs w:val="24"/>
          <w:lang w:val="es-ES"/>
        </w:rPr>
      </w:pPr>
      <w:r w:rsidRPr="0069720A">
        <w:rPr>
          <w:rFonts w:ascii="Times New Roman" w:hAnsi="Times New Roman"/>
          <w:szCs w:val="24"/>
          <w:lang w:val="es-ES"/>
        </w:rPr>
        <w:t>ONU hábitat apoyará técnicame</w:t>
      </w:r>
      <w:r w:rsidRPr="0069720A">
        <w:rPr>
          <w:rFonts w:ascii="Times New Roman" w:hAnsi="Times New Roman"/>
          <w:szCs w:val="24"/>
          <w:lang w:val="es-ES"/>
        </w:rPr>
        <w:t>nte a los funcionarios de la Secretaría Distrital de Planeación que se involucren para adelantar en objeto en cuestión.</w:t>
      </w:r>
    </w:p>
    <w:p w:rsidR="0069720A" w:rsidRDefault="001B0F61" w:rsidP="0069720A">
      <w:pPr>
        <w:rPr>
          <w:rFonts w:ascii="Times New Roman" w:hAnsi="Times New Roman"/>
          <w:b/>
          <w:szCs w:val="24"/>
          <w:lang w:val="es-ES"/>
        </w:rPr>
      </w:pPr>
    </w:p>
    <w:p w:rsidR="0069720A" w:rsidRDefault="001B0F61" w:rsidP="0069720A">
      <w:pPr>
        <w:rPr>
          <w:rFonts w:ascii="Times New Roman" w:hAnsi="Times New Roman"/>
          <w:b/>
          <w:szCs w:val="24"/>
          <w:lang w:val="es-ES"/>
        </w:rPr>
      </w:pPr>
      <w:r w:rsidRPr="0069720A">
        <w:rPr>
          <w:rFonts w:ascii="Times New Roman" w:hAnsi="Times New Roman"/>
          <w:b/>
          <w:szCs w:val="24"/>
          <w:lang w:val="es-ES"/>
        </w:rPr>
        <w:t>Avance en la ejecución:</w:t>
      </w:r>
    </w:p>
    <w:p w:rsidR="0069720A" w:rsidRDefault="001B0F61" w:rsidP="0069720A">
      <w:pPr>
        <w:rPr>
          <w:rFonts w:ascii="Times New Roman" w:hAnsi="Times New Roman"/>
          <w:b/>
          <w:szCs w:val="24"/>
          <w:lang w:val="es-ES"/>
        </w:rPr>
      </w:pPr>
    </w:p>
    <w:p w:rsidR="0069720A" w:rsidRDefault="001B0F61" w:rsidP="0069720A">
      <w:pPr>
        <w:rPr>
          <w:rFonts w:ascii="Times New Roman" w:hAnsi="Times New Roman"/>
          <w:szCs w:val="24"/>
          <w:lang w:val="es-ES"/>
        </w:rPr>
      </w:pPr>
      <w:r w:rsidRPr="0069720A">
        <w:rPr>
          <w:rFonts w:ascii="Times New Roman" w:hAnsi="Times New Roman"/>
          <w:szCs w:val="24"/>
          <w:lang w:val="es-ES"/>
        </w:rPr>
        <w:t xml:space="preserve">Posterior a la suscripción del acuerdo en mención  </w:t>
      </w:r>
      <w:r>
        <w:rPr>
          <w:rFonts w:ascii="Times New Roman" w:hAnsi="Times New Roman"/>
          <w:szCs w:val="24"/>
          <w:lang w:val="es-ES"/>
        </w:rPr>
        <w:t>se adelantaron diferentes reuniones de coordinación a travé</w:t>
      </w:r>
      <w:r>
        <w:rPr>
          <w:rFonts w:ascii="Times New Roman" w:hAnsi="Times New Roman"/>
          <w:szCs w:val="24"/>
          <w:lang w:val="es-ES"/>
        </w:rPr>
        <w:t>s del Comité Interinstitucional que desembocaron en la definición del convenio de cooperación técnica 097 de 2015, suscrito el pasado 13 de mayo de 2015. De igual forma, tanto la Secretaría como ONU Hábitat han venido participando en diferentes espacios de</w:t>
      </w:r>
      <w:r>
        <w:rPr>
          <w:rFonts w:ascii="Times New Roman" w:hAnsi="Times New Roman"/>
          <w:szCs w:val="24"/>
          <w:lang w:val="es-ES"/>
        </w:rPr>
        <w:t xml:space="preserve"> discusión en el marco de los compromisos de trasferencia de información y apoyo técnico en la formulación de proyectos.</w:t>
      </w:r>
    </w:p>
    <w:p w:rsidR="00584575" w:rsidRDefault="001B0F61" w:rsidP="0069720A">
      <w:pPr>
        <w:rPr>
          <w:rFonts w:ascii="Times New Roman" w:hAnsi="Times New Roman"/>
          <w:szCs w:val="24"/>
          <w:lang w:val="es-ES"/>
        </w:rPr>
      </w:pPr>
    </w:p>
    <w:p w:rsidR="00584575" w:rsidRPr="0069720A" w:rsidRDefault="001B0F61" w:rsidP="00584575">
      <w:pPr>
        <w:numPr>
          <w:ilvl w:val="0"/>
          <w:numId w:val="2"/>
        </w:numPr>
        <w:rPr>
          <w:rFonts w:ascii="Times New Roman" w:hAnsi="Times New Roman"/>
          <w:b/>
          <w:szCs w:val="24"/>
          <w:lang w:val="es-ES"/>
        </w:rPr>
      </w:pPr>
      <w:r w:rsidRPr="0069720A">
        <w:rPr>
          <w:rFonts w:ascii="Times New Roman" w:hAnsi="Times New Roman"/>
          <w:b/>
          <w:szCs w:val="24"/>
          <w:lang w:val="es-ES"/>
        </w:rPr>
        <w:t xml:space="preserve">Convenio </w:t>
      </w:r>
      <w:r>
        <w:rPr>
          <w:rFonts w:ascii="Times New Roman" w:hAnsi="Times New Roman"/>
          <w:b/>
          <w:szCs w:val="24"/>
          <w:lang w:val="es-ES"/>
        </w:rPr>
        <w:t xml:space="preserve">interinstitucional Universidad Nacional de Colombia </w:t>
      </w:r>
      <w:r w:rsidRPr="0069720A">
        <w:rPr>
          <w:rFonts w:ascii="Times New Roman" w:hAnsi="Times New Roman"/>
          <w:b/>
          <w:szCs w:val="24"/>
          <w:lang w:val="es-ES"/>
        </w:rPr>
        <w:t>– Secretaría Distrital de Planeación</w:t>
      </w:r>
      <w:r>
        <w:rPr>
          <w:rFonts w:ascii="Times New Roman" w:hAnsi="Times New Roman"/>
          <w:b/>
          <w:szCs w:val="24"/>
          <w:lang w:val="es-ES"/>
        </w:rPr>
        <w:t xml:space="preserve"> No. 168</w:t>
      </w:r>
      <w:r w:rsidRPr="0069720A">
        <w:rPr>
          <w:rFonts w:ascii="Times New Roman" w:hAnsi="Times New Roman"/>
          <w:b/>
          <w:szCs w:val="24"/>
          <w:lang w:val="es-ES"/>
        </w:rPr>
        <w:t xml:space="preserve"> de 2014.</w:t>
      </w:r>
    </w:p>
    <w:p w:rsidR="00584575" w:rsidRPr="00584575" w:rsidRDefault="001B0F61" w:rsidP="00584575">
      <w:pPr>
        <w:rPr>
          <w:rFonts w:ascii="Times New Roman" w:hAnsi="Times New Roman"/>
          <w:szCs w:val="24"/>
          <w:lang w:val="es-ES"/>
        </w:rPr>
      </w:pPr>
    </w:p>
    <w:p w:rsidR="00584575" w:rsidRPr="00584575" w:rsidRDefault="001B0F61" w:rsidP="00584575">
      <w:pPr>
        <w:rPr>
          <w:rFonts w:ascii="Times New Roman" w:hAnsi="Times New Roman"/>
          <w:szCs w:val="24"/>
        </w:rPr>
      </w:pPr>
      <w:r w:rsidRPr="0069720A">
        <w:rPr>
          <w:rFonts w:ascii="Times New Roman" w:hAnsi="Times New Roman"/>
          <w:b/>
          <w:szCs w:val="24"/>
          <w:lang w:val="es-ES"/>
        </w:rPr>
        <w:t>Objeto:</w:t>
      </w:r>
      <w:r>
        <w:rPr>
          <w:rFonts w:ascii="Times New Roman" w:hAnsi="Times New Roman"/>
          <w:szCs w:val="24"/>
          <w:lang w:val="es-ES"/>
        </w:rPr>
        <w:t>“</w:t>
      </w:r>
      <w:r w:rsidRPr="00584575">
        <w:rPr>
          <w:rFonts w:ascii="Times New Roman" w:hAnsi="Times New Roman"/>
          <w:szCs w:val="24"/>
        </w:rPr>
        <w:t xml:space="preserve">Aunar </w:t>
      </w:r>
      <w:r w:rsidRPr="00584575">
        <w:rPr>
          <w:rFonts w:ascii="Times New Roman" w:hAnsi="Times New Roman"/>
          <w:szCs w:val="24"/>
        </w:rPr>
        <w:t>esfuerzos para realizar un estudio que permita identificar la incidencia de la estratificación socioeconómica urbana sobre la segregación de los hogares bogotanos</w:t>
      </w:r>
      <w:r>
        <w:rPr>
          <w:rFonts w:ascii="Times New Roman" w:hAnsi="Times New Roman"/>
          <w:szCs w:val="24"/>
        </w:rPr>
        <w:t>”</w:t>
      </w:r>
      <w:r w:rsidRPr="00584575">
        <w:rPr>
          <w:rFonts w:ascii="Times New Roman" w:hAnsi="Times New Roman"/>
          <w:szCs w:val="24"/>
        </w:rPr>
        <w:t>.</w:t>
      </w:r>
    </w:p>
    <w:p w:rsidR="00584575" w:rsidRDefault="001B0F61" w:rsidP="00584575">
      <w:pPr>
        <w:rPr>
          <w:rFonts w:ascii="Times New Roman" w:hAnsi="Times New Roman"/>
          <w:b/>
          <w:szCs w:val="24"/>
          <w:lang w:val="es-ES"/>
        </w:rPr>
      </w:pPr>
      <w:r w:rsidRPr="0069720A">
        <w:rPr>
          <w:rFonts w:ascii="Times New Roman" w:hAnsi="Times New Roman"/>
          <w:b/>
          <w:szCs w:val="24"/>
          <w:lang w:val="es-ES"/>
        </w:rPr>
        <w:t xml:space="preserve">Compromisos y Responsabilidades – Productos Esperados: </w:t>
      </w:r>
    </w:p>
    <w:p w:rsidR="00584575" w:rsidRDefault="001B0F61" w:rsidP="00584575">
      <w:pPr>
        <w:rPr>
          <w:rFonts w:ascii="Times New Roman" w:hAnsi="Times New Roman"/>
          <w:b/>
          <w:szCs w:val="24"/>
          <w:lang w:val="es-ES"/>
        </w:rPr>
      </w:pPr>
    </w:p>
    <w:p w:rsidR="00584575" w:rsidRDefault="001B0F61" w:rsidP="00584575">
      <w:pPr>
        <w:rPr>
          <w:rFonts w:ascii="Times New Roman" w:hAnsi="Times New Roman"/>
          <w:szCs w:val="24"/>
        </w:rPr>
      </w:pPr>
      <w:r w:rsidRPr="00584575">
        <w:rPr>
          <w:rFonts w:ascii="Times New Roman" w:hAnsi="Times New Roman"/>
          <w:szCs w:val="24"/>
        </w:rPr>
        <w:t>Los compromisos y responsabilidade</w:t>
      </w:r>
      <w:r w:rsidRPr="00584575">
        <w:rPr>
          <w:rFonts w:ascii="Times New Roman" w:hAnsi="Times New Roman"/>
          <w:szCs w:val="24"/>
        </w:rPr>
        <w:t>s del Convenio en mención, conjugan en la elaboración y entrega de los productos a continuación relacionados:</w:t>
      </w:r>
    </w:p>
    <w:p w:rsidR="00584575" w:rsidRPr="00584575" w:rsidRDefault="001B0F61" w:rsidP="00584575">
      <w:pPr>
        <w:rPr>
          <w:rFonts w:ascii="Times New Roman" w:hAnsi="Times New Roman"/>
          <w:szCs w:val="24"/>
        </w:rPr>
      </w:pPr>
    </w:p>
    <w:p w:rsidR="00584575" w:rsidRDefault="001B0F61" w:rsidP="00584575">
      <w:pPr>
        <w:numPr>
          <w:ilvl w:val="0"/>
          <w:numId w:val="2"/>
        </w:numPr>
        <w:rPr>
          <w:rFonts w:ascii="Times New Roman" w:hAnsi="Times New Roman"/>
          <w:szCs w:val="24"/>
        </w:rPr>
      </w:pPr>
      <w:r w:rsidRPr="00584575">
        <w:rPr>
          <w:rFonts w:ascii="Times New Roman" w:hAnsi="Times New Roman"/>
          <w:szCs w:val="24"/>
        </w:rPr>
        <w:t>Producto 1: Documento que permita identificar conceptualmente la naturaleza de la relación entre segregación urbana, distribución del ingreso y e</w:t>
      </w:r>
      <w:r w:rsidRPr="00584575">
        <w:rPr>
          <w:rFonts w:ascii="Times New Roman" w:hAnsi="Times New Roman"/>
          <w:szCs w:val="24"/>
        </w:rPr>
        <w:t>stratificación socioeconómica a través de una exploración de la literatura alrededor del objeto del presente estudio, donde se presente la discusión asociada con el fenómeno en estudio y sus implicaciones a partir de las condiciones actuales en la ciudad d</w:t>
      </w:r>
      <w:r w:rsidRPr="00584575">
        <w:rPr>
          <w:rFonts w:ascii="Times New Roman" w:hAnsi="Times New Roman"/>
          <w:szCs w:val="24"/>
        </w:rPr>
        <w:t>e Bogotá y se presente un análisis de la posible incidencia de la estratificación sobre la segregación,  la discriminación, la confianza y la cooperación por estrato, la percepción sobre los individuos y sus expectativas y cómo éstas afectan sus decisiones</w:t>
      </w:r>
      <w:r w:rsidRPr="00584575">
        <w:rPr>
          <w:rFonts w:ascii="Times New Roman" w:hAnsi="Times New Roman"/>
          <w:szCs w:val="24"/>
        </w:rPr>
        <w:t xml:space="preserve">.  </w:t>
      </w:r>
    </w:p>
    <w:p w:rsidR="00584575" w:rsidRPr="00584575" w:rsidRDefault="001B0F61" w:rsidP="00584575">
      <w:pPr>
        <w:ind w:left="720"/>
        <w:rPr>
          <w:rFonts w:ascii="Times New Roman" w:hAnsi="Times New Roman"/>
          <w:szCs w:val="24"/>
        </w:rPr>
      </w:pPr>
    </w:p>
    <w:p w:rsidR="00584575" w:rsidRDefault="001B0F61" w:rsidP="00EB6CC8">
      <w:pPr>
        <w:numPr>
          <w:ilvl w:val="0"/>
          <w:numId w:val="2"/>
        </w:numPr>
        <w:rPr>
          <w:rFonts w:ascii="Times New Roman" w:hAnsi="Times New Roman"/>
          <w:szCs w:val="24"/>
        </w:rPr>
      </w:pPr>
      <w:r w:rsidRPr="00584575">
        <w:rPr>
          <w:rFonts w:ascii="Times New Roman" w:hAnsi="Times New Roman"/>
          <w:szCs w:val="24"/>
        </w:rPr>
        <w:t>Producto 2: Documento que contenga la metodología y  las especificaciones técnicas detalladas para la implementación del ejercicio de economía experimental que permitan identificar y cuantificar la existencia de los posibles mecanismos de transmisión,</w:t>
      </w:r>
      <w:r w:rsidRPr="00584575">
        <w:rPr>
          <w:rFonts w:ascii="Times New Roman" w:hAnsi="Times New Roman"/>
          <w:szCs w:val="24"/>
        </w:rPr>
        <w:t xml:space="preserve"> asociados con la estratificación y la segregación socioeconómica en la ciudad de Bogotá. Dentro de la metodología se contemplaran los juegos de confianza y del dictador. Para tal fin se espera que el diseño metodológico contemple una población participant</w:t>
      </w:r>
      <w:r w:rsidRPr="00584575">
        <w:rPr>
          <w:rFonts w:ascii="Times New Roman" w:hAnsi="Times New Roman"/>
          <w:szCs w:val="24"/>
        </w:rPr>
        <w:t>e de 1.000 personas que hagan parte de 19 localidades urbanas de la ciudad. Este diseño contendrá la descripción detallada de: El proceso de reclutamiento de los participantes, el diseño y plan de trabajo del proceso de capacitación de las personas que rec</w:t>
      </w:r>
      <w:r w:rsidRPr="00584575">
        <w:rPr>
          <w:rFonts w:ascii="Times New Roman" w:hAnsi="Times New Roman"/>
          <w:szCs w:val="24"/>
        </w:rPr>
        <w:t>lutarán, el formulario que se empleará y una aplicación piloto que permita identificar la ruta crítica de aplicación en campo y probar la herramienta empírica.</w:t>
      </w:r>
    </w:p>
    <w:p w:rsidR="00EB6CC8" w:rsidRPr="00EB6CC8" w:rsidRDefault="001B0F61" w:rsidP="00EB6CC8">
      <w:pPr>
        <w:rPr>
          <w:rFonts w:ascii="Times New Roman" w:hAnsi="Times New Roman"/>
          <w:szCs w:val="24"/>
        </w:rPr>
      </w:pPr>
    </w:p>
    <w:p w:rsidR="00584575" w:rsidRDefault="001B0F61" w:rsidP="00584575">
      <w:pPr>
        <w:numPr>
          <w:ilvl w:val="0"/>
          <w:numId w:val="2"/>
        </w:numPr>
        <w:rPr>
          <w:rFonts w:ascii="Times New Roman" w:hAnsi="Times New Roman"/>
          <w:szCs w:val="24"/>
        </w:rPr>
      </w:pPr>
      <w:r w:rsidRPr="00584575">
        <w:rPr>
          <w:rFonts w:ascii="Times New Roman" w:hAnsi="Times New Roman"/>
          <w:szCs w:val="24"/>
        </w:rPr>
        <w:t>Producto 3: Documento que recopile los resultados de la aplicación de la prueba piloto.  Este d</w:t>
      </w:r>
      <w:r w:rsidRPr="00584575">
        <w:rPr>
          <w:rFonts w:ascii="Times New Roman" w:hAnsi="Times New Roman"/>
          <w:szCs w:val="24"/>
        </w:rPr>
        <w:t>ocumento recogerá los ajustes sugeridos a través de la aplicación de la prueba piloto a la metodología y el plan de trabajo en campo inicialmente propuesta para la aplicación de los juegos de decisión. Este documento debe incluir los soportes físicos y dig</w:t>
      </w:r>
      <w:r w:rsidRPr="00584575">
        <w:rPr>
          <w:rFonts w:ascii="Times New Roman" w:hAnsi="Times New Roman"/>
          <w:szCs w:val="24"/>
        </w:rPr>
        <w:t>itales de las actividades relacionadas con el presente producto. De igual, forma se realizará la entrega del registro fotográfico y escrito, los datos recolectados sistematizados, rutinas empleadas para su análisis y demás archivos de soporte.</w:t>
      </w:r>
    </w:p>
    <w:p w:rsidR="00EB6CC8" w:rsidRPr="00584575" w:rsidRDefault="001B0F61" w:rsidP="00EB6CC8">
      <w:pPr>
        <w:rPr>
          <w:rFonts w:ascii="Times New Roman" w:hAnsi="Times New Roman"/>
          <w:szCs w:val="24"/>
        </w:rPr>
      </w:pPr>
    </w:p>
    <w:p w:rsidR="00EB6CC8" w:rsidRDefault="001B0F61" w:rsidP="00584575">
      <w:pPr>
        <w:numPr>
          <w:ilvl w:val="0"/>
          <w:numId w:val="2"/>
        </w:numPr>
        <w:rPr>
          <w:rFonts w:ascii="Times New Roman" w:hAnsi="Times New Roman"/>
          <w:szCs w:val="24"/>
        </w:rPr>
      </w:pPr>
      <w:r w:rsidRPr="00584575">
        <w:rPr>
          <w:rFonts w:ascii="Times New Roman" w:hAnsi="Times New Roman"/>
          <w:szCs w:val="24"/>
        </w:rPr>
        <w:t>Producto 4:</w:t>
      </w:r>
      <w:r w:rsidRPr="00584575">
        <w:rPr>
          <w:rFonts w:ascii="Times New Roman" w:hAnsi="Times New Roman"/>
          <w:szCs w:val="24"/>
        </w:rPr>
        <w:t xml:space="preserve"> Documento que recopile los resultados de la aplicación del trabajo en campo de la metodología experimental, la cual incorpora los aprendizajes de la prueba piloto. Este documento debe incluir los soportes físicos y digitales de las actividades relacionada</w:t>
      </w:r>
      <w:r w:rsidRPr="00584575">
        <w:rPr>
          <w:rFonts w:ascii="Times New Roman" w:hAnsi="Times New Roman"/>
          <w:szCs w:val="24"/>
        </w:rPr>
        <w:t>s con el presente producto. De igual, forma se realizará la entrega del registro fotográfico y escrito, los datos recolectados sistematizados, rutinas empleadas para su análisis y demás archivos de soporte  asociados con la ejecución presupuestal de los pa</w:t>
      </w:r>
      <w:r w:rsidRPr="00584575">
        <w:rPr>
          <w:rFonts w:ascii="Times New Roman" w:hAnsi="Times New Roman"/>
          <w:szCs w:val="24"/>
        </w:rPr>
        <w:t>gos a los participantes.</w:t>
      </w:r>
    </w:p>
    <w:p w:rsidR="00EB6CC8" w:rsidRDefault="001B0F61" w:rsidP="00584575">
      <w:pPr>
        <w:numPr>
          <w:ilvl w:val="0"/>
          <w:numId w:val="2"/>
        </w:numPr>
        <w:rPr>
          <w:rFonts w:ascii="Times New Roman" w:hAnsi="Times New Roman"/>
          <w:szCs w:val="24"/>
        </w:rPr>
      </w:pPr>
      <w:r w:rsidRPr="00EB6CC8">
        <w:rPr>
          <w:rFonts w:ascii="Times New Roman" w:hAnsi="Times New Roman"/>
          <w:szCs w:val="24"/>
        </w:rPr>
        <w:t xml:space="preserve">Producto 5: Documento de análisis e interpretación de los datos resultantes de la aplicación de las herramientas metodológicas seleccionadas que como mínimo </w:t>
      </w:r>
      <w:r w:rsidRPr="00EB6CC8">
        <w:rPr>
          <w:rFonts w:ascii="Times New Roman" w:hAnsi="Times New Roman"/>
          <w:szCs w:val="24"/>
        </w:rPr>
        <w:lastRenderedPageBreak/>
        <w:t>incluyan análisis estadísticos a través de las siguientes pruebas estadíst</w:t>
      </w:r>
      <w:r w:rsidRPr="00EB6CC8">
        <w:rPr>
          <w:rFonts w:ascii="Times New Roman" w:hAnsi="Times New Roman"/>
          <w:szCs w:val="24"/>
        </w:rPr>
        <w:t>icas de Wilcoxonsigned Rank test para la distribución de ofertas entre estratos; Likelihood ratio test como robustnesscheck sub 1 y análisis de regresión.</w:t>
      </w:r>
    </w:p>
    <w:p w:rsidR="00EB6CC8" w:rsidRDefault="001B0F61" w:rsidP="00EB6CC8">
      <w:pPr>
        <w:pStyle w:val="Prrafodelista"/>
        <w:rPr>
          <w:rFonts w:ascii="Times New Roman" w:hAnsi="Times New Roman"/>
          <w:szCs w:val="24"/>
        </w:rPr>
      </w:pPr>
    </w:p>
    <w:p w:rsidR="00EB6CC8" w:rsidRDefault="001B0F61" w:rsidP="007E721F">
      <w:pPr>
        <w:numPr>
          <w:ilvl w:val="0"/>
          <w:numId w:val="2"/>
        </w:numPr>
        <w:rPr>
          <w:rFonts w:ascii="Times New Roman" w:hAnsi="Times New Roman"/>
          <w:szCs w:val="24"/>
        </w:rPr>
      </w:pPr>
      <w:r w:rsidRPr="00EB6CC8">
        <w:rPr>
          <w:rFonts w:ascii="Times New Roman" w:hAnsi="Times New Roman"/>
          <w:szCs w:val="24"/>
        </w:rPr>
        <w:t>Producto 6: Documento analítico y descriptivo de cómo los resultados del presente estudio contribuye</w:t>
      </w:r>
      <w:r w:rsidRPr="00EB6CC8">
        <w:rPr>
          <w:rFonts w:ascii="Times New Roman" w:hAnsi="Times New Roman"/>
          <w:szCs w:val="24"/>
        </w:rPr>
        <w:t xml:space="preserve">n en los objetivos, metas y alcances de la Política Distrital y el Plan Distrital de Desarrollo: Bogotá Humana 2012 -2016 y su relación con resultados obtenidos del presente convenio. </w:t>
      </w:r>
    </w:p>
    <w:p w:rsidR="00EB6CC8" w:rsidRDefault="001B0F61" w:rsidP="00EB6CC8">
      <w:pPr>
        <w:pStyle w:val="Prrafodelista"/>
        <w:rPr>
          <w:rFonts w:ascii="Times New Roman" w:hAnsi="Times New Roman"/>
          <w:szCs w:val="24"/>
        </w:rPr>
      </w:pPr>
    </w:p>
    <w:p w:rsidR="00584575" w:rsidRPr="00EB6CC8" w:rsidRDefault="001B0F61" w:rsidP="007E721F">
      <w:pPr>
        <w:numPr>
          <w:ilvl w:val="0"/>
          <w:numId w:val="2"/>
        </w:numPr>
        <w:rPr>
          <w:rFonts w:ascii="Times New Roman" w:hAnsi="Times New Roman"/>
          <w:szCs w:val="24"/>
        </w:rPr>
      </w:pPr>
      <w:r w:rsidRPr="00EB6CC8">
        <w:rPr>
          <w:rFonts w:ascii="Times New Roman" w:hAnsi="Times New Roman"/>
          <w:szCs w:val="24"/>
        </w:rPr>
        <w:t>Producto 7: Proceso de formación para diez funcionarios de la Secretaría Distrital de Planeación, la cual se desarrollará en dos sesiones al mes donde se abordarán los siguientes temas: 1) Fundamentación del método experimental: a) Causalidad; b) Experimen</w:t>
      </w:r>
      <w:r w:rsidRPr="00EB6CC8">
        <w:rPr>
          <w:rFonts w:ascii="Times New Roman" w:hAnsi="Times New Roman"/>
          <w:szCs w:val="24"/>
        </w:rPr>
        <w:t>tos, cuasi-experimentos y experimentos naturales en las ciencias sociales; c) Internalvalidity, statisticalvalidity, constructvalidity, externalvalidity;  2) Racionalidad y racionalidad acotada;  a) Axiomas estándares; b) Heurísticos y sesgos; c) Teoría pr</w:t>
      </w:r>
      <w:r w:rsidRPr="00EB6CC8">
        <w:rPr>
          <w:rFonts w:ascii="Times New Roman" w:hAnsi="Times New Roman"/>
          <w:szCs w:val="24"/>
        </w:rPr>
        <w:t>ospectiva y descuento hiperbólico; d) Ambigüedad;  3) Teoría de juegos; a) Teorías de equilibrios; b) Teoría de juegos comportamentales c) Problemas prácticos.</w:t>
      </w:r>
    </w:p>
    <w:p w:rsidR="00584575" w:rsidRPr="00584575" w:rsidRDefault="001B0F61" w:rsidP="00584575">
      <w:pPr>
        <w:rPr>
          <w:rFonts w:ascii="Times New Roman" w:hAnsi="Times New Roman"/>
          <w:szCs w:val="24"/>
        </w:rPr>
      </w:pPr>
    </w:p>
    <w:p w:rsidR="00EB6CC8" w:rsidRDefault="001B0F61" w:rsidP="00EB6CC8">
      <w:pPr>
        <w:rPr>
          <w:rFonts w:ascii="Times New Roman" w:hAnsi="Times New Roman"/>
          <w:b/>
          <w:szCs w:val="24"/>
          <w:lang w:val="es-ES"/>
        </w:rPr>
      </w:pPr>
      <w:r w:rsidRPr="0069720A">
        <w:rPr>
          <w:rFonts w:ascii="Times New Roman" w:hAnsi="Times New Roman"/>
          <w:b/>
          <w:szCs w:val="24"/>
          <w:lang w:val="es-ES"/>
        </w:rPr>
        <w:t>Avance en la ejecución:</w:t>
      </w:r>
    </w:p>
    <w:p w:rsidR="00EB6CC8" w:rsidRDefault="001B0F61" w:rsidP="00EB6CC8">
      <w:pPr>
        <w:rPr>
          <w:rFonts w:ascii="Times New Roman" w:hAnsi="Times New Roman"/>
          <w:b/>
          <w:szCs w:val="24"/>
          <w:lang w:val="es-ES"/>
        </w:rPr>
      </w:pPr>
    </w:p>
    <w:p w:rsidR="00584575" w:rsidRPr="00584575" w:rsidRDefault="001B0F61" w:rsidP="00584575">
      <w:pPr>
        <w:rPr>
          <w:rFonts w:ascii="Times New Roman" w:hAnsi="Times New Roman"/>
          <w:szCs w:val="24"/>
        </w:rPr>
      </w:pPr>
      <w:r w:rsidRPr="00584575">
        <w:rPr>
          <w:rFonts w:ascii="Times New Roman" w:hAnsi="Times New Roman"/>
          <w:szCs w:val="24"/>
        </w:rPr>
        <w:t>A la fecha ya se realizó la entrega de los productos uno al cinco, los</w:t>
      </w:r>
      <w:r w:rsidRPr="00584575">
        <w:rPr>
          <w:rFonts w:ascii="Times New Roman" w:hAnsi="Times New Roman"/>
          <w:szCs w:val="24"/>
        </w:rPr>
        <w:t xml:space="preserve"> cuales ya surtieron un proceso de revisión, retroalimentación y posterior aprobación por parte de la Secretaría. De igual manera se surtió el proceso de capacitación y formación de los funcionarios durante cinco sesiones llevadas a cabo en el mes de septi</w:t>
      </w:r>
      <w:r w:rsidRPr="00584575">
        <w:rPr>
          <w:rFonts w:ascii="Times New Roman" w:hAnsi="Times New Roman"/>
          <w:szCs w:val="24"/>
        </w:rPr>
        <w:t>embre del 2015. De igual forma, ya se realizaron tres pagos que corresponden al 90% del aporte monetario de la Secretaría.</w:t>
      </w:r>
    </w:p>
    <w:p w:rsidR="00584575" w:rsidRPr="00584575" w:rsidRDefault="001B0F61" w:rsidP="00584575">
      <w:pPr>
        <w:rPr>
          <w:rFonts w:ascii="Times New Roman" w:hAnsi="Times New Roman"/>
          <w:szCs w:val="24"/>
        </w:rPr>
      </w:pPr>
    </w:p>
    <w:p w:rsidR="00EB6CC8" w:rsidRPr="00584575" w:rsidRDefault="001B0F61" w:rsidP="00EB6CC8">
      <w:pPr>
        <w:rPr>
          <w:rFonts w:ascii="Times New Roman" w:hAnsi="Times New Roman"/>
          <w:b/>
        </w:rPr>
      </w:pPr>
      <w:r w:rsidRPr="00584575">
        <w:rPr>
          <w:rFonts w:ascii="Times New Roman" w:hAnsi="Times New Roman"/>
          <w:b/>
        </w:rPr>
        <w:t xml:space="preserve">Pendiente por ejecutar: </w:t>
      </w:r>
    </w:p>
    <w:p w:rsidR="00584575" w:rsidRPr="00584575" w:rsidRDefault="001B0F61" w:rsidP="00584575">
      <w:pPr>
        <w:rPr>
          <w:rFonts w:ascii="Times New Roman" w:hAnsi="Times New Roman"/>
          <w:szCs w:val="24"/>
        </w:rPr>
      </w:pPr>
    </w:p>
    <w:p w:rsidR="00584575" w:rsidRDefault="001B0F61" w:rsidP="00584575">
      <w:pPr>
        <w:rPr>
          <w:rFonts w:ascii="Times New Roman" w:hAnsi="Times New Roman"/>
          <w:szCs w:val="24"/>
        </w:rPr>
      </w:pPr>
      <w:r w:rsidRPr="00584575">
        <w:rPr>
          <w:rFonts w:ascii="Times New Roman" w:hAnsi="Times New Roman"/>
          <w:szCs w:val="24"/>
        </w:rPr>
        <w:t>La Universidad tiene pendiente por entrega el producto seis que corresponde a</w:t>
      </w:r>
      <w:r w:rsidRPr="00584575">
        <w:rPr>
          <w:rFonts w:ascii="Times New Roman" w:hAnsi="Times New Roman"/>
          <w:szCs w:val="24"/>
        </w:rPr>
        <w:t xml:space="preserve">l análisis de la incidencia en términos de política pública de los resultados del ejercicio de economía experimental. De igual forma, queda pendiente el pago del 10% sujeto a la entrega del producto seis y acta de liquidación. El convenio tiene como fecha </w:t>
      </w:r>
      <w:r w:rsidRPr="00584575">
        <w:rPr>
          <w:rFonts w:ascii="Times New Roman" w:hAnsi="Times New Roman"/>
          <w:szCs w:val="24"/>
        </w:rPr>
        <w:t>de finalización el 19 de octubre del 2015.</w:t>
      </w:r>
    </w:p>
    <w:p w:rsidR="00EB6CC8" w:rsidRDefault="001B0F61" w:rsidP="00EB6CC8">
      <w:pPr>
        <w:numPr>
          <w:ilvl w:val="0"/>
          <w:numId w:val="2"/>
        </w:numPr>
        <w:rPr>
          <w:rFonts w:ascii="Times New Roman" w:hAnsi="Times New Roman"/>
          <w:b/>
          <w:szCs w:val="24"/>
          <w:lang w:val="es-ES"/>
        </w:rPr>
      </w:pPr>
      <w:r w:rsidRPr="0069720A">
        <w:rPr>
          <w:rFonts w:ascii="Times New Roman" w:hAnsi="Times New Roman"/>
          <w:b/>
          <w:szCs w:val="24"/>
          <w:lang w:val="es-ES"/>
        </w:rPr>
        <w:t>Convenio de cooperación técnica ONU – Hábitat Secretaría Distrital de Planeación No. 97 de 2015</w:t>
      </w:r>
    </w:p>
    <w:p w:rsidR="00EB6CC8" w:rsidRPr="0069720A" w:rsidRDefault="001B0F61" w:rsidP="00EB6CC8">
      <w:pPr>
        <w:ind w:left="720"/>
        <w:rPr>
          <w:rFonts w:ascii="Times New Roman" w:hAnsi="Times New Roman"/>
          <w:b/>
          <w:szCs w:val="24"/>
          <w:lang w:val="es-ES"/>
        </w:rPr>
      </w:pPr>
    </w:p>
    <w:p w:rsidR="00EB6CC8" w:rsidRDefault="001B0F61" w:rsidP="00EB6CC8">
      <w:pPr>
        <w:rPr>
          <w:rFonts w:ascii="Times New Roman" w:hAnsi="Times New Roman"/>
          <w:b/>
          <w:szCs w:val="24"/>
          <w:lang w:val="es-ES"/>
        </w:rPr>
      </w:pPr>
      <w:r w:rsidRPr="0069720A">
        <w:rPr>
          <w:rFonts w:ascii="Times New Roman" w:hAnsi="Times New Roman"/>
          <w:b/>
          <w:szCs w:val="24"/>
          <w:lang w:val="es-ES"/>
        </w:rPr>
        <w:t>Objeto: “</w:t>
      </w:r>
      <w:r>
        <w:rPr>
          <w:rFonts w:ascii="Times New Roman" w:hAnsi="Times New Roman"/>
          <w:szCs w:val="24"/>
          <w:lang w:val="es-ES"/>
        </w:rPr>
        <w:t>R</w:t>
      </w:r>
      <w:r w:rsidRPr="0069720A">
        <w:rPr>
          <w:rFonts w:ascii="Times New Roman" w:hAnsi="Times New Roman"/>
          <w:szCs w:val="24"/>
          <w:lang w:val="es-ES"/>
        </w:rPr>
        <w:t>ealizar un estudio que permita identificar la viabilidad de implementación de un sistema unificado de info</w:t>
      </w:r>
      <w:r w:rsidRPr="0069720A">
        <w:rPr>
          <w:rFonts w:ascii="Times New Roman" w:hAnsi="Times New Roman"/>
          <w:szCs w:val="24"/>
          <w:lang w:val="es-ES"/>
        </w:rPr>
        <w:t xml:space="preserve">rmación de </w:t>
      </w:r>
      <w:r>
        <w:rPr>
          <w:rFonts w:ascii="Times New Roman" w:hAnsi="Times New Roman"/>
          <w:szCs w:val="24"/>
          <w:lang w:val="es-ES"/>
        </w:rPr>
        <w:t>los habitantes de la ciudad de B</w:t>
      </w:r>
      <w:r w:rsidRPr="0069720A">
        <w:rPr>
          <w:rFonts w:ascii="Times New Roman" w:hAnsi="Times New Roman"/>
          <w:szCs w:val="24"/>
          <w:lang w:val="es-ES"/>
        </w:rPr>
        <w:t xml:space="preserve">ogotá como estrategia para identificar a partir de registros administrativos la capacidad de pago de los hogares </w:t>
      </w:r>
      <w:r w:rsidRPr="0069720A">
        <w:rPr>
          <w:rFonts w:ascii="Times New Roman" w:hAnsi="Times New Roman"/>
          <w:szCs w:val="24"/>
          <w:lang w:val="es-ES"/>
        </w:rPr>
        <w:lastRenderedPageBreak/>
        <w:t>bogotanos</w:t>
      </w:r>
      <w:r w:rsidRPr="0069720A">
        <w:rPr>
          <w:rFonts w:ascii="Times New Roman" w:hAnsi="Times New Roman"/>
          <w:b/>
          <w:szCs w:val="24"/>
          <w:lang w:val="es-ES"/>
        </w:rPr>
        <w:t>”.</w:t>
      </w:r>
    </w:p>
    <w:p w:rsidR="00EB6CC8" w:rsidRPr="00584575" w:rsidRDefault="001B0F61" w:rsidP="00EB6CC8">
      <w:pPr>
        <w:rPr>
          <w:rFonts w:ascii="Times New Roman" w:hAnsi="Times New Roman"/>
          <w:szCs w:val="24"/>
          <w:lang w:val="es-ES"/>
        </w:rPr>
      </w:pPr>
    </w:p>
    <w:p w:rsidR="00EB6CC8" w:rsidRDefault="001B0F61" w:rsidP="00EB6CC8">
      <w:pPr>
        <w:rPr>
          <w:rFonts w:ascii="Times New Roman" w:hAnsi="Times New Roman"/>
          <w:b/>
          <w:szCs w:val="24"/>
          <w:lang w:val="es-ES"/>
        </w:rPr>
      </w:pPr>
      <w:r w:rsidRPr="00584575">
        <w:rPr>
          <w:rFonts w:ascii="Times New Roman" w:hAnsi="Times New Roman"/>
          <w:b/>
          <w:szCs w:val="24"/>
          <w:lang w:val="es-ES"/>
        </w:rPr>
        <w:t>Compromisos y Responsabilidades – Productos Esperados:</w:t>
      </w:r>
    </w:p>
    <w:p w:rsidR="00EB6CC8" w:rsidRDefault="001B0F61" w:rsidP="00EB6CC8">
      <w:pPr>
        <w:rPr>
          <w:rFonts w:ascii="Times New Roman" w:hAnsi="Times New Roman"/>
          <w:b/>
          <w:szCs w:val="24"/>
          <w:lang w:val="es-ES"/>
        </w:rPr>
      </w:pPr>
    </w:p>
    <w:p w:rsidR="00EB6CC8" w:rsidRPr="00584575" w:rsidRDefault="001B0F61" w:rsidP="00EB6CC8">
      <w:pPr>
        <w:rPr>
          <w:rFonts w:ascii="Times New Roman" w:hAnsi="Times New Roman"/>
          <w:szCs w:val="24"/>
        </w:rPr>
      </w:pPr>
      <w:r w:rsidRPr="00584575">
        <w:rPr>
          <w:rFonts w:ascii="Times New Roman" w:hAnsi="Times New Roman"/>
          <w:szCs w:val="24"/>
        </w:rPr>
        <w:t xml:space="preserve">Los compromisos y </w:t>
      </w:r>
      <w:r w:rsidRPr="00584575">
        <w:rPr>
          <w:rFonts w:ascii="Times New Roman" w:hAnsi="Times New Roman"/>
          <w:szCs w:val="24"/>
        </w:rPr>
        <w:t>responsabilidades del Convenio en mención, conjugan en la elaboración y entrega de los productos a continuación relacionados:</w:t>
      </w:r>
    </w:p>
    <w:p w:rsidR="00EB6CC8" w:rsidRPr="00584575" w:rsidRDefault="001B0F61" w:rsidP="00EB6CC8">
      <w:pPr>
        <w:pStyle w:val="Prrafodelista"/>
        <w:jc w:val="both"/>
        <w:rPr>
          <w:rFonts w:ascii="Times New Roman" w:hAnsi="Times New Roman"/>
        </w:rPr>
      </w:pPr>
    </w:p>
    <w:p w:rsidR="00EB6CC8" w:rsidRPr="00584575" w:rsidRDefault="001B0F61" w:rsidP="00EB6CC8">
      <w:pPr>
        <w:pStyle w:val="Prrafodelista"/>
        <w:numPr>
          <w:ilvl w:val="0"/>
          <w:numId w:val="1"/>
        </w:numPr>
        <w:ind w:left="714" w:hanging="357"/>
        <w:contextualSpacing w:val="0"/>
        <w:jc w:val="both"/>
        <w:rPr>
          <w:rFonts w:ascii="Times New Roman" w:hAnsi="Times New Roman"/>
        </w:rPr>
      </w:pPr>
      <w:r>
        <w:rPr>
          <w:rFonts w:ascii="Times New Roman" w:hAnsi="Times New Roman"/>
        </w:rPr>
        <w:t>Producto 1</w:t>
      </w:r>
      <w:r w:rsidRPr="00584575">
        <w:rPr>
          <w:rFonts w:ascii="Times New Roman" w:hAnsi="Times New Roman"/>
        </w:rPr>
        <w:t>.: Construcción de una propuesta técnica de un sistema unificado de identificación de la capacidad de pago así como las</w:t>
      </w:r>
      <w:r w:rsidRPr="00584575">
        <w:rPr>
          <w:rFonts w:ascii="Times New Roman" w:hAnsi="Times New Roman"/>
        </w:rPr>
        <w:t xml:space="preserve"> condiciones y situaciones de vulnerabilidad de los habitantes del Distrito Capital a partir de la información disponible del orden nacional y distrital.</w:t>
      </w:r>
    </w:p>
    <w:p w:rsidR="00EB6CC8" w:rsidRPr="00584575" w:rsidRDefault="001B0F61" w:rsidP="00EB6CC8">
      <w:pPr>
        <w:pStyle w:val="Prrafodelista"/>
        <w:numPr>
          <w:ilvl w:val="0"/>
          <w:numId w:val="1"/>
        </w:numPr>
        <w:ind w:left="714" w:hanging="357"/>
        <w:contextualSpacing w:val="0"/>
        <w:jc w:val="both"/>
        <w:rPr>
          <w:rFonts w:ascii="Times New Roman" w:hAnsi="Times New Roman"/>
        </w:rPr>
      </w:pPr>
      <w:r>
        <w:rPr>
          <w:rFonts w:ascii="Times New Roman" w:hAnsi="Times New Roman"/>
        </w:rPr>
        <w:t>Producto 2</w:t>
      </w:r>
      <w:r w:rsidRPr="00584575">
        <w:rPr>
          <w:rFonts w:ascii="Times New Roman" w:hAnsi="Times New Roman"/>
        </w:rPr>
        <w:t>.: Validación de la propuesta metodológica a partir de una simulación que permita identifica</w:t>
      </w:r>
      <w:r w:rsidRPr="00584575">
        <w:rPr>
          <w:rFonts w:ascii="Times New Roman" w:hAnsi="Times New Roman"/>
        </w:rPr>
        <w:t>r la capacidad de identificación de las condiciones socioeconómicas y de vulnerabilidad de los hogares bogotanos.</w:t>
      </w:r>
    </w:p>
    <w:p w:rsidR="00EB6CC8" w:rsidRDefault="001B0F61" w:rsidP="00EB6CC8">
      <w:pPr>
        <w:pStyle w:val="Prrafodelista"/>
        <w:numPr>
          <w:ilvl w:val="0"/>
          <w:numId w:val="1"/>
        </w:numPr>
        <w:jc w:val="both"/>
        <w:rPr>
          <w:rFonts w:ascii="Times New Roman" w:hAnsi="Times New Roman"/>
        </w:rPr>
      </w:pPr>
      <w:r>
        <w:rPr>
          <w:rFonts w:ascii="Times New Roman" w:hAnsi="Times New Roman"/>
        </w:rPr>
        <w:t>Producto 3</w:t>
      </w:r>
      <w:r w:rsidRPr="00584575">
        <w:rPr>
          <w:rFonts w:ascii="Times New Roman" w:hAnsi="Times New Roman"/>
        </w:rPr>
        <w:t>.: Análisis de la arquitectura lógica de las bases de datos requeridas para la formulación del nuevo modelo de identificación de las</w:t>
      </w:r>
      <w:r w:rsidRPr="00584575">
        <w:rPr>
          <w:rFonts w:ascii="Times New Roman" w:hAnsi="Times New Roman"/>
        </w:rPr>
        <w:t xml:space="preserve"> condiciones socioeconómicas y de vulnerabilidad de los hogares bogotanos.</w:t>
      </w:r>
    </w:p>
    <w:p w:rsidR="00EB6CC8" w:rsidRDefault="001B0F61" w:rsidP="00EB6CC8">
      <w:pPr>
        <w:pStyle w:val="Prrafodelista"/>
        <w:jc w:val="both"/>
        <w:rPr>
          <w:rFonts w:ascii="Times New Roman" w:hAnsi="Times New Roman"/>
        </w:rPr>
      </w:pPr>
    </w:p>
    <w:p w:rsidR="00EB6CC8" w:rsidRPr="00584575" w:rsidRDefault="001B0F61" w:rsidP="00EB6CC8">
      <w:pPr>
        <w:pStyle w:val="Prrafodelista"/>
        <w:numPr>
          <w:ilvl w:val="0"/>
          <w:numId w:val="1"/>
        </w:numPr>
        <w:jc w:val="both"/>
        <w:rPr>
          <w:rFonts w:ascii="Times New Roman" w:hAnsi="Times New Roman"/>
        </w:rPr>
      </w:pPr>
      <w:r>
        <w:rPr>
          <w:rFonts w:ascii="Times New Roman" w:hAnsi="Times New Roman"/>
        </w:rPr>
        <w:t>Producto 4</w:t>
      </w:r>
      <w:r w:rsidRPr="00584575">
        <w:rPr>
          <w:rFonts w:ascii="Times New Roman" w:hAnsi="Times New Roman"/>
        </w:rPr>
        <w:t>.: Elaboración de un diagnóstico para la ciudad de Bogotá de las condiciones de vulnerabilidad de la población víctima de la violencia, con el fin de delinear las estrate</w:t>
      </w:r>
      <w:r w:rsidRPr="00584575">
        <w:rPr>
          <w:rFonts w:ascii="Times New Roman" w:hAnsi="Times New Roman"/>
        </w:rPr>
        <w:t xml:space="preserve">gias de incorporación de estas características dentro del planteamiento del indicador de capacidad de pago y situaciones de vulnerabilidad para los habitantes del Distrito Capital. </w:t>
      </w:r>
    </w:p>
    <w:p w:rsidR="00EB6CC8" w:rsidRPr="00584575" w:rsidRDefault="001B0F61" w:rsidP="00EB6CC8">
      <w:pPr>
        <w:pStyle w:val="Prrafodelista"/>
        <w:numPr>
          <w:ilvl w:val="0"/>
          <w:numId w:val="1"/>
        </w:numPr>
        <w:jc w:val="both"/>
        <w:rPr>
          <w:rFonts w:ascii="Times New Roman" w:hAnsi="Times New Roman"/>
        </w:rPr>
      </w:pPr>
    </w:p>
    <w:p w:rsidR="00EB6CC8" w:rsidRPr="00584575" w:rsidRDefault="001B0F61" w:rsidP="00EB6CC8">
      <w:pPr>
        <w:rPr>
          <w:rFonts w:ascii="Times New Roman" w:hAnsi="Times New Roman"/>
          <w:b/>
          <w:szCs w:val="24"/>
          <w:lang w:val="es-ES"/>
        </w:rPr>
      </w:pPr>
      <w:r w:rsidRPr="00584575">
        <w:rPr>
          <w:rFonts w:ascii="Times New Roman" w:hAnsi="Times New Roman"/>
          <w:b/>
          <w:szCs w:val="24"/>
          <w:lang w:val="es-ES"/>
        </w:rPr>
        <w:t xml:space="preserve">Avance en la ejecución: </w:t>
      </w:r>
    </w:p>
    <w:p w:rsidR="00EB6CC8" w:rsidRPr="000B20C0" w:rsidRDefault="001B0F61" w:rsidP="00EB6CC8">
      <w:pPr>
        <w:rPr>
          <w:b/>
        </w:rPr>
      </w:pPr>
    </w:p>
    <w:p w:rsidR="00EB6CC8" w:rsidRPr="00584575" w:rsidRDefault="001B0F61" w:rsidP="00EB6CC8">
      <w:pPr>
        <w:rPr>
          <w:rFonts w:ascii="Times New Roman" w:hAnsi="Times New Roman"/>
        </w:rPr>
      </w:pPr>
      <w:r w:rsidRPr="00584575">
        <w:rPr>
          <w:rFonts w:ascii="Times New Roman" w:hAnsi="Times New Roman"/>
        </w:rPr>
        <w:t>Posterior a la fecha de suscripción del acta de</w:t>
      </w:r>
      <w:r w:rsidRPr="00584575">
        <w:rPr>
          <w:rFonts w:ascii="Times New Roman" w:hAnsi="Times New Roman"/>
        </w:rPr>
        <w:t xml:space="preserve"> inicio del convenio se han realizado siete mesas de trabajo y seguimiento a la ejecución, donde se han abordado las siguientes temáticas:</w:t>
      </w:r>
    </w:p>
    <w:p w:rsidR="00EB6CC8" w:rsidRPr="00584575" w:rsidRDefault="001B0F61" w:rsidP="00EB6CC8">
      <w:pPr>
        <w:rPr>
          <w:rFonts w:ascii="Times New Roman" w:hAnsi="Times New Roman"/>
        </w:rPr>
      </w:pPr>
    </w:p>
    <w:p w:rsidR="00EB6CC8" w:rsidRPr="00584575" w:rsidRDefault="001B0F61" w:rsidP="00EB6CC8">
      <w:pPr>
        <w:rPr>
          <w:rFonts w:ascii="Times New Roman" w:hAnsi="Times New Roman"/>
        </w:rPr>
      </w:pPr>
      <w:r w:rsidRPr="00584575">
        <w:rPr>
          <w:rFonts w:ascii="Times New Roman" w:hAnsi="Times New Roman"/>
        </w:rPr>
        <w:t>1. Presentación del equipo de trabajo que participará en el proyecto.</w:t>
      </w:r>
    </w:p>
    <w:p w:rsidR="00EB6CC8" w:rsidRPr="00584575" w:rsidRDefault="001B0F61" w:rsidP="00EB6CC8">
      <w:pPr>
        <w:rPr>
          <w:rFonts w:ascii="Times New Roman" w:hAnsi="Times New Roman"/>
        </w:rPr>
      </w:pPr>
      <w:r w:rsidRPr="00584575">
        <w:rPr>
          <w:rFonts w:ascii="Times New Roman" w:hAnsi="Times New Roman"/>
        </w:rPr>
        <w:t>2. Presentación y ajuste al Plan de Acción pro</w:t>
      </w:r>
      <w:r w:rsidRPr="00584575">
        <w:rPr>
          <w:rFonts w:ascii="Times New Roman" w:hAnsi="Times New Roman"/>
        </w:rPr>
        <w:t>puesto por la Coordinación del proyecto.</w:t>
      </w:r>
    </w:p>
    <w:p w:rsidR="00EB6CC8" w:rsidRDefault="001B0F61" w:rsidP="00EB6CC8">
      <w:pPr>
        <w:rPr>
          <w:rFonts w:ascii="Times New Roman" w:hAnsi="Times New Roman"/>
        </w:rPr>
      </w:pPr>
      <w:r w:rsidRPr="00584575">
        <w:rPr>
          <w:rFonts w:ascii="Times New Roman" w:hAnsi="Times New Roman"/>
        </w:rPr>
        <w:t>3. Realización de mesas de trabajo interinstitucionales con entidades estratégicas para el proyecto como el DNP, DANE, Colegio Mayor de Nuestra Señora del Rosario, la DIAN y la Secretaría Distrital de Hacienda, con</w:t>
      </w:r>
      <w:r w:rsidRPr="00584575">
        <w:rPr>
          <w:rFonts w:ascii="Times New Roman" w:hAnsi="Times New Roman"/>
        </w:rPr>
        <w:t xml:space="preserve"> el fin de iniciar el proceso de análisis de las fuentes de información y su estructura, como potenciales insumos para el sistema de información que soportaría un eventual cambio en el actual esquema de asignación de subsidios y contribuciones en servicios</w:t>
      </w:r>
      <w:r w:rsidRPr="00584575">
        <w:rPr>
          <w:rFonts w:ascii="Times New Roman" w:hAnsi="Times New Roman"/>
        </w:rPr>
        <w:t xml:space="preserve"> públicos domiciliarios.  </w:t>
      </w:r>
    </w:p>
    <w:p w:rsidR="00EB6CC8" w:rsidRPr="00584575" w:rsidRDefault="001B0F61" w:rsidP="00EB6CC8">
      <w:pPr>
        <w:rPr>
          <w:rFonts w:ascii="Times New Roman" w:hAnsi="Times New Roman"/>
        </w:rPr>
      </w:pPr>
    </w:p>
    <w:p w:rsidR="00EB6CC8" w:rsidRPr="00584575" w:rsidRDefault="001B0F61" w:rsidP="00EB6CC8">
      <w:pPr>
        <w:rPr>
          <w:rFonts w:ascii="Times New Roman" w:hAnsi="Times New Roman"/>
          <w:b/>
        </w:rPr>
      </w:pPr>
      <w:r w:rsidRPr="00584575">
        <w:rPr>
          <w:rFonts w:ascii="Times New Roman" w:hAnsi="Times New Roman"/>
          <w:b/>
        </w:rPr>
        <w:t xml:space="preserve">Pendiente por ejecutar: </w:t>
      </w:r>
    </w:p>
    <w:p w:rsidR="00EB6CC8" w:rsidRDefault="001B0F61" w:rsidP="00EB6CC8">
      <w:pPr>
        <w:rPr>
          <w:rFonts w:ascii="Times New Roman" w:hAnsi="Times New Roman"/>
        </w:rPr>
      </w:pPr>
    </w:p>
    <w:p w:rsidR="00EB6CC8" w:rsidRPr="00584575" w:rsidRDefault="001B0F61" w:rsidP="00EB6CC8">
      <w:pPr>
        <w:rPr>
          <w:rFonts w:ascii="Times New Roman" w:hAnsi="Times New Roman"/>
        </w:rPr>
      </w:pPr>
      <w:r>
        <w:rPr>
          <w:rFonts w:ascii="Times New Roman" w:hAnsi="Times New Roman"/>
        </w:rPr>
        <w:lastRenderedPageBreak/>
        <w:t xml:space="preserve">En concordancia con las fechas de entrega establecidas en el acta de inicio la entrega del primer producto se encuentra estipulada para el próximo 19 de octubre de 2015. Los tres productos restantes se </w:t>
      </w:r>
      <w:r>
        <w:rPr>
          <w:rFonts w:ascii="Times New Roman" w:hAnsi="Times New Roman"/>
        </w:rPr>
        <w:t>encuentran programados para los días 19 de diciembre de 2015 (Productos dos y tres) y 19 de noviembre de 2015 (producto cuatro).</w:t>
      </w:r>
    </w:p>
    <w:p w:rsidR="00EB6CC8" w:rsidRDefault="001B0F61" w:rsidP="00584575">
      <w:pPr>
        <w:rPr>
          <w:rFonts w:ascii="Times New Roman" w:hAnsi="Times New Roman"/>
          <w:szCs w:val="24"/>
        </w:rPr>
      </w:pPr>
    </w:p>
    <w:p w:rsidR="00EB6CC8" w:rsidRPr="0069720A" w:rsidRDefault="001B0F61" w:rsidP="00EB6CC8">
      <w:pPr>
        <w:numPr>
          <w:ilvl w:val="0"/>
          <w:numId w:val="2"/>
        </w:numPr>
        <w:rPr>
          <w:rFonts w:ascii="Times New Roman" w:hAnsi="Times New Roman"/>
          <w:b/>
          <w:szCs w:val="24"/>
          <w:lang w:val="es-ES"/>
        </w:rPr>
      </w:pPr>
      <w:r w:rsidRPr="0069720A">
        <w:rPr>
          <w:rFonts w:ascii="Times New Roman" w:hAnsi="Times New Roman"/>
          <w:b/>
          <w:szCs w:val="24"/>
          <w:lang w:val="es-ES"/>
        </w:rPr>
        <w:t xml:space="preserve">Convenio </w:t>
      </w:r>
      <w:r>
        <w:rPr>
          <w:rFonts w:ascii="Times New Roman" w:hAnsi="Times New Roman"/>
          <w:b/>
          <w:szCs w:val="24"/>
          <w:lang w:val="es-ES"/>
        </w:rPr>
        <w:t xml:space="preserve">interinstitucional </w:t>
      </w:r>
      <w:bookmarkStart w:id="16" w:name="_GoBack"/>
      <w:bookmarkEnd w:id="16"/>
      <w:r>
        <w:rPr>
          <w:rFonts w:ascii="Times New Roman" w:hAnsi="Times New Roman"/>
          <w:b/>
          <w:szCs w:val="24"/>
          <w:lang w:val="es-ES"/>
        </w:rPr>
        <w:t>Colegio Mayor de Nuestra Señora del Rosario</w:t>
      </w:r>
      <w:r w:rsidRPr="0069720A">
        <w:rPr>
          <w:rFonts w:ascii="Times New Roman" w:hAnsi="Times New Roman"/>
          <w:b/>
          <w:szCs w:val="24"/>
          <w:lang w:val="es-ES"/>
        </w:rPr>
        <w:t xml:space="preserve"> – Secretaría Distrital de Planeación</w:t>
      </w:r>
      <w:r>
        <w:rPr>
          <w:rFonts w:ascii="Times New Roman" w:hAnsi="Times New Roman"/>
          <w:b/>
          <w:szCs w:val="24"/>
          <w:lang w:val="es-ES"/>
        </w:rPr>
        <w:t xml:space="preserve"> No. 123 de 2015</w:t>
      </w:r>
      <w:r w:rsidRPr="0069720A">
        <w:rPr>
          <w:rFonts w:ascii="Times New Roman" w:hAnsi="Times New Roman"/>
          <w:b/>
          <w:szCs w:val="24"/>
          <w:lang w:val="es-ES"/>
        </w:rPr>
        <w:t>.</w:t>
      </w:r>
    </w:p>
    <w:p w:rsidR="00EB6CC8" w:rsidRPr="0069720A" w:rsidRDefault="001B0F61" w:rsidP="00EB6CC8">
      <w:pPr>
        <w:rPr>
          <w:rFonts w:ascii="Times New Roman" w:hAnsi="Times New Roman"/>
          <w:szCs w:val="24"/>
          <w:lang w:val="es-ES"/>
        </w:rPr>
      </w:pPr>
    </w:p>
    <w:p w:rsidR="00584575" w:rsidRPr="00584575" w:rsidRDefault="001B0F61" w:rsidP="00584575">
      <w:pPr>
        <w:rPr>
          <w:rFonts w:ascii="Times New Roman" w:hAnsi="Times New Roman"/>
          <w:szCs w:val="24"/>
        </w:rPr>
      </w:pPr>
      <w:r w:rsidRPr="00584575">
        <w:rPr>
          <w:rFonts w:ascii="Times New Roman" w:hAnsi="Times New Roman"/>
          <w:szCs w:val="24"/>
        </w:rPr>
        <w:t> </w:t>
      </w:r>
      <w:r w:rsidRPr="00EB6CC8">
        <w:rPr>
          <w:rFonts w:ascii="Times New Roman" w:hAnsi="Times New Roman"/>
          <w:b/>
          <w:szCs w:val="24"/>
        </w:rPr>
        <w:t>Objeto:</w:t>
      </w:r>
      <w:r>
        <w:rPr>
          <w:rFonts w:ascii="Times New Roman" w:hAnsi="Times New Roman"/>
          <w:szCs w:val="24"/>
        </w:rPr>
        <w:t>“</w:t>
      </w:r>
      <w:r w:rsidRPr="00584575">
        <w:rPr>
          <w:rFonts w:ascii="Times New Roman" w:hAnsi="Times New Roman"/>
          <w:szCs w:val="24"/>
        </w:rPr>
        <w:t>Aunar esfuerzos técnicos, administrativos y tecnológicos para facilitar el desarrollo conjunto de programas, proyectos y procesos investigativos que</w:t>
      </w:r>
      <w:r>
        <w:rPr>
          <w:rFonts w:ascii="Times New Roman" w:hAnsi="Times New Roman"/>
          <w:szCs w:val="24"/>
        </w:rPr>
        <w:t xml:space="preserve"> sean de mutuo interés para la Secretaría Distrital de P</w:t>
      </w:r>
      <w:r w:rsidRPr="00584575">
        <w:rPr>
          <w:rFonts w:ascii="Times New Roman" w:hAnsi="Times New Roman"/>
          <w:szCs w:val="24"/>
        </w:rPr>
        <w:t xml:space="preserve">laneación y la </w:t>
      </w:r>
      <w:r>
        <w:rPr>
          <w:rFonts w:ascii="Times New Roman" w:hAnsi="Times New Roman"/>
          <w:szCs w:val="24"/>
        </w:rPr>
        <w:t>Universidad del R</w:t>
      </w:r>
      <w:r w:rsidRPr="00584575">
        <w:rPr>
          <w:rFonts w:ascii="Times New Roman" w:hAnsi="Times New Roman"/>
          <w:szCs w:val="24"/>
        </w:rPr>
        <w:t>osario</w:t>
      </w:r>
      <w:r>
        <w:rPr>
          <w:rFonts w:ascii="Times New Roman" w:hAnsi="Times New Roman"/>
          <w:szCs w:val="24"/>
        </w:rPr>
        <w:t>”</w:t>
      </w:r>
      <w:r w:rsidRPr="00584575">
        <w:rPr>
          <w:rFonts w:ascii="Times New Roman" w:hAnsi="Times New Roman"/>
          <w:szCs w:val="24"/>
        </w:rPr>
        <w:t>.</w:t>
      </w:r>
    </w:p>
    <w:p w:rsidR="00584575" w:rsidRPr="00584575" w:rsidRDefault="001B0F61" w:rsidP="00584575">
      <w:pPr>
        <w:rPr>
          <w:rFonts w:ascii="Times New Roman" w:hAnsi="Times New Roman"/>
          <w:szCs w:val="24"/>
        </w:rPr>
      </w:pPr>
    </w:p>
    <w:p w:rsidR="00EB6CC8" w:rsidRDefault="001B0F61" w:rsidP="00EB6CC8">
      <w:pPr>
        <w:rPr>
          <w:rFonts w:ascii="Times New Roman" w:hAnsi="Times New Roman"/>
          <w:b/>
          <w:szCs w:val="24"/>
          <w:lang w:val="es-ES"/>
        </w:rPr>
      </w:pPr>
      <w:r w:rsidRPr="00584575">
        <w:rPr>
          <w:rFonts w:ascii="Times New Roman" w:hAnsi="Times New Roman"/>
          <w:b/>
          <w:szCs w:val="24"/>
          <w:lang w:val="es-ES"/>
        </w:rPr>
        <w:t>Compromisos y Responsabilidades – Productos Esperados:</w:t>
      </w:r>
    </w:p>
    <w:p w:rsidR="00EB6CC8" w:rsidRDefault="001B0F61" w:rsidP="00EB6CC8">
      <w:pPr>
        <w:rPr>
          <w:rFonts w:ascii="Times New Roman" w:hAnsi="Times New Roman"/>
          <w:b/>
          <w:szCs w:val="24"/>
          <w:lang w:val="es-ES"/>
        </w:rPr>
      </w:pPr>
    </w:p>
    <w:p w:rsidR="00584575" w:rsidRPr="00584575" w:rsidRDefault="001B0F61" w:rsidP="00584575">
      <w:pPr>
        <w:rPr>
          <w:rFonts w:ascii="Times New Roman" w:hAnsi="Times New Roman"/>
          <w:szCs w:val="24"/>
        </w:rPr>
      </w:pPr>
      <w:r w:rsidRPr="00584575">
        <w:rPr>
          <w:rFonts w:ascii="Times New Roman" w:hAnsi="Times New Roman"/>
          <w:szCs w:val="24"/>
        </w:rPr>
        <w:t xml:space="preserve">Los compromisos y responsabilidades del Convenio en mención consiste en aunar esfuerzos para impulsar y desarrollar programas, actividades y proyectos de investigación, formación, docencia, extensión </w:t>
      </w:r>
      <w:r w:rsidRPr="00584575">
        <w:rPr>
          <w:rFonts w:ascii="Times New Roman" w:hAnsi="Times New Roman"/>
          <w:szCs w:val="24"/>
        </w:rPr>
        <w:t>e intercambio de información en temas sociales, económicos, territoriales (rural y urbano), ambientales, institucionales, y otros afines, que propendan por una mejor comprensión y diseño de políticas públicas, así como un desarrollo económico y social a ni</w:t>
      </w:r>
      <w:r w:rsidRPr="00584575">
        <w:rPr>
          <w:rFonts w:ascii="Times New Roman" w:hAnsi="Times New Roman"/>
          <w:szCs w:val="24"/>
        </w:rPr>
        <w:t>vel nacional y distrital. Para tal efecto, se podrán diseñar, implementar y ejecutar actividades, programas y proyectos de investigación de naturaleza científica, bibliográfica, tecnológica, empírica o cualquiera otra de interés común, definidos de mutuo a</w:t>
      </w:r>
      <w:r w:rsidRPr="00584575">
        <w:rPr>
          <w:rFonts w:ascii="Times New Roman" w:hAnsi="Times New Roman"/>
          <w:szCs w:val="24"/>
        </w:rPr>
        <w:t>cuerdo, mediante la suma de esfuerzos, recursos físicos y humanos, capacidades y oportunidades de ambas.</w:t>
      </w:r>
    </w:p>
    <w:p w:rsidR="00584575" w:rsidRPr="00584575" w:rsidRDefault="001B0F61" w:rsidP="00584575">
      <w:pPr>
        <w:rPr>
          <w:rFonts w:ascii="Times New Roman" w:hAnsi="Times New Roman"/>
          <w:szCs w:val="24"/>
        </w:rPr>
      </w:pPr>
    </w:p>
    <w:p w:rsidR="00EB6CC8" w:rsidRDefault="001B0F61" w:rsidP="00EB6CC8">
      <w:pPr>
        <w:rPr>
          <w:rFonts w:ascii="Times New Roman" w:hAnsi="Times New Roman"/>
          <w:b/>
          <w:szCs w:val="24"/>
          <w:lang w:val="es-ES"/>
        </w:rPr>
      </w:pPr>
      <w:r w:rsidRPr="00584575">
        <w:rPr>
          <w:rFonts w:ascii="Times New Roman" w:hAnsi="Times New Roman"/>
          <w:b/>
          <w:szCs w:val="24"/>
          <w:lang w:val="es-ES"/>
        </w:rPr>
        <w:t xml:space="preserve">Avance en la ejecución: </w:t>
      </w:r>
    </w:p>
    <w:p w:rsidR="00EB6CC8" w:rsidRPr="00584575" w:rsidRDefault="001B0F61" w:rsidP="00EB6CC8">
      <w:pPr>
        <w:rPr>
          <w:rFonts w:ascii="Times New Roman" w:hAnsi="Times New Roman"/>
          <w:b/>
          <w:szCs w:val="24"/>
          <w:lang w:val="es-ES"/>
        </w:rPr>
      </w:pPr>
    </w:p>
    <w:p w:rsidR="00584575" w:rsidRPr="00584575" w:rsidRDefault="001B0F61" w:rsidP="00584575">
      <w:pPr>
        <w:rPr>
          <w:rFonts w:ascii="Times New Roman" w:hAnsi="Times New Roman"/>
          <w:szCs w:val="24"/>
        </w:rPr>
      </w:pPr>
      <w:r w:rsidRPr="00584575">
        <w:rPr>
          <w:rFonts w:ascii="Times New Roman" w:hAnsi="Times New Roman"/>
          <w:szCs w:val="24"/>
        </w:rPr>
        <w:t>La Secretaría y la Universidad del Rosario están en proceso de coordinar las diferentes actividades y proyectos a realizar e</w:t>
      </w:r>
      <w:r w:rsidRPr="00584575">
        <w:rPr>
          <w:rFonts w:ascii="Times New Roman" w:hAnsi="Times New Roman"/>
          <w:szCs w:val="24"/>
        </w:rPr>
        <w:t xml:space="preserve">n el marco del Convenio 123 de 2015, lo que incluye la definición de las temáticas a investigar, los mecanismos de operación del Comité Interinstitucional, disponibilidad de información necesaria, </w:t>
      </w:r>
    </w:p>
    <w:p w:rsidR="00584575" w:rsidRPr="00584575" w:rsidRDefault="001B0F61" w:rsidP="00584575">
      <w:pPr>
        <w:rPr>
          <w:rFonts w:ascii="Times New Roman" w:hAnsi="Times New Roman"/>
          <w:szCs w:val="24"/>
        </w:rPr>
      </w:pPr>
    </w:p>
    <w:p w:rsidR="00EB6CC8" w:rsidRPr="00584575" w:rsidRDefault="001B0F61" w:rsidP="00EB6CC8">
      <w:pPr>
        <w:rPr>
          <w:rFonts w:ascii="Times New Roman" w:hAnsi="Times New Roman"/>
          <w:b/>
        </w:rPr>
      </w:pPr>
      <w:r w:rsidRPr="00584575">
        <w:rPr>
          <w:rFonts w:ascii="Times New Roman" w:hAnsi="Times New Roman"/>
          <w:b/>
        </w:rPr>
        <w:t xml:space="preserve">Pendiente por ejecutar: </w:t>
      </w:r>
    </w:p>
    <w:p w:rsidR="00584575" w:rsidRPr="00584575" w:rsidRDefault="001B0F61" w:rsidP="00584575">
      <w:pPr>
        <w:rPr>
          <w:rFonts w:ascii="Times New Roman" w:hAnsi="Times New Roman"/>
          <w:szCs w:val="24"/>
        </w:rPr>
      </w:pPr>
      <w:r w:rsidRPr="00584575">
        <w:rPr>
          <w:rFonts w:ascii="Times New Roman" w:hAnsi="Times New Roman"/>
          <w:szCs w:val="24"/>
        </w:rPr>
        <w:t>Ejecutar los programas, activida</w:t>
      </w:r>
      <w:r w:rsidRPr="00584575">
        <w:rPr>
          <w:rFonts w:ascii="Times New Roman" w:hAnsi="Times New Roman"/>
          <w:szCs w:val="24"/>
        </w:rPr>
        <w:t>des y proyectos de investigación, formación, docencia, extensión que se definan como prioritarios según lo acordado por la Secretaría y la Universidad.</w:t>
      </w:r>
    </w:p>
    <w:p w:rsidR="0069720A" w:rsidRPr="004F1C6A" w:rsidRDefault="001B0F61" w:rsidP="00851E1D">
      <w:pPr>
        <w:rPr>
          <w:rFonts w:ascii="Times New Roman" w:hAnsi="Times New Roman"/>
          <w:szCs w:val="24"/>
          <w:lang w:val="es-ES"/>
        </w:rPr>
      </w:pPr>
    </w:p>
    <w:p w:rsidR="00EB6CC8" w:rsidRDefault="001B0F61" w:rsidP="00851E1D">
      <w:pPr>
        <w:rPr>
          <w:rFonts w:ascii="Times New Roman" w:hAnsi="Times New Roman"/>
          <w:szCs w:val="24"/>
          <w:lang w:val="es-ES"/>
        </w:rPr>
      </w:pPr>
      <w:r>
        <w:rPr>
          <w:rFonts w:ascii="Times New Roman" w:hAnsi="Times New Roman"/>
          <w:szCs w:val="24"/>
          <w:lang w:val="es-ES"/>
        </w:rPr>
        <w:t xml:space="preserve">Sea este el espacio para aclarar que la supervisión del convenio de cooperación 097 de 2015 se </w:t>
      </w:r>
      <w:r>
        <w:rPr>
          <w:rFonts w:ascii="Times New Roman" w:hAnsi="Times New Roman"/>
          <w:szCs w:val="24"/>
          <w:lang w:val="es-ES"/>
        </w:rPr>
        <w:t>encuentra bajo mi supervisión puesto que en la matriz relacionada se encuentra es la Doctora Carolina Chica en este rol, en ese sentido realizo esta observación para que se realicen los ajustes pertinentes.</w:t>
      </w:r>
    </w:p>
    <w:p w:rsidR="00EB6CC8" w:rsidRDefault="001B0F61" w:rsidP="00851E1D">
      <w:pPr>
        <w:rPr>
          <w:rFonts w:ascii="Times New Roman" w:hAnsi="Times New Roman"/>
          <w:szCs w:val="24"/>
          <w:lang w:val="es-ES"/>
        </w:rPr>
      </w:pPr>
    </w:p>
    <w:p w:rsidR="00851E1D" w:rsidRPr="004F1C6A" w:rsidRDefault="001B0F61" w:rsidP="00851E1D">
      <w:pPr>
        <w:rPr>
          <w:rFonts w:ascii="Times New Roman" w:hAnsi="Times New Roman"/>
          <w:szCs w:val="24"/>
          <w:lang w:val="es-ES"/>
        </w:rPr>
      </w:pPr>
    </w:p>
    <w:p w:rsidR="00851E1D" w:rsidRDefault="001B0F61" w:rsidP="00851E1D">
      <w:pPr>
        <w:rPr>
          <w:rFonts w:ascii="Times New Roman" w:hAnsi="Times New Roman"/>
          <w:szCs w:val="24"/>
          <w:lang w:val="es-ES"/>
        </w:rPr>
      </w:pPr>
      <w:r w:rsidRPr="004F1C6A">
        <w:rPr>
          <w:rFonts w:ascii="Times New Roman" w:hAnsi="Times New Roman"/>
          <w:szCs w:val="24"/>
          <w:lang w:val="es-ES"/>
        </w:rPr>
        <w:t>Cordialmente,</w:t>
      </w:r>
    </w:p>
    <w:p w:rsidR="009150E5" w:rsidRPr="004F1C6A" w:rsidRDefault="001B0F61" w:rsidP="00851E1D">
      <w:pPr>
        <w:rPr>
          <w:rFonts w:ascii="Times New Roman" w:hAnsi="Times New Roman"/>
          <w:szCs w:val="24"/>
          <w:lang w:val="es-ES"/>
        </w:rPr>
      </w:pPr>
    </w:p>
    <w:p w:rsidR="00851E1D" w:rsidRDefault="001B0F61" w:rsidP="00851E1D">
      <w:pPr>
        <w:rPr>
          <w:rFonts w:ascii="Times New Roman" w:hAnsi="Times New Roman"/>
          <w:szCs w:val="24"/>
          <w:lang w:val="es-ES"/>
        </w:rPr>
      </w:pPr>
    </w:p>
    <w:p w:rsidR="00851E1D" w:rsidRDefault="001B0F61" w:rsidP="00851E1D">
      <w:pPr>
        <w:rPr>
          <w:rFonts w:ascii="Times New Roman" w:hAnsi="Times New Roman"/>
          <w:szCs w:val="24"/>
          <w:lang w:val="es-ES"/>
        </w:rPr>
        <w:sectPr w:rsidR="00851E1D" w:rsidSect="00254F6B">
          <w:type w:val="continuous"/>
          <w:pgSz w:w="12242" w:h="15842" w:code="119"/>
          <w:pgMar w:top="1985" w:right="1417" w:bottom="2268" w:left="1701" w:header="567" w:footer="454" w:gutter="0"/>
          <w:cols w:space="708"/>
          <w:docGrid w:linePitch="360"/>
        </w:sectPr>
      </w:pPr>
    </w:p>
    <w:p w:rsidR="00851E1D" w:rsidRPr="004F1C6A" w:rsidRDefault="008B04DA" w:rsidP="00851E1D">
      <w:pPr>
        <w:rPr>
          <w:rFonts w:ascii="Times New Roman" w:hAnsi="Times New Roman"/>
          <w:szCs w:val="24"/>
          <w:lang w:val="es-ES"/>
        </w:rPr>
      </w:pPr>
      <w:bookmarkStart w:id="17" w:name="gdocs_firma"/>
      <w:r w:rsidRPr="008B04DA">
        <w:rPr>
          <w:rFonts w:ascii="Times New Roman" w:hAnsi="Times New Roman"/>
          <w:szCs w:val="24"/>
          <w:lang w:val="es-E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65.25pt">
            <v:imagedata r:id="rId9" o:title=""/>
          </v:shape>
        </w:pict>
      </w:r>
      <w:bookmarkEnd w:id="17"/>
    </w:p>
    <w:p w:rsidR="00851E1D" w:rsidRPr="004F1C6A" w:rsidRDefault="001B0F61" w:rsidP="00851E1D">
      <w:pPr>
        <w:rPr>
          <w:rFonts w:ascii="Times New Roman" w:hAnsi="Times New Roman"/>
          <w:b/>
          <w:szCs w:val="24"/>
          <w:lang w:val="es-ES"/>
        </w:rPr>
      </w:pPr>
      <w:bookmarkStart w:id="18" w:name="nombre"/>
      <w:r w:rsidRPr="004F1C6A">
        <w:rPr>
          <w:rFonts w:ascii="Times New Roman" w:hAnsi="Times New Roman"/>
          <w:b/>
          <w:szCs w:val="24"/>
          <w:lang w:val="es-ES"/>
        </w:rPr>
        <w:t xml:space="preserve">ARIEL  ELIECER  CARRERO MONTANEZ </w:t>
      </w:r>
      <w:bookmarkEnd w:id="18"/>
    </w:p>
    <w:p w:rsidR="00851E1D" w:rsidRPr="004F1C6A" w:rsidRDefault="001B0F61" w:rsidP="00851E1D">
      <w:pPr>
        <w:rPr>
          <w:rFonts w:ascii="Times New Roman" w:hAnsi="Times New Roman"/>
          <w:b/>
          <w:szCs w:val="24"/>
          <w:lang w:val="es-ES"/>
        </w:rPr>
      </w:pPr>
      <w:bookmarkStart w:id="19" w:name="dependencia"/>
      <w:r w:rsidRPr="004F1C6A">
        <w:rPr>
          <w:rFonts w:ascii="Times New Roman" w:hAnsi="Times New Roman"/>
          <w:b/>
          <w:szCs w:val="24"/>
          <w:lang w:val="es-ES"/>
        </w:rPr>
        <w:t>Dirección de Estratificación</w:t>
      </w:r>
      <w:bookmarkEnd w:id="19"/>
    </w:p>
    <w:p w:rsidR="00851E1D" w:rsidRDefault="001B0F61" w:rsidP="00851E1D">
      <w:pPr>
        <w:rPr>
          <w:rFonts w:ascii="Times New Roman" w:hAnsi="Times New Roman"/>
          <w:szCs w:val="24"/>
          <w:lang w:val="es-ES"/>
        </w:rPr>
      </w:pPr>
    </w:p>
    <w:p w:rsidR="00851E1D" w:rsidRDefault="001B0F61" w:rsidP="00851E1D">
      <w:pPr>
        <w:rPr>
          <w:rFonts w:ascii="Times New Roman" w:hAnsi="Times New Roman"/>
          <w:szCs w:val="24"/>
          <w:lang w:val="es-ES"/>
        </w:rPr>
        <w:sectPr w:rsidR="00851E1D" w:rsidSect="00254F6B">
          <w:type w:val="continuous"/>
          <w:pgSz w:w="12242" w:h="15842" w:code="119"/>
          <w:pgMar w:top="1985" w:right="1417" w:bottom="2268" w:left="1701" w:header="567" w:footer="454" w:gutter="0"/>
          <w:cols w:space="708"/>
          <w:docGrid w:linePitch="360"/>
        </w:sectPr>
      </w:pPr>
    </w:p>
    <w:p w:rsidR="00851E1D" w:rsidRDefault="001B0F61" w:rsidP="00851E1D">
      <w:pPr>
        <w:rPr>
          <w:rFonts w:ascii="Times New Roman" w:hAnsi="Times New Roman"/>
          <w:szCs w:val="24"/>
          <w:lang w:val="es-ES"/>
        </w:rPr>
      </w:pPr>
      <w:r w:rsidRPr="004F1C6A">
        <w:rPr>
          <w:rFonts w:ascii="Times New Roman" w:hAnsi="Times New Roman"/>
          <w:szCs w:val="24"/>
          <w:lang w:val="es-ES"/>
        </w:rPr>
        <w:lastRenderedPageBreak/>
        <w:t>Anexos:</w:t>
      </w:r>
      <w:bookmarkStart w:id="20" w:name="anexos"/>
      <w:bookmarkEnd w:id="20"/>
    </w:p>
    <w:p w:rsidR="00851E1D" w:rsidRDefault="001B0F61" w:rsidP="00851E1D">
      <w:pPr>
        <w:rPr>
          <w:rFonts w:ascii="Times New Roman" w:hAnsi="Times New Roman"/>
          <w:szCs w:val="24"/>
          <w:lang w:val="es-ES"/>
        </w:rPr>
      </w:pPr>
      <w:r w:rsidRPr="004F1C6A">
        <w:rPr>
          <w:rFonts w:ascii="Times New Roman" w:hAnsi="Times New Roman"/>
          <w:szCs w:val="24"/>
          <w:lang w:val="es-ES"/>
        </w:rPr>
        <w:t xml:space="preserve">Copia: </w:t>
      </w:r>
    </w:p>
    <w:p w:rsidR="007B6EDE" w:rsidRPr="004F1C6A" w:rsidRDefault="001B0F61" w:rsidP="00851E1D">
      <w:pPr>
        <w:rPr>
          <w:rFonts w:ascii="Times New Roman" w:hAnsi="Times New Roman"/>
          <w:szCs w:val="24"/>
          <w:lang w:val="es-ES"/>
        </w:rPr>
      </w:pPr>
    </w:p>
    <w:p w:rsidR="00851E1D" w:rsidRDefault="001B0F61" w:rsidP="00851E1D">
      <w:pPr>
        <w:rPr>
          <w:rFonts w:ascii="Times New Roman" w:hAnsi="Times New Roman"/>
          <w:szCs w:val="24"/>
        </w:rPr>
      </w:pPr>
    </w:p>
    <w:p w:rsidR="00851E1D" w:rsidRDefault="001B0F61" w:rsidP="00851E1D">
      <w:pPr>
        <w:rPr>
          <w:rFonts w:ascii="Times New Roman" w:hAnsi="Times New Roman"/>
          <w:szCs w:val="24"/>
        </w:rPr>
        <w:sectPr w:rsidR="00851E1D" w:rsidSect="00254F6B">
          <w:type w:val="continuous"/>
          <w:pgSz w:w="12242" w:h="15842" w:code="119"/>
          <w:pgMar w:top="1985" w:right="1417" w:bottom="2268" w:left="1701" w:header="567" w:footer="454" w:gutter="0"/>
          <w:cols w:space="708"/>
          <w:docGrid w:linePitch="360"/>
        </w:sectPr>
      </w:pPr>
    </w:p>
    <w:p w:rsidR="00851E1D" w:rsidRPr="004F1C6A" w:rsidRDefault="001B0F61" w:rsidP="00851E1D">
      <w:pPr>
        <w:rPr>
          <w:rFonts w:ascii="Times New Roman" w:hAnsi="Times New Roman"/>
          <w:szCs w:val="24"/>
        </w:rPr>
      </w:pPr>
    </w:p>
    <w:sectPr w:rsidR="00851E1D" w:rsidRPr="004F1C6A" w:rsidSect="00254F6B">
      <w:type w:val="continuous"/>
      <w:pgSz w:w="12242" w:h="15842" w:code="119"/>
      <w:pgMar w:top="1985" w:right="1418" w:bottom="2268" w:left="1701"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4DA" w:rsidRDefault="008B04DA" w:rsidP="008B04DA">
      <w:r>
        <w:separator/>
      </w:r>
    </w:p>
  </w:endnote>
  <w:endnote w:type="continuationSeparator" w:id="0">
    <w:p w:rsidR="008B04DA" w:rsidRDefault="008B04DA" w:rsidP="008B04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1D" w:rsidRPr="00FC7BA1" w:rsidRDefault="001B0F61" w:rsidP="00851E1D">
    <w:pPr>
      <w:autoSpaceDE w:val="0"/>
      <w:autoSpaceDN w:val="0"/>
      <w:adjustRightInd w:val="0"/>
      <w:jc w:val="center"/>
      <w:rPr>
        <w:rFonts w:ascii="Times New Roman" w:hAnsi="Times New Roman"/>
        <w:b/>
        <w:i/>
        <w:iCs/>
        <w:color w:val="000000"/>
        <w:sz w:val="14"/>
        <w:szCs w:val="14"/>
      </w:rPr>
    </w:pPr>
    <w:r>
      <w:rPr>
        <w:rFonts w:ascii="Times New Roman" w:hAnsi="Times New Roman"/>
        <w:b/>
        <w:i/>
        <w:iCs/>
        <w:noProof/>
        <w:color w:val="000000"/>
        <w:sz w:val="14"/>
        <w:szCs w:val="14"/>
        <w:lang w:val="en-US" w:eastAsia="en-US"/>
      </w:rPr>
      <w:drawing>
        <wp:anchor distT="0" distB="0" distL="114300" distR="114300" simplePos="0" relativeHeight="251658240" behindDoc="1" locked="0" layoutInCell="1" allowOverlap="1">
          <wp:simplePos x="0" y="0"/>
          <wp:positionH relativeFrom="column">
            <wp:posOffset>-1093470</wp:posOffset>
          </wp:positionH>
          <wp:positionV relativeFrom="paragraph">
            <wp:posOffset>-1080770</wp:posOffset>
          </wp:positionV>
          <wp:extent cx="7753985" cy="1264285"/>
          <wp:effectExtent l="0" t="0" r="0" b="0"/>
          <wp:wrapTight wrapText="bothSides">
            <wp:wrapPolygon edited="0">
              <wp:start x="0" y="0"/>
              <wp:lineTo x="0" y="21155"/>
              <wp:lineTo x="21545" y="21155"/>
              <wp:lineTo x="21545" y="0"/>
              <wp:lineTo x="0" y="0"/>
            </wp:wrapPolygon>
          </wp:wrapTight>
          <wp:docPr id="1026" name="Imagen 1026" descr="PI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PIE-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753985" cy="1264285"/>
                  </a:xfrm>
                  <a:prstGeom prst="rect">
                    <a:avLst/>
                  </a:prstGeom>
                  <a:noFill/>
                </pic:spPr>
              </pic:pic>
            </a:graphicData>
          </a:graphic>
        </wp:anchor>
      </w:drawing>
    </w:r>
    <w:r w:rsidRPr="00FC7BA1">
      <w:rPr>
        <w:rFonts w:ascii="Times New Roman" w:hAnsi="Times New Roman"/>
        <w:b/>
        <w:i/>
        <w:iCs/>
        <w:color w:val="000000"/>
        <w:sz w:val="14"/>
        <w:szCs w:val="14"/>
      </w:rPr>
      <w:t>Este documento es una versión impresa del original que fue generado digitalmente.</w:t>
    </w:r>
  </w:p>
  <w:p w:rsidR="00851E1D" w:rsidRPr="006D0E2F" w:rsidRDefault="001B0F61" w:rsidP="00851E1D">
    <w:pPr>
      <w:autoSpaceDE w:val="0"/>
      <w:autoSpaceDN w:val="0"/>
      <w:adjustRightInd w:val="0"/>
      <w:jc w:val="center"/>
    </w:pPr>
    <w:r w:rsidRPr="00FC7BA1">
      <w:rPr>
        <w:rFonts w:ascii="Times New Roman" w:hAnsi="Times New Roman"/>
        <w:b/>
        <w:i/>
        <w:sz w:val="14"/>
        <w:szCs w:val="14"/>
      </w:rPr>
      <w:t xml:space="preserve">Es válido legalmente al amparo del artículo 12 del Decreto 2150 de 1995 y del artículo 7° de </w:t>
    </w:r>
    <w:smartTag w:uri="urn:schemas-microsoft-com:office:smarttags" w:element="PersonName">
      <w:smartTagPr>
        <w:attr w:name="ProductID" w:val="la Ley"/>
      </w:smartTagPr>
      <w:r w:rsidRPr="00FC7BA1">
        <w:rPr>
          <w:rFonts w:ascii="Times New Roman" w:hAnsi="Times New Roman"/>
          <w:b/>
          <w:i/>
          <w:sz w:val="14"/>
          <w:szCs w:val="14"/>
        </w:rPr>
        <w:t>la Ley</w:t>
      </w:r>
    </w:smartTag>
    <w:r w:rsidRPr="00FC7BA1">
      <w:rPr>
        <w:rFonts w:ascii="Times New Roman" w:hAnsi="Times New Roman"/>
        <w:b/>
        <w:i/>
        <w:sz w:val="14"/>
        <w:szCs w:val="14"/>
      </w:rPr>
      <w:t xml:space="preserve"> 527 de 1999.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4DA" w:rsidRDefault="008B04DA" w:rsidP="008B04DA">
      <w:r>
        <w:separator/>
      </w:r>
    </w:p>
  </w:footnote>
  <w:footnote w:type="continuationSeparator" w:id="0">
    <w:p w:rsidR="008B04DA" w:rsidRDefault="008B04DA" w:rsidP="008B04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614" w:type="dxa"/>
      <w:tblInd w:w="5619" w:type="dxa"/>
      <w:tblBorders>
        <w:top w:val="single" w:sz="4" w:space="0" w:color="auto"/>
        <w:left w:val="single" w:sz="4" w:space="0" w:color="auto"/>
        <w:bottom w:val="single" w:sz="4" w:space="0" w:color="auto"/>
        <w:right w:val="single" w:sz="4" w:space="0" w:color="auto"/>
      </w:tblBorders>
      <w:tblLook w:val="04A0"/>
    </w:tblPr>
    <w:tblGrid>
      <w:gridCol w:w="4614"/>
    </w:tblGrid>
    <w:tr w:rsidR="008B04DA" w:rsidTr="00EC67A8">
      <w:tc>
        <w:tcPr>
          <w:tcW w:w="4614" w:type="dxa"/>
          <w:shd w:val="clear" w:color="auto" w:fill="auto"/>
        </w:tcPr>
        <w:p w:rsidR="00C903D8" w:rsidRPr="00FE3719" w:rsidRDefault="001B0F61" w:rsidP="007B6EDE">
          <w:pPr>
            <w:spacing w:line="276" w:lineRule="auto"/>
            <w:rPr>
              <w:rFonts w:eastAsia="Calibri"/>
              <w:sz w:val="22"/>
              <w:szCs w:val="22"/>
              <w:lang w:eastAsia="en-US"/>
            </w:rPr>
          </w:pPr>
          <w:r w:rsidRPr="009E0EC1">
            <w:rPr>
              <w:rFonts w:ascii="Arial Narrow" w:hAnsi="Arial Narrow"/>
              <w:b/>
              <w:sz w:val="16"/>
              <w:szCs w:val="16"/>
            </w:rPr>
            <w:t>SECRETARÍA DISTRITAL DE PLANEACIÓN</w:t>
          </w:r>
          <w:r w:rsidRPr="009E0EC1">
            <w:rPr>
              <w:rFonts w:ascii="Arial Narrow" w:hAnsi="Arial Narrow"/>
              <w:b/>
              <w:sz w:val="15"/>
              <w:szCs w:val="15"/>
            </w:rPr>
            <w:t xml:space="preserve">  Folios</w:t>
          </w:r>
          <w:r w:rsidRPr="009E0EC1">
            <w:rPr>
              <w:rFonts w:ascii="Arial Narrow" w:hAnsi="Arial Narrow"/>
              <w:sz w:val="15"/>
              <w:szCs w:val="15"/>
            </w:rPr>
            <w:t>:</w:t>
          </w:r>
          <w:bookmarkStart w:id="0" w:name="FolioRad"/>
          <w:r w:rsidRPr="009E0EC1">
            <w:rPr>
              <w:rFonts w:ascii="Arial Narrow" w:hAnsi="Arial Narrow"/>
              <w:sz w:val="15"/>
              <w:szCs w:val="15"/>
            </w:rPr>
            <w:t>7</w:t>
          </w:r>
          <w:bookmarkEnd w:id="0"/>
          <w:r w:rsidRPr="009E0EC1">
            <w:rPr>
              <w:rFonts w:ascii="Arial Narrow" w:hAnsi="Arial Narrow"/>
              <w:b/>
              <w:sz w:val="15"/>
              <w:szCs w:val="15"/>
            </w:rPr>
            <w:t>Anexos</w:t>
          </w:r>
          <w:r w:rsidRPr="009E0EC1">
            <w:rPr>
              <w:rFonts w:ascii="Arial Narrow" w:hAnsi="Arial Narrow"/>
              <w:sz w:val="15"/>
              <w:szCs w:val="15"/>
            </w:rPr>
            <w:t>:</w:t>
          </w:r>
          <w:bookmarkStart w:id="1" w:name="AnexoRad"/>
          <w:r w:rsidRPr="009E0EC1">
            <w:rPr>
              <w:rFonts w:ascii="Arial Narrow" w:hAnsi="Arial Narrow"/>
              <w:sz w:val="15"/>
              <w:szCs w:val="15"/>
            </w:rPr>
            <w:t>No</w:t>
          </w:r>
          <w:bookmarkEnd w:id="1"/>
        </w:p>
      </w:tc>
    </w:tr>
    <w:tr w:rsidR="008B04DA" w:rsidTr="00EC67A8">
      <w:tc>
        <w:tcPr>
          <w:tcW w:w="4614" w:type="dxa"/>
          <w:shd w:val="clear" w:color="auto" w:fill="auto"/>
        </w:tcPr>
        <w:p w:rsidR="00C903D8" w:rsidRPr="00FE3719" w:rsidRDefault="001B0F61" w:rsidP="007B6EDE">
          <w:pPr>
            <w:spacing w:line="276" w:lineRule="auto"/>
            <w:rPr>
              <w:rFonts w:eastAsia="Calibri"/>
              <w:sz w:val="22"/>
              <w:szCs w:val="22"/>
              <w:lang w:eastAsia="en-US"/>
            </w:rPr>
          </w:pPr>
          <w:r w:rsidRPr="009E0EC1">
            <w:rPr>
              <w:rFonts w:ascii="Arial Narrow" w:hAnsi="Arial Narrow"/>
              <w:b/>
              <w:sz w:val="15"/>
              <w:szCs w:val="15"/>
            </w:rPr>
            <w:t>No. Radicación</w:t>
          </w:r>
          <w:r w:rsidRPr="009E0EC1">
            <w:rPr>
              <w:rFonts w:ascii="Arial Narrow" w:hAnsi="Arial Narrow"/>
              <w:sz w:val="15"/>
              <w:szCs w:val="15"/>
            </w:rPr>
            <w:t>:</w:t>
          </w:r>
          <w:bookmarkStart w:id="2" w:name="RadicacionRad"/>
          <w:r w:rsidRPr="009E0EC1">
            <w:rPr>
              <w:rFonts w:ascii="Arial Narrow" w:hAnsi="Arial Narrow"/>
              <w:sz w:val="15"/>
              <w:szCs w:val="15"/>
            </w:rPr>
            <w:t>3-2015-14551</w:t>
          </w:r>
          <w:bookmarkEnd w:id="2"/>
          <w:r w:rsidRPr="009E0EC1">
            <w:rPr>
              <w:rFonts w:ascii="Arial Narrow" w:hAnsi="Arial Narrow"/>
              <w:b/>
              <w:sz w:val="15"/>
              <w:szCs w:val="15"/>
            </w:rPr>
            <w:t>No. Radicado Inicial:</w:t>
          </w:r>
          <w:bookmarkStart w:id="3" w:name="RadicadoInicial"/>
          <w:r w:rsidRPr="009E0EC1">
            <w:rPr>
              <w:rFonts w:ascii="Arial Narrow" w:hAnsi="Arial Narrow"/>
              <w:sz w:val="15"/>
              <w:szCs w:val="15"/>
            </w:rPr>
            <w:t>3-2015-14492</w:t>
          </w:r>
          <w:bookmarkEnd w:id="3"/>
        </w:p>
      </w:tc>
    </w:tr>
    <w:tr w:rsidR="008B04DA" w:rsidTr="00EC67A8">
      <w:tc>
        <w:tcPr>
          <w:tcW w:w="4614" w:type="dxa"/>
          <w:shd w:val="clear" w:color="auto" w:fill="auto"/>
        </w:tcPr>
        <w:p w:rsidR="00C903D8" w:rsidRPr="00FE3719" w:rsidRDefault="001B0F61" w:rsidP="007B6EDE">
          <w:pPr>
            <w:spacing w:line="276" w:lineRule="auto"/>
            <w:rPr>
              <w:rFonts w:eastAsia="Calibri"/>
              <w:sz w:val="22"/>
              <w:szCs w:val="22"/>
              <w:lang w:eastAsia="en-US"/>
            </w:rPr>
          </w:pPr>
          <w:r w:rsidRPr="009E0EC1">
            <w:rPr>
              <w:rFonts w:ascii="Arial Narrow" w:hAnsi="Arial Narrow"/>
              <w:b/>
              <w:sz w:val="15"/>
              <w:szCs w:val="15"/>
            </w:rPr>
            <w:t>No. Proceso</w:t>
          </w:r>
          <w:r w:rsidRPr="009E0EC1">
            <w:rPr>
              <w:rFonts w:ascii="Arial Narrow" w:hAnsi="Arial Narrow"/>
              <w:sz w:val="15"/>
              <w:szCs w:val="15"/>
            </w:rPr>
            <w:t>:</w:t>
          </w:r>
          <w:bookmarkStart w:id="4" w:name="ProcesoRad"/>
          <w:r w:rsidRPr="009E0EC1">
            <w:rPr>
              <w:rFonts w:ascii="Arial Narrow" w:hAnsi="Arial Narrow"/>
              <w:sz w:val="15"/>
              <w:szCs w:val="15"/>
            </w:rPr>
            <w:t>1027173</w:t>
          </w:r>
          <w:bookmarkEnd w:id="4"/>
          <w:r w:rsidRPr="009E0EC1">
            <w:rPr>
              <w:rFonts w:ascii="Arial Narrow" w:hAnsi="Arial Narrow"/>
              <w:b/>
              <w:sz w:val="15"/>
              <w:szCs w:val="15"/>
            </w:rPr>
            <w:t xml:space="preserve">    Fecha</w:t>
          </w:r>
          <w:r w:rsidRPr="009E0EC1">
            <w:rPr>
              <w:rFonts w:ascii="Arial Narrow" w:hAnsi="Arial Narrow"/>
              <w:sz w:val="15"/>
              <w:szCs w:val="15"/>
            </w:rPr>
            <w:t>:</w:t>
          </w:r>
          <w:bookmarkStart w:id="5" w:name="FechaRad"/>
          <w:r w:rsidRPr="009E0EC1">
            <w:rPr>
              <w:rFonts w:ascii="Arial Narrow" w:hAnsi="Arial Narrow"/>
              <w:sz w:val="15"/>
              <w:szCs w:val="15"/>
            </w:rPr>
            <w:t>2015-10-14 09:02</w:t>
          </w:r>
          <w:bookmarkEnd w:id="5"/>
        </w:p>
      </w:tc>
    </w:tr>
    <w:tr w:rsidR="008B04DA" w:rsidTr="00EC67A8">
      <w:tc>
        <w:tcPr>
          <w:tcW w:w="4614" w:type="dxa"/>
          <w:shd w:val="clear" w:color="auto" w:fill="auto"/>
        </w:tcPr>
        <w:p w:rsidR="00C903D8" w:rsidRPr="00FE3719" w:rsidRDefault="001B0F61" w:rsidP="007B6EDE">
          <w:pPr>
            <w:spacing w:line="276" w:lineRule="auto"/>
            <w:rPr>
              <w:rFonts w:eastAsia="Calibri"/>
              <w:sz w:val="22"/>
              <w:szCs w:val="22"/>
              <w:lang w:eastAsia="en-US"/>
            </w:rPr>
          </w:pPr>
          <w:r w:rsidRPr="009E0EC1">
            <w:rPr>
              <w:rFonts w:ascii="Arial Narrow" w:hAnsi="Arial Narrow"/>
              <w:b/>
              <w:sz w:val="15"/>
              <w:szCs w:val="15"/>
            </w:rPr>
            <w:t>Tercero:</w:t>
          </w:r>
          <w:bookmarkStart w:id="6" w:name="NombreTerRad"/>
          <w:r w:rsidRPr="009E0EC1">
            <w:rPr>
              <w:rFonts w:ascii="Arial Narrow" w:hAnsi="Arial Narrow"/>
              <w:sz w:val="15"/>
              <w:szCs w:val="15"/>
            </w:rPr>
            <w:t xml:space="preserve">Yolanda Gonzalez </w:t>
          </w:r>
          <w:r w:rsidRPr="009E0EC1">
            <w:rPr>
              <w:rFonts w:ascii="Arial Narrow" w:hAnsi="Arial Narrow"/>
              <w:sz w:val="15"/>
              <w:szCs w:val="15"/>
            </w:rPr>
            <w:t>Chavez</w:t>
          </w:r>
          <w:bookmarkEnd w:id="6"/>
        </w:p>
      </w:tc>
    </w:tr>
    <w:tr w:rsidR="008B04DA" w:rsidTr="00EC67A8">
      <w:tc>
        <w:tcPr>
          <w:tcW w:w="4614" w:type="dxa"/>
          <w:shd w:val="clear" w:color="auto" w:fill="auto"/>
        </w:tcPr>
        <w:p w:rsidR="00C903D8" w:rsidRPr="00FE3719" w:rsidRDefault="001B0F61" w:rsidP="007B6EDE">
          <w:pPr>
            <w:pStyle w:val="Encabezado"/>
            <w:tabs>
              <w:tab w:val="left" w:pos="7513"/>
            </w:tabs>
            <w:spacing w:line="276" w:lineRule="auto"/>
            <w:rPr>
              <w:rFonts w:eastAsia="Calibri"/>
              <w:sz w:val="22"/>
              <w:lang w:eastAsia="en-US"/>
            </w:rPr>
          </w:pPr>
          <w:r w:rsidRPr="009E0EC1">
            <w:rPr>
              <w:rFonts w:ascii="Arial Narrow" w:hAnsi="Arial Narrow"/>
              <w:b/>
              <w:sz w:val="15"/>
              <w:szCs w:val="15"/>
            </w:rPr>
            <w:t>Dep. Radicadora:</w:t>
          </w:r>
          <w:r w:rsidRPr="009E0EC1">
            <w:rPr>
              <w:rFonts w:ascii="Arial Narrow" w:hAnsi="Arial Narrow"/>
              <w:sz w:val="15"/>
              <w:szCs w:val="15"/>
            </w:rPr>
            <w:t>X</w:t>
          </w:r>
          <w:bookmarkStart w:id="7" w:name="DependenciaRad"/>
          <w:r w:rsidRPr="009E0EC1">
            <w:rPr>
              <w:rFonts w:ascii="Arial Narrow" w:hAnsi="Arial Narrow"/>
              <w:sz w:val="15"/>
              <w:szCs w:val="15"/>
            </w:rPr>
            <w:t>Dirección de Estratificación</w:t>
          </w:r>
          <w:bookmarkEnd w:id="7"/>
        </w:p>
      </w:tc>
    </w:tr>
    <w:tr w:rsidR="008B04DA" w:rsidTr="00EC67A8">
      <w:tc>
        <w:tcPr>
          <w:tcW w:w="4614" w:type="dxa"/>
          <w:shd w:val="clear" w:color="auto" w:fill="auto"/>
        </w:tcPr>
        <w:p w:rsidR="00C903D8" w:rsidRPr="00FE3719" w:rsidRDefault="001B0F61" w:rsidP="007B6EDE">
          <w:pPr>
            <w:pStyle w:val="Encabezado"/>
            <w:tabs>
              <w:tab w:val="left" w:pos="7513"/>
            </w:tabs>
            <w:spacing w:line="276" w:lineRule="auto"/>
            <w:rPr>
              <w:rFonts w:eastAsia="Calibri"/>
              <w:sz w:val="22"/>
              <w:lang w:eastAsia="en-US"/>
            </w:rPr>
          </w:pPr>
          <w:r w:rsidRPr="009E0EC1">
            <w:rPr>
              <w:rFonts w:ascii="Arial Narrow" w:hAnsi="Arial Narrow"/>
              <w:b/>
              <w:sz w:val="15"/>
              <w:szCs w:val="15"/>
            </w:rPr>
            <w:t>Clase Doc</w:t>
          </w:r>
          <w:r w:rsidRPr="009E0EC1">
            <w:rPr>
              <w:rFonts w:ascii="Arial Narrow" w:hAnsi="Arial Narrow"/>
              <w:sz w:val="15"/>
              <w:szCs w:val="15"/>
            </w:rPr>
            <w:t>:</w:t>
          </w:r>
          <w:bookmarkStart w:id="8" w:name="ClaseDocRad"/>
          <w:r w:rsidRPr="009E0EC1">
            <w:rPr>
              <w:rFonts w:ascii="Arial Narrow" w:hAnsi="Arial Narrow"/>
              <w:sz w:val="15"/>
              <w:szCs w:val="15"/>
            </w:rPr>
            <w:t>Interno</w:t>
          </w:r>
          <w:bookmarkEnd w:id="8"/>
          <w:r w:rsidRPr="009E0EC1">
            <w:rPr>
              <w:rFonts w:ascii="Arial Narrow" w:hAnsi="Arial Narrow"/>
              <w:b/>
              <w:sz w:val="15"/>
              <w:szCs w:val="15"/>
            </w:rPr>
            <w:t>Tipo Doc</w:t>
          </w:r>
          <w:r w:rsidRPr="009E0EC1">
            <w:rPr>
              <w:rFonts w:ascii="Arial Narrow" w:hAnsi="Arial Narrow"/>
              <w:sz w:val="15"/>
              <w:szCs w:val="15"/>
            </w:rPr>
            <w:t>:</w:t>
          </w:r>
          <w:bookmarkStart w:id="9" w:name="TipoDocRad"/>
          <w:r w:rsidRPr="009E0EC1">
            <w:rPr>
              <w:rFonts w:ascii="Arial Narrow" w:hAnsi="Arial Narrow"/>
              <w:sz w:val="15"/>
              <w:szCs w:val="15"/>
            </w:rPr>
            <w:t>Memorandos</w:t>
          </w:r>
          <w:bookmarkEnd w:id="9"/>
          <w:r w:rsidRPr="009E0EC1">
            <w:rPr>
              <w:rFonts w:ascii="Arial Narrow" w:hAnsi="Arial Narrow"/>
              <w:b/>
              <w:sz w:val="15"/>
              <w:szCs w:val="15"/>
            </w:rPr>
            <w:t>Consec</w:t>
          </w:r>
          <w:r w:rsidRPr="009E0EC1">
            <w:rPr>
              <w:rFonts w:ascii="Arial Narrow" w:hAnsi="Arial Narrow"/>
              <w:sz w:val="15"/>
              <w:szCs w:val="15"/>
            </w:rPr>
            <w:t>:</w:t>
          </w:r>
          <w:bookmarkStart w:id="10" w:name="ConsecutivoRad"/>
          <w:bookmarkEnd w:id="10"/>
        </w:p>
      </w:tc>
    </w:tr>
  </w:tbl>
  <w:p w:rsidR="00851E1D" w:rsidRPr="000258C4" w:rsidRDefault="001B0F61" w:rsidP="00851E1D">
    <w:pPr>
      <w:pStyle w:val="Encabezado"/>
      <w:tabs>
        <w:tab w:val="clear" w:pos="4252"/>
        <w:tab w:val="clear" w:pos="8504"/>
      </w:tabs>
      <w:ind w:left="4025" w:right="4025"/>
      <w:jc w:val="center"/>
      <w:rPr>
        <w:rFonts w:cs="Arial"/>
        <w:b/>
        <w:sz w:val="18"/>
      </w:rPr>
    </w:pPr>
    <w:r>
      <w:rPr>
        <w:noProof/>
        <w:lang w:val="en-US" w:eastAsia="en-US"/>
      </w:rPr>
      <w:drawing>
        <wp:anchor distT="0" distB="0" distL="114300" distR="114300" simplePos="0" relativeHeight="251659264" behindDoc="1" locked="0" layoutInCell="1" allowOverlap="1">
          <wp:simplePos x="0" y="0"/>
          <wp:positionH relativeFrom="column">
            <wp:posOffset>2507615</wp:posOffset>
          </wp:positionH>
          <wp:positionV relativeFrom="paragraph">
            <wp:posOffset>-761365</wp:posOffset>
          </wp:positionV>
          <wp:extent cx="723265" cy="723265"/>
          <wp:effectExtent l="0" t="0" r="635" b="635"/>
          <wp:wrapNone/>
          <wp:docPr id="102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23265" cy="72326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336EB"/>
    <w:multiLevelType w:val="hybridMultilevel"/>
    <w:tmpl w:val="7CC4DA4E"/>
    <w:lvl w:ilvl="0" w:tplc="3D2C321A">
      <w:start w:val="1"/>
      <w:numFmt w:val="bullet"/>
      <w:lvlText w:val=""/>
      <w:lvlJc w:val="left"/>
      <w:pPr>
        <w:ind w:left="720" w:hanging="360"/>
      </w:pPr>
      <w:rPr>
        <w:rFonts w:ascii="Symbol" w:hAnsi="Symbol" w:hint="default"/>
      </w:rPr>
    </w:lvl>
    <w:lvl w:ilvl="1" w:tplc="77906A9A" w:tentative="1">
      <w:start w:val="1"/>
      <w:numFmt w:val="bullet"/>
      <w:lvlText w:val="o"/>
      <w:lvlJc w:val="left"/>
      <w:pPr>
        <w:ind w:left="1440" w:hanging="360"/>
      </w:pPr>
      <w:rPr>
        <w:rFonts w:ascii="Courier New" w:hAnsi="Courier New" w:cs="Courier New" w:hint="default"/>
      </w:rPr>
    </w:lvl>
    <w:lvl w:ilvl="2" w:tplc="23780016" w:tentative="1">
      <w:start w:val="1"/>
      <w:numFmt w:val="bullet"/>
      <w:lvlText w:val=""/>
      <w:lvlJc w:val="left"/>
      <w:pPr>
        <w:ind w:left="2160" w:hanging="360"/>
      </w:pPr>
      <w:rPr>
        <w:rFonts w:ascii="Wingdings" w:hAnsi="Wingdings" w:hint="default"/>
      </w:rPr>
    </w:lvl>
    <w:lvl w:ilvl="3" w:tplc="AE20AA34" w:tentative="1">
      <w:start w:val="1"/>
      <w:numFmt w:val="bullet"/>
      <w:lvlText w:val=""/>
      <w:lvlJc w:val="left"/>
      <w:pPr>
        <w:ind w:left="2880" w:hanging="360"/>
      </w:pPr>
      <w:rPr>
        <w:rFonts w:ascii="Symbol" w:hAnsi="Symbol" w:hint="default"/>
      </w:rPr>
    </w:lvl>
    <w:lvl w:ilvl="4" w:tplc="32762D98" w:tentative="1">
      <w:start w:val="1"/>
      <w:numFmt w:val="bullet"/>
      <w:lvlText w:val="o"/>
      <w:lvlJc w:val="left"/>
      <w:pPr>
        <w:ind w:left="3600" w:hanging="360"/>
      </w:pPr>
      <w:rPr>
        <w:rFonts w:ascii="Courier New" w:hAnsi="Courier New" w:cs="Courier New" w:hint="default"/>
      </w:rPr>
    </w:lvl>
    <w:lvl w:ilvl="5" w:tplc="8056E748" w:tentative="1">
      <w:start w:val="1"/>
      <w:numFmt w:val="bullet"/>
      <w:lvlText w:val=""/>
      <w:lvlJc w:val="left"/>
      <w:pPr>
        <w:ind w:left="4320" w:hanging="360"/>
      </w:pPr>
      <w:rPr>
        <w:rFonts w:ascii="Wingdings" w:hAnsi="Wingdings" w:hint="default"/>
      </w:rPr>
    </w:lvl>
    <w:lvl w:ilvl="6" w:tplc="516C0E94" w:tentative="1">
      <w:start w:val="1"/>
      <w:numFmt w:val="bullet"/>
      <w:lvlText w:val=""/>
      <w:lvlJc w:val="left"/>
      <w:pPr>
        <w:ind w:left="5040" w:hanging="360"/>
      </w:pPr>
      <w:rPr>
        <w:rFonts w:ascii="Symbol" w:hAnsi="Symbol" w:hint="default"/>
      </w:rPr>
    </w:lvl>
    <w:lvl w:ilvl="7" w:tplc="C9D6A622" w:tentative="1">
      <w:start w:val="1"/>
      <w:numFmt w:val="bullet"/>
      <w:lvlText w:val="o"/>
      <w:lvlJc w:val="left"/>
      <w:pPr>
        <w:ind w:left="5760" w:hanging="360"/>
      </w:pPr>
      <w:rPr>
        <w:rFonts w:ascii="Courier New" w:hAnsi="Courier New" w:cs="Courier New" w:hint="default"/>
      </w:rPr>
    </w:lvl>
    <w:lvl w:ilvl="8" w:tplc="0B02CCA6" w:tentative="1">
      <w:start w:val="1"/>
      <w:numFmt w:val="bullet"/>
      <w:lvlText w:val=""/>
      <w:lvlJc w:val="left"/>
      <w:pPr>
        <w:ind w:left="6480" w:hanging="360"/>
      </w:pPr>
      <w:rPr>
        <w:rFonts w:ascii="Wingdings" w:hAnsi="Wingdings" w:hint="default"/>
      </w:rPr>
    </w:lvl>
  </w:abstractNum>
  <w:abstractNum w:abstractNumId="1">
    <w:nsid w:val="2FD405B7"/>
    <w:multiLevelType w:val="hybridMultilevel"/>
    <w:tmpl w:val="7452090C"/>
    <w:lvl w:ilvl="0" w:tplc="34E0CC7A">
      <w:start w:val="1"/>
      <w:numFmt w:val="bullet"/>
      <w:lvlText w:val=""/>
      <w:lvlJc w:val="left"/>
      <w:pPr>
        <w:ind w:left="720" w:hanging="360"/>
      </w:pPr>
      <w:rPr>
        <w:rFonts w:ascii="Symbol" w:hAnsi="Symbol" w:hint="default"/>
      </w:rPr>
    </w:lvl>
    <w:lvl w:ilvl="1" w:tplc="0D8C3072" w:tentative="1">
      <w:start w:val="1"/>
      <w:numFmt w:val="bullet"/>
      <w:lvlText w:val="o"/>
      <w:lvlJc w:val="left"/>
      <w:pPr>
        <w:ind w:left="1440" w:hanging="360"/>
      </w:pPr>
      <w:rPr>
        <w:rFonts w:ascii="Courier New" w:hAnsi="Courier New" w:cs="Courier New" w:hint="default"/>
      </w:rPr>
    </w:lvl>
    <w:lvl w:ilvl="2" w:tplc="FF6C7428" w:tentative="1">
      <w:start w:val="1"/>
      <w:numFmt w:val="bullet"/>
      <w:lvlText w:val=""/>
      <w:lvlJc w:val="left"/>
      <w:pPr>
        <w:ind w:left="2160" w:hanging="360"/>
      </w:pPr>
      <w:rPr>
        <w:rFonts w:ascii="Wingdings" w:hAnsi="Wingdings" w:hint="default"/>
      </w:rPr>
    </w:lvl>
    <w:lvl w:ilvl="3" w:tplc="8F2E54C0" w:tentative="1">
      <w:start w:val="1"/>
      <w:numFmt w:val="bullet"/>
      <w:lvlText w:val=""/>
      <w:lvlJc w:val="left"/>
      <w:pPr>
        <w:ind w:left="2880" w:hanging="360"/>
      </w:pPr>
      <w:rPr>
        <w:rFonts w:ascii="Symbol" w:hAnsi="Symbol" w:hint="default"/>
      </w:rPr>
    </w:lvl>
    <w:lvl w:ilvl="4" w:tplc="AF3C4448" w:tentative="1">
      <w:start w:val="1"/>
      <w:numFmt w:val="bullet"/>
      <w:lvlText w:val="o"/>
      <w:lvlJc w:val="left"/>
      <w:pPr>
        <w:ind w:left="3600" w:hanging="360"/>
      </w:pPr>
      <w:rPr>
        <w:rFonts w:ascii="Courier New" w:hAnsi="Courier New" w:cs="Courier New" w:hint="default"/>
      </w:rPr>
    </w:lvl>
    <w:lvl w:ilvl="5" w:tplc="F7D08D60" w:tentative="1">
      <w:start w:val="1"/>
      <w:numFmt w:val="bullet"/>
      <w:lvlText w:val=""/>
      <w:lvlJc w:val="left"/>
      <w:pPr>
        <w:ind w:left="4320" w:hanging="360"/>
      </w:pPr>
      <w:rPr>
        <w:rFonts w:ascii="Wingdings" w:hAnsi="Wingdings" w:hint="default"/>
      </w:rPr>
    </w:lvl>
    <w:lvl w:ilvl="6" w:tplc="3D0EBCDC" w:tentative="1">
      <w:start w:val="1"/>
      <w:numFmt w:val="bullet"/>
      <w:lvlText w:val=""/>
      <w:lvlJc w:val="left"/>
      <w:pPr>
        <w:ind w:left="5040" w:hanging="360"/>
      </w:pPr>
      <w:rPr>
        <w:rFonts w:ascii="Symbol" w:hAnsi="Symbol" w:hint="default"/>
      </w:rPr>
    </w:lvl>
    <w:lvl w:ilvl="7" w:tplc="CC94E9DE" w:tentative="1">
      <w:start w:val="1"/>
      <w:numFmt w:val="bullet"/>
      <w:lvlText w:val="o"/>
      <w:lvlJc w:val="left"/>
      <w:pPr>
        <w:ind w:left="5760" w:hanging="360"/>
      </w:pPr>
      <w:rPr>
        <w:rFonts w:ascii="Courier New" w:hAnsi="Courier New" w:cs="Courier New" w:hint="default"/>
      </w:rPr>
    </w:lvl>
    <w:lvl w:ilvl="8" w:tplc="B06A4FE2"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ocumentProtection w:edit="forms" w:enforcement="1"/>
  <w:defaultTabStop w:val="708"/>
  <w:hyphenationZone w:val="425"/>
  <w:characterSpacingControl w:val="doNotCompress"/>
  <w:footnotePr>
    <w:footnote w:id="-1"/>
    <w:footnote w:id="0"/>
  </w:footnotePr>
  <w:endnotePr>
    <w:endnote w:id="-1"/>
    <w:endnote w:id="0"/>
  </w:endnotePr>
  <w:compat/>
  <w:rsids>
    <w:rsidRoot w:val="008B04DA"/>
    <w:rsid w:val="001B0F61"/>
    <w:rsid w:val="008B04D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EC4"/>
    <w:pPr>
      <w:jc w:val="both"/>
    </w:pPr>
    <w:rPr>
      <w:rFonts w:ascii="Arial" w:hAnsi="Arial"/>
      <w:sz w:val="24"/>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2,Haut de page,articulo,encabezado"/>
    <w:basedOn w:val="Normal"/>
    <w:link w:val="EncabezadoCar"/>
    <w:rsid w:val="00964EC4"/>
    <w:pPr>
      <w:tabs>
        <w:tab w:val="center" w:pos="4252"/>
        <w:tab w:val="right" w:pos="8504"/>
      </w:tabs>
    </w:pPr>
  </w:style>
  <w:style w:type="paragraph" w:styleId="Piedepgina">
    <w:name w:val="footer"/>
    <w:basedOn w:val="Normal"/>
    <w:link w:val="PiedepginaCar"/>
    <w:uiPriority w:val="99"/>
    <w:rsid w:val="00964EC4"/>
    <w:pPr>
      <w:tabs>
        <w:tab w:val="center" w:pos="4252"/>
        <w:tab w:val="right" w:pos="8504"/>
      </w:tabs>
    </w:pPr>
  </w:style>
  <w:style w:type="table" w:styleId="Tablaconcuadrcula">
    <w:name w:val="Table Grid"/>
    <w:basedOn w:val="Tablanormal"/>
    <w:rsid w:val="00964EC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rsid w:val="00964EC4"/>
    <w:rPr>
      <w:color w:val="0000FF"/>
      <w:u w:val="single"/>
    </w:rPr>
  </w:style>
  <w:style w:type="character" w:customStyle="1" w:styleId="PiedepginaCar">
    <w:name w:val="Pie de página Car"/>
    <w:link w:val="Piedepgina"/>
    <w:uiPriority w:val="99"/>
    <w:rsid w:val="00127324"/>
    <w:rPr>
      <w:rFonts w:ascii="Arial" w:hAnsi="Arial"/>
      <w:sz w:val="24"/>
      <w:lang w:eastAsia="es-ES"/>
    </w:rPr>
  </w:style>
  <w:style w:type="character" w:customStyle="1" w:styleId="EncabezadoCar">
    <w:name w:val="Encabezado Car"/>
    <w:aliases w:val="Encabezado 2 Car,Haut de page Car,articulo Car,encabezado Car"/>
    <w:link w:val="Encabezado"/>
    <w:rsid w:val="00C903D8"/>
    <w:rPr>
      <w:rFonts w:ascii="Arial" w:hAnsi="Arial"/>
      <w:sz w:val="24"/>
      <w:lang w:val="es-CO"/>
    </w:rPr>
  </w:style>
  <w:style w:type="paragraph" w:styleId="Prrafodelista">
    <w:name w:val="List Paragraph"/>
    <w:basedOn w:val="Normal"/>
    <w:uiPriority w:val="34"/>
    <w:qFormat/>
    <w:rsid w:val="0069720A"/>
    <w:pPr>
      <w:spacing w:after="160" w:line="259" w:lineRule="auto"/>
      <w:ind w:left="720"/>
      <w:contextualSpacing/>
      <w:jc w:val="left"/>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2071</Words>
  <Characters>11996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MEMORANDO</vt:lpstr>
    </vt:vector>
  </TitlesOfParts>
  <Company>dapd</Company>
  <LinksUpToDate>false</LinksUpToDate>
  <CharactersWithSpaces>14039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hcontreras</dc:creator>
  <cp:lastModifiedBy>MPazos</cp:lastModifiedBy>
  <cp:revision>2</cp:revision>
  <dcterms:created xsi:type="dcterms:W3CDTF">2015-10-14T20:51:00Z</dcterms:created>
  <dcterms:modified xsi:type="dcterms:W3CDTF">2015-10-14T20:51:00Z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1441293042683</vt:lpwstr>
  </property>
  <property fmtid="{D5CDD505-2E9C-101B-9397-08002B2CF9AE}" pid="3" name="_MarkAsFinal">
    <vt:bool>true</vt:bool>
  </property>
</Properties>
</file>