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D6" w:rsidRPr="006C2538" w:rsidRDefault="003E52D6" w:rsidP="002A66C6">
      <w:pPr>
        <w:jc w:val="both"/>
        <w:rPr>
          <w:rFonts w:ascii="Times New Roman" w:hAnsi="Times New Roman"/>
          <w:sz w:val="22"/>
          <w:szCs w:val="22"/>
        </w:rPr>
      </w:pPr>
      <w:bookmarkStart w:id="0" w:name="_GoBack"/>
      <w:bookmarkEnd w:id="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960"/>
      </w:tblGrid>
      <w:tr w:rsidR="0012640D" w:rsidRPr="006C2538" w:rsidTr="00B474EC">
        <w:trPr>
          <w:trHeight w:val="529"/>
        </w:trPr>
        <w:tc>
          <w:tcPr>
            <w:tcW w:w="9288" w:type="dxa"/>
            <w:gridSpan w:val="3"/>
            <w:shd w:val="clear" w:color="auto" w:fill="CCCCCC"/>
            <w:vAlign w:val="center"/>
          </w:tcPr>
          <w:p w:rsidR="00740EE8" w:rsidRDefault="0012640D" w:rsidP="002A66C6">
            <w:pPr>
              <w:ind w:right="-1"/>
              <w:jc w:val="center"/>
              <w:rPr>
                <w:rFonts w:ascii="Times New Roman" w:hAnsi="Times New Roman"/>
                <w:b/>
                <w:sz w:val="22"/>
                <w:szCs w:val="22"/>
              </w:rPr>
            </w:pPr>
            <w:r w:rsidRPr="006C2538">
              <w:rPr>
                <w:rFonts w:ascii="Times New Roman" w:hAnsi="Times New Roman"/>
                <w:b/>
                <w:sz w:val="22"/>
                <w:szCs w:val="22"/>
              </w:rPr>
              <w:t>INFORME PORMENORIZADO DEL ESTADO DEL CONTROL INTERNO</w:t>
            </w:r>
          </w:p>
          <w:p w:rsidR="006C2538" w:rsidRPr="006C2538" w:rsidRDefault="006C2538" w:rsidP="002A66C6">
            <w:pPr>
              <w:ind w:right="-1"/>
              <w:jc w:val="center"/>
              <w:rPr>
                <w:rFonts w:ascii="Times New Roman" w:hAnsi="Times New Roman"/>
                <w:b/>
                <w:sz w:val="22"/>
                <w:szCs w:val="22"/>
              </w:rPr>
            </w:pPr>
            <w:r>
              <w:rPr>
                <w:rFonts w:ascii="Times New Roman" w:hAnsi="Times New Roman"/>
                <w:b/>
                <w:sz w:val="22"/>
                <w:szCs w:val="22"/>
              </w:rPr>
              <w:t>SECRETARÍA DISTRITAL DE PLANEACIÓN</w:t>
            </w:r>
          </w:p>
          <w:p w:rsidR="0012640D" w:rsidRPr="006C2538" w:rsidRDefault="0012640D" w:rsidP="002A66C6">
            <w:pPr>
              <w:ind w:right="-1"/>
              <w:jc w:val="center"/>
              <w:rPr>
                <w:rFonts w:ascii="Times New Roman" w:hAnsi="Times New Roman"/>
                <w:b/>
                <w:sz w:val="22"/>
                <w:szCs w:val="22"/>
              </w:rPr>
            </w:pPr>
            <w:r w:rsidRPr="006C2538">
              <w:rPr>
                <w:rFonts w:ascii="Times New Roman" w:hAnsi="Times New Roman"/>
                <w:b/>
                <w:sz w:val="22"/>
                <w:szCs w:val="22"/>
              </w:rPr>
              <w:t>LEY 1474 DE 2011</w:t>
            </w:r>
          </w:p>
        </w:tc>
      </w:tr>
      <w:tr w:rsidR="0012640D" w:rsidRPr="006C2538" w:rsidTr="00B474EC">
        <w:trPr>
          <w:trHeight w:val="350"/>
        </w:trPr>
        <w:tc>
          <w:tcPr>
            <w:tcW w:w="2808" w:type="dxa"/>
            <w:vMerge w:val="restart"/>
            <w:vAlign w:val="center"/>
          </w:tcPr>
          <w:p w:rsidR="0012640D" w:rsidRPr="006C2538" w:rsidRDefault="0012640D" w:rsidP="002A66C6">
            <w:pPr>
              <w:ind w:right="-1"/>
              <w:jc w:val="both"/>
              <w:rPr>
                <w:rFonts w:ascii="Times New Roman" w:hAnsi="Times New Roman"/>
                <w:b/>
                <w:sz w:val="22"/>
                <w:szCs w:val="22"/>
              </w:rPr>
            </w:pPr>
            <w:r w:rsidRPr="006C2538">
              <w:rPr>
                <w:rFonts w:ascii="Times New Roman" w:hAnsi="Times New Roman"/>
                <w:b/>
                <w:sz w:val="22"/>
                <w:szCs w:val="22"/>
              </w:rPr>
              <w:t xml:space="preserve">Jefe de Control Interno </w:t>
            </w:r>
          </w:p>
        </w:tc>
        <w:tc>
          <w:tcPr>
            <w:tcW w:w="2520" w:type="dxa"/>
            <w:vMerge w:val="restart"/>
            <w:vAlign w:val="center"/>
          </w:tcPr>
          <w:p w:rsidR="0012640D" w:rsidRPr="006C2538" w:rsidRDefault="00FE526A" w:rsidP="002A66C6">
            <w:pPr>
              <w:ind w:right="-1"/>
              <w:jc w:val="both"/>
              <w:rPr>
                <w:rFonts w:ascii="Times New Roman" w:hAnsi="Times New Roman"/>
                <w:sz w:val="22"/>
                <w:szCs w:val="22"/>
              </w:rPr>
            </w:pPr>
            <w:r w:rsidRPr="006C2538">
              <w:rPr>
                <w:rFonts w:ascii="Times New Roman" w:hAnsi="Times New Roman"/>
                <w:sz w:val="22"/>
                <w:szCs w:val="22"/>
              </w:rPr>
              <w:t>Piedad Roa Carrero</w:t>
            </w:r>
          </w:p>
        </w:tc>
        <w:tc>
          <w:tcPr>
            <w:tcW w:w="3960" w:type="dxa"/>
            <w:vAlign w:val="center"/>
          </w:tcPr>
          <w:p w:rsidR="000D21CF" w:rsidRPr="006C2538" w:rsidRDefault="0012640D" w:rsidP="002A66C6">
            <w:pPr>
              <w:ind w:right="-1"/>
              <w:jc w:val="both"/>
              <w:rPr>
                <w:rFonts w:ascii="Times New Roman" w:hAnsi="Times New Roman"/>
                <w:sz w:val="22"/>
                <w:szCs w:val="22"/>
              </w:rPr>
            </w:pPr>
            <w:r w:rsidRPr="006C2538">
              <w:rPr>
                <w:rFonts w:ascii="Times New Roman" w:hAnsi="Times New Roman"/>
                <w:b/>
                <w:sz w:val="22"/>
                <w:szCs w:val="22"/>
              </w:rPr>
              <w:t>Periodo Evaluado:</w:t>
            </w:r>
            <w:r w:rsidR="00FE526A" w:rsidRPr="006C2538">
              <w:rPr>
                <w:rFonts w:ascii="Times New Roman" w:hAnsi="Times New Roman"/>
                <w:sz w:val="22"/>
                <w:szCs w:val="22"/>
              </w:rPr>
              <w:t xml:space="preserve"> </w:t>
            </w:r>
          </w:p>
          <w:p w:rsidR="0012640D" w:rsidRPr="006C2538" w:rsidRDefault="00563AD3" w:rsidP="002A66C6">
            <w:pPr>
              <w:ind w:right="-1"/>
              <w:jc w:val="both"/>
              <w:rPr>
                <w:rFonts w:ascii="Times New Roman" w:hAnsi="Times New Roman"/>
                <w:sz w:val="22"/>
                <w:szCs w:val="22"/>
              </w:rPr>
            </w:pPr>
            <w:r w:rsidRPr="006C2538">
              <w:rPr>
                <w:rFonts w:ascii="Times New Roman" w:hAnsi="Times New Roman"/>
                <w:sz w:val="22"/>
                <w:szCs w:val="22"/>
              </w:rPr>
              <w:t>Marzo a Julio de 2017</w:t>
            </w:r>
          </w:p>
        </w:tc>
      </w:tr>
      <w:tr w:rsidR="0012640D" w:rsidRPr="006C2538" w:rsidTr="00B474EC">
        <w:trPr>
          <w:trHeight w:val="346"/>
        </w:trPr>
        <w:tc>
          <w:tcPr>
            <w:tcW w:w="2808" w:type="dxa"/>
            <w:vMerge/>
            <w:vAlign w:val="center"/>
          </w:tcPr>
          <w:p w:rsidR="0012640D" w:rsidRPr="006C2538" w:rsidRDefault="0012640D" w:rsidP="002A66C6">
            <w:pPr>
              <w:ind w:right="-1"/>
              <w:jc w:val="both"/>
              <w:rPr>
                <w:rFonts w:ascii="Times New Roman" w:hAnsi="Times New Roman"/>
                <w:sz w:val="22"/>
                <w:szCs w:val="22"/>
              </w:rPr>
            </w:pPr>
          </w:p>
        </w:tc>
        <w:tc>
          <w:tcPr>
            <w:tcW w:w="2520" w:type="dxa"/>
            <w:vMerge/>
            <w:vAlign w:val="center"/>
          </w:tcPr>
          <w:p w:rsidR="0012640D" w:rsidRPr="006C2538" w:rsidRDefault="0012640D" w:rsidP="002A66C6">
            <w:pPr>
              <w:ind w:right="-1"/>
              <w:jc w:val="both"/>
              <w:rPr>
                <w:rFonts w:ascii="Times New Roman" w:hAnsi="Times New Roman"/>
                <w:sz w:val="22"/>
                <w:szCs w:val="22"/>
              </w:rPr>
            </w:pPr>
          </w:p>
        </w:tc>
        <w:tc>
          <w:tcPr>
            <w:tcW w:w="3960" w:type="dxa"/>
            <w:vAlign w:val="center"/>
          </w:tcPr>
          <w:p w:rsidR="00563AD3" w:rsidRPr="006C2538" w:rsidRDefault="00FE4BA0" w:rsidP="002A66C6">
            <w:pPr>
              <w:ind w:right="-1"/>
              <w:jc w:val="both"/>
              <w:rPr>
                <w:rFonts w:ascii="Times New Roman" w:hAnsi="Times New Roman"/>
                <w:b/>
                <w:bCs/>
                <w:sz w:val="22"/>
                <w:szCs w:val="22"/>
              </w:rPr>
            </w:pPr>
            <w:r w:rsidRPr="006C2538">
              <w:rPr>
                <w:rFonts w:ascii="Times New Roman" w:hAnsi="Times New Roman"/>
                <w:b/>
                <w:bCs/>
                <w:sz w:val="22"/>
                <w:szCs w:val="22"/>
              </w:rPr>
              <w:t>Fecha de Elaboración:</w:t>
            </w:r>
            <w:r w:rsidR="00B43966" w:rsidRPr="006C2538">
              <w:rPr>
                <w:rFonts w:ascii="Times New Roman" w:hAnsi="Times New Roman"/>
                <w:b/>
                <w:bCs/>
                <w:sz w:val="22"/>
                <w:szCs w:val="22"/>
              </w:rPr>
              <w:t xml:space="preserve"> </w:t>
            </w:r>
          </w:p>
          <w:p w:rsidR="005E41B8" w:rsidRPr="006C2538" w:rsidRDefault="00563AD3" w:rsidP="002A66C6">
            <w:pPr>
              <w:ind w:right="-1"/>
              <w:jc w:val="both"/>
              <w:rPr>
                <w:rFonts w:ascii="Times New Roman" w:hAnsi="Times New Roman"/>
                <w:bCs/>
                <w:sz w:val="22"/>
                <w:szCs w:val="22"/>
              </w:rPr>
            </w:pPr>
            <w:r w:rsidRPr="006C2538">
              <w:rPr>
                <w:rFonts w:ascii="Times New Roman" w:hAnsi="Times New Roman"/>
                <w:bCs/>
                <w:sz w:val="22"/>
                <w:szCs w:val="22"/>
              </w:rPr>
              <w:t>julio de 2017</w:t>
            </w:r>
          </w:p>
        </w:tc>
      </w:tr>
    </w:tbl>
    <w:p w:rsidR="000758AC" w:rsidRPr="006C2538" w:rsidRDefault="000758AC" w:rsidP="002A66C6">
      <w:pPr>
        <w:ind w:right="-1"/>
        <w:jc w:val="both"/>
        <w:rPr>
          <w:rFonts w:ascii="Times New Roman" w:hAnsi="Times New Roman"/>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640D" w:rsidRPr="006C2538" w:rsidTr="00A92C0B">
        <w:trPr>
          <w:trHeight w:val="464"/>
        </w:trPr>
        <w:tc>
          <w:tcPr>
            <w:tcW w:w="9356" w:type="dxa"/>
            <w:shd w:val="clear" w:color="auto" w:fill="CCCCCC"/>
            <w:vAlign w:val="center"/>
          </w:tcPr>
          <w:p w:rsidR="00996119" w:rsidRPr="006C2538" w:rsidRDefault="00095D44" w:rsidP="006C2538">
            <w:pPr>
              <w:numPr>
                <w:ilvl w:val="0"/>
                <w:numId w:val="1"/>
              </w:numPr>
              <w:ind w:right="-1"/>
              <w:jc w:val="center"/>
              <w:rPr>
                <w:rFonts w:ascii="Times New Roman" w:hAnsi="Times New Roman"/>
                <w:b/>
                <w:sz w:val="22"/>
                <w:szCs w:val="22"/>
              </w:rPr>
            </w:pPr>
            <w:r w:rsidRPr="006C2538">
              <w:rPr>
                <w:rFonts w:ascii="Times New Roman" w:hAnsi="Times New Roman"/>
                <w:b/>
                <w:sz w:val="22"/>
                <w:szCs w:val="22"/>
              </w:rPr>
              <w:t>MÓDULO DE CONTROL DE PLANEACIÓN Y GESTIÓN</w:t>
            </w:r>
          </w:p>
        </w:tc>
      </w:tr>
      <w:tr w:rsidR="0012640D" w:rsidRPr="006C2538" w:rsidTr="00655722">
        <w:tc>
          <w:tcPr>
            <w:tcW w:w="9356" w:type="dxa"/>
          </w:tcPr>
          <w:p w:rsidR="00256324" w:rsidRPr="006C2538" w:rsidRDefault="00256324" w:rsidP="002A66C6">
            <w:pPr>
              <w:tabs>
                <w:tab w:val="left" w:pos="2910"/>
              </w:tabs>
              <w:ind w:left="180" w:right="-1"/>
              <w:jc w:val="both"/>
              <w:rPr>
                <w:rFonts w:ascii="Times New Roman" w:hAnsi="Times New Roman"/>
                <w:b/>
                <w:sz w:val="22"/>
                <w:szCs w:val="22"/>
              </w:rPr>
            </w:pPr>
          </w:p>
          <w:p w:rsidR="00996119" w:rsidRPr="006C2538" w:rsidRDefault="007D3A4C" w:rsidP="00E3419E">
            <w:pPr>
              <w:tabs>
                <w:tab w:val="left" w:pos="2910"/>
              </w:tabs>
              <w:jc w:val="both"/>
              <w:rPr>
                <w:rFonts w:ascii="Times New Roman" w:hAnsi="Times New Roman"/>
                <w:b/>
                <w:sz w:val="22"/>
                <w:szCs w:val="22"/>
              </w:rPr>
            </w:pPr>
            <w:r w:rsidRPr="006C2538">
              <w:rPr>
                <w:rFonts w:ascii="Times New Roman" w:hAnsi="Times New Roman"/>
                <w:b/>
                <w:sz w:val="22"/>
                <w:szCs w:val="22"/>
              </w:rPr>
              <w:t xml:space="preserve">1.1. </w:t>
            </w:r>
            <w:r w:rsidR="00095D44" w:rsidRPr="006C2538">
              <w:rPr>
                <w:rFonts w:ascii="Times New Roman" w:hAnsi="Times New Roman"/>
                <w:b/>
                <w:sz w:val="22"/>
                <w:szCs w:val="22"/>
              </w:rPr>
              <w:t>COMPONENTE: DESARROLLO DEL TALENTO HUMANO</w:t>
            </w:r>
          </w:p>
          <w:p w:rsidR="00232C9D" w:rsidRPr="006C2538" w:rsidRDefault="00232C9D" w:rsidP="002A66C6">
            <w:pPr>
              <w:jc w:val="both"/>
              <w:rPr>
                <w:rFonts w:ascii="Times New Roman" w:hAnsi="Times New Roman"/>
                <w:color w:val="500050"/>
                <w:sz w:val="22"/>
                <w:szCs w:val="22"/>
                <w:shd w:val="clear" w:color="auto" w:fill="FFFFFF"/>
                <w:lang w:val="es-CO" w:eastAsia="es-CO"/>
              </w:rPr>
            </w:pPr>
          </w:p>
          <w:p w:rsidR="002A66C6" w:rsidRPr="00E3419E" w:rsidRDefault="007D3A4C" w:rsidP="00491EF4">
            <w:pPr>
              <w:pStyle w:val="Prrafodelista"/>
              <w:numPr>
                <w:ilvl w:val="0"/>
                <w:numId w:val="4"/>
              </w:numPr>
              <w:spacing w:after="0"/>
              <w:jc w:val="both"/>
              <w:rPr>
                <w:rFonts w:ascii="Times New Roman" w:hAnsi="Times New Roman"/>
                <w:b/>
                <w:color w:val="222222"/>
                <w:shd w:val="clear" w:color="auto" w:fill="FFFFFF"/>
                <w:lang w:eastAsia="es-CO"/>
              </w:rPr>
            </w:pPr>
            <w:r w:rsidRPr="006C2538">
              <w:rPr>
                <w:rFonts w:ascii="Times New Roman" w:hAnsi="Times New Roman"/>
                <w:b/>
                <w:color w:val="222222"/>
                <w:shd w:val="clear" w:color="auto" w:fill="FFFFFF"/>
                <w:lang w:eastAsia="es-CO"/>
              </w:rPr>
              <w:t>Elemento Desarrollo Talento Humano</w:t>
            </w:r>
            <w:r w:rsidR="00232C9D" w:rsidRPr="006C2538">
              <w:rPr>
                <w:rFonts w:ascii="Times New Roman" w:hAnsi="Times New Roman"/>
                <w:b/>
                <w:color w:val="222222"/>
                <w:shd w:val="clear" w:color="auto" w:fill="FFFFFF"/>
                <w:lang w:eastAsia="es-CO"/>
              </w:rPr>
              <w:t xml:space="preserve">, </w:t>
            </w:r>
            <w:r w:rsidRPr="006C2538">
              <w:rPr>
                <w:rFonts w:ascii="Times New Roman" w:hAnsi="Times New Roman"/>
                <w:b/>
                <w:color w:val="222222"/>
                <w:shd w:val="clear" w:color="auto" w:fill="FFFFFF"/>
                <w:lang w:eastAsia="es-CO"/>
              </w:rPr>
              <w:t>P</w:t>
            </w:r>
            <w:r w:rsidR="00232C9D" w:rsidRPr="006C2538">
              <w:rPr>
                <w:rFonts w:ascii="Times New Roman" w:hAnsi="Times New Roman"/>
                <w:b/>
                <w:color w:val="222222"/>
                <w:shd w:val="clear" w:color="auto" w:fill="FFFFFF"/>
                <w:lang w:eastAsia="es-CO"/>
              </w:rPr>
              <w:t xml:space="preserve">rotocolos </w:t>
            </w:r>
            <w:r w:rsidRPr="006C2538">
              <w:rPr>
                <w:rFonts w:ascii="Times New Roman" w:hAnsi="Times New Roman"/>
                <w:b/>
                <w:color w:val="222222"/>
                <w:shd w:val="clear" w:color="auto" w:fill="FFFFFF"/>
                <w:lang w:eastAsia="es-CO"/>
              </w:rPr>
              <w:t>É</w:t>
            </w:r>
            <w:r w:rsidR="00232C9D" w:rsidRPr="006C2538">
              <w:rPr>
                <w:rFonts w:ascii="Times New Roman" w:hAnsi="Times New Roman"/>
                <w:b/>
                <w:color w:val="222222"/>
                <w:shd w:val="clear" w:color="auto" w:fill="FFFFFF"/>
                <w:lang w:eastAsia="es-CO"/>
              </w:rPr>
              <w:t xml:space="preserve">ticos, </w:t>
            </w:r>
            <w:r w:rsidRPr="006C2538">
              <w:rPr>
                <w:rFonts w:ascii="Times New Roman" w:hAnsi="Times New Roman"/>
                <w:b/>
                <w:color w:val="222222"/>
                <w:shd w:val="clear" w:color="auto" w:fill="FFFFFF"/>
                <w:lang w:eastAsia="es-CO"/>
              </w:rPr>
              <w:t>Acuerdos, C</w:t>
            </w:r>
            <w:r w:rsidR="00232C9D" w:rsidRPr="006C2538">
              <w:rPr>
                <w:rFonts w:ascii="Times New Roman" w:hAnsi="Times New Roman"/>
                <w:b/>
                <w:color w:val="222222"/>
                <w:shd w:val="clear" w:color="auto" w:fill="FFFFFF"/>
                <w:lang w:eastAsia="es-CO"/>
              </w:rPr>
              <w:t>ompromisos</w:t>
            </w:r>
            <w:r w:rsidRPr="006C2538">
              <w:rPr>
                <w:rFonts w:ascii="Times New Roman" w:hAnsi="Times New Roman"/>
                <w:b/>
                <w:color w:val="222222"/>
                <w:shd w:val="clear" w:color="auto" w:fill="FFFFFF"/>
                <w:lang w:eastAsia="es-CO"/>
              </w:rPr>
              <w:t xml:space="preserve"> y </w:t>
            </w:r>
            <w:r w:rsidR="00232C9D" w:rsidRPr="006C2538">
              <w:rPr>
                <w:rFonts w:ascii="Times New Roman" w:hAnsi="Times New Roman"/>
                <w:b/>
                <w:color w:val="222222"/>
                <w:shd w:val="clear" w:color="auto" w:fill="FFFFFF"/>
                <w:lang w:eastAsia="es-CO"/>
              </w:rPr>
              <w:t>Procesos de</w:t>
            </w:r>
            <w:r w:rsidRPr="006C2538">
              <w:rPr>
                <w:rFonts w:ascii="Times New Roman" w:hAnsi="Times New Roman"/>
                <w:b/>
                <w:color w:val="222222"/>
                <w:shd w:val="clear" w:color="auto" w:fill="FFFFFF"/>
                <w:lang w:eastAsia="es-CO"/>
              </w:rPr>
              <w:t xml:space="preserve"> </w:t>
            </w:r>
            <w:r w:rsidR="00232C9D" w:rsidRPr="006C2538">
              <w:rPr>
                <w:rFonts w:ascii="Times New Roman" w:hAnsi="Times New Roman"/>
                <w:b/>
                <w:color w:val="222222"/>
                <w:shd w:val="clear" w:color="auto" w:fill="FFFFFF"/>
                <w:lang w:eastAsia="es-CO"/>
              </w:rPr>
              <w:t>socialización:</w:t>
            </w:r>
            <w:r w:rsidRPr="006C2538">
              <w:rPr>
                <w:rFonts w:ascii="Times New Roman" w:hAnsi="Times New Roman"/>
                <w:b/>
                <w:color w:val="222222"/>
                <w:shd w:val="clear" w:color="auto" w:fill="FFFFFF"/>
                <w:lang w:eastAsia="es-CO"/>
              </w:rPr>
              <w:t xml:space="preserve"> </w:t>
            </w:r>
            <w:r w:rsidR="00232C9D" w:rsidRPr="006C2538">
              <w:rPr>
                <w:rFonts w:ascii="Times New Roman" w:hAnsi="Times New Roman"/>
                <w:color w:val="222222"/>
                <w:shd w:val="clear" w:color="auto" w:fill="FFFFFF"/>
                <w:lang w:eastAsia="es-CO"/>
              </w:rPr>
              <w:t xml:space="preserve">Con el Comité de Gestión Ética </w:t>
            </w:r>
            <w:r w:rsidRPr="006C2538">
              <w:rPr>
                <w:rFonts w:ascii="Times New Roman" w:hAnsi="Times New Roman"/>
                <w:color w:val="222222"/>
                <w:shd w:val="clear" w:color="auto" w:fill="FFFFFF"/>
                <w:lang w:eastAsia="es-CO"/>
              </w:rPr>
              <w:t xml:space="preserve">de la entidad </w:t>
            </w:r>
            <w:r w:rsidR="00232C9D" w:rsidRPr="006C2538">
              <w:rPr>
                <w:rFonts w:ascii="Times New Roman" w:hAnsi="Times New Roman"/>
                <w:color w:val="222222"/>
                <w:shd w:val="clear" w:color="auto" w:fill="FFFFFF"/>
                <w:lang w:eastAsia="es-CO"/>
              </w:rPr>
              <w:t>se avanza en el diseño de una enc</w:t>
            </w:r>
            <w:r w:rsidRPr="006C2538">
              <w:rPr>
                <w:rFonts w:ascii="Times New Roman" w:hAnsi="Times New Roman"/>
                <w:color w:val="222222"/>
                <w:shd w:val="clear" w:color="auto" w:fill="FFFFFF"/>
                <w:lang w:eastAsia="es-CO"/>
              </w:rPr>
              <w:t xml:space="preserve">uesta para todos los servidores, </w:t>
            </w:r>
            <w:r w:rsidR="00232C9D" w:rsidRPr="006C2538">
              <w:rPr>
                <w:rFonts w:ascii="Times New Roman" w:hAnsi="Times New Roman"/>
                <w:color w:val="222222"/>
                <w:shd w:val="clear" w:color="auto" w:fill="FFFFFF"/>
                <w:lang w:eastAsia="es-CO"/>
              </w:rPr>
              <w:t>con el fin de conocer su apreciación sobre el actual Código Ético.</w:t>
            </w:r>
          </w:p>
          <w:p w:rsidR="00E3419E" w:rsidRPr="00E3419E" w:rsidRDefault="00E3419E" w:rsidP="00E3419E">
            <w:pPr>
              <w:pStyle w:val="Prrafodelista"/>
              <w:spacing w:after="0"/>
              <w:ind w:left="360"/>
              <w:jc w:val="both"/>
              <w:rPr>
                <w:rFonts w:ascii="Times New Roman" w:hAnsi="Times New Roman"/>
                <w:b/>
                <w:color w:val="222222"/>
                <w:shd w:val="clear" w:color="auto" w:fill="FFFFFF"/>
                <w:lang w:eastAsia="es-CO"/>
              </w:rPr>
            </w:pPr>
          </w:p>
          <w:p w:rsidR="00232C9D" w:rsidRPr="006C2538" w:rsidRDefault="00232C9D" w:rsidP="00491EF4">
            <w:pPr>
              <w:pStyle w:val="Prrafodelista"/>
              <w:numPr>
                <w:ilvl w:val="0"/>
                <w:numId w:val="4"/>
              </w:numPr>
              <w:spacing w:after="0"/>
              <w:jc w:val="both"/>
              <w:rPr>
                <w:rFonts w:ascii="Times New Roman" w:hAnsi="Times New Roman"/>
                <w:b/>
                <w:color w:val="222222"/>
                <w:shd w:val="clear" w:color="auto" w:fill="FFFFFF"/>
                <w:lang w:eastAsia="es-CO"/>
              </w:rPr>
            </w:pPr>
            <w:r w:rsidRPr="006C2538">
              <w:rPr>
                <w:rFonts w:ascii="Times New Roman" w:hAnsi="Times New Roman"/>
                <w:b/>
                <w:color w:val="222222"/>
                <w:shd w:val="clear" w:color="auto" w:fill="FFFFFF"/>
                <w:lang w:eastAsia="es-CO"/>
              </w:rPr>
              <w:t>Actualización Manual de Funciones:</w:t>
            </w:r>
            <w:r w:rsidR="007D3A4C" w:rsidRPr="006C2538">
              <w:rPr>
                <w:rFonts w:ascii="Times New Roman" w:hAnsi="Times New Roman"/>
                <w:b/>
                <w:color w:val="222222"/>
                <w:shd w:val="clear" w:color="auto" w:fill="FFFFFF"/>
                <w:lang w:eastAsia="es-CO"/>
              </w:rPr>
              <w:t xml:space="preserve"> </w:t>
            </w:r>
            <w:r w:rsidRPr="006C2538">
              <w:rPr>
                <w:rFonts w:ascii="Times New Roman" w:hAnsi="Times New Roman"/>
                <w:color w:val="222222"/>
                <w:shd w:val="clear" w:color="auto" w:fill="FFFFFF"/>
                <w:lang w:eastAsia="es-CO"/>
              </w:rPr>
              <w:t>El manual de la SDP no ha sido objeto de actualización durante este periodo.</w:t>
            </w:r>
          </w:p>
          <w:p w:rsidR="00232C9D" w:rsidRPr="006C2538" w:rsidRDefault="00232C9D" w:rsidP="002A66C6">
            <w:pPr>
              <w:jc w:val="both"/>
              <w:rPr>
                <w:rFonts w:ascii="Times New Roman" w:hAnsi="Times New Roman"/>
                <w:color w:val="222222"/>
                <w:sz w:val="22"/>
                <w:szCs w:val="22"/>
                <w:shd w:val="clear" w:color="auto" w:fill="FFFFFF"/>
                <w:lang w:val="es-CO" w:eastAsia="es-CO"/>
              </w:rPr>
            </w:pPr>
          </w:p>
          <w:p w:rsidR="00232C9D" w:rsidRPr="006C2538" w:rsidRDefault="002A66C6" w:rsidP="00491EF4">
            <w:pPr>
              <w:pStyle w:val="Prrafodelista"/>
              <w:numPr>
                <w:ilvl w:val="0"/>
                <w:numId w:val="4"/>
              </w:numPr>
              <w:shd w:val="clear" w:color="auto" w:fill="FFFFFF"/>
              <w:spacing w:after="0"/>
              <w:jc w:val="both"/>
              <w:rPr>
                <w:rFonts w:ascii="Times New Roman" w:hAnsi="Times New Roman"/>
                <w:color w:val="222222"/>
                <w:lang w:eastAsia="es-CO"/>
              </w:rPr>
            </w:pPr>
            <w:r w:rsidRPr="006C2538">
              <w:rPr>
                <w:rFonts w:ascii="Times New Roman" w:hAnsi="Times New Roman"/>
                <w:b/>
                <w:color w:val="222222"/>
                <w:lang w:eastAsia="es-CO"/>
              </w:rPr>
              <w:t>Ejecución Plan de Capacitación</w:t>
            </w:r>
            <w:r w:rsidR="00232C9D" w:rsidRPr="006C2538">
              <w:rPr>
                <w:rFonts w:ascii="Times New Roman" w:hAnsi="Times New Roman"/>
                <w:b/>
                <w:color w:val="222222"/>
                <w:lang w:eastAsia="es-CO"/>
              </w:rPr>
              <w:t>:</w:t>
            </w:r>
            <w:r w:rsidRPr="006C2538">
              <w:rPr>
                <w:rFonts w:ascii="Times New Roman" w:hAnsi="Times New Roman"/>
                <w:color w:val="222222"/>
                <w:lang w:eastAsia="es-CO"/>
              </w:rPr>
              <w:t xml:space="preserve"> Se han efectuado, </w:t>
            </w:r>
            <w:r w:rsidR="00232C9D" w:rsidRPr="006C2538">
              <w:rPr>
                <w:rFonts w:ascii="Times New Roman" w:hAnsi="Times New Roman"/>
                <w:color w:val="222222"/>
                <w:lang w:eastAsia="es-CO"/>
              </w:rPr>
              <w:t xml:space="preserve">en el periodo de marzo a junio de 2017, </w:t>
            </w:r>
            <w:r w:rsidRPr="006C2538">
              <w:rPr>
                <w:rFonts w:ascii="Times New Roman" w:hAnsi="Times New Roman"/>
                <w:color w:val="222222"/>
                <w:lang w:eastAsia="es-CO"/>
              </w:rPr>
              <w:t xml:space="preserve">seis </w:t>
            </w:r>
            <w:r w:rsidR="00232C9D" w:rsidRPr="006C2538">
              <w:rPr>
                <w:rFonts w:ascii="Times New Roman" w:hAnsi="Times New Roman"/>
                <w:color w:val="222222"/>
                <w:lang w:eastAsia="es-CO"/>
              </w:rPr>
              <w:t xml:space="preserve">actividades de capacitación </w:t>
            </w:r>
            <w:r w:rsidR="000450AF" w:rsidRPr="006C2538">
              <w:rPr>
                <w:rFonts w:ascii="Times New Roman" w:hAnsi="Times New Roman"/>
                <w:color w:val="222222"/>
                <w:lang w:eastAsia="es-CO"/>
              </w:rPr>
              <w:t xml:space="preserve">así: Siglo XXI (19 participantes); Vivienda Bogotá – 22 de </w:t>
            </w:r>
            <w:r w:rsidR="00193EA4" w:rsidRPr="006C2538">
              <w:rPr>
                <w:rFonts w:ascii="Times New Roman" w:hAnsi="Times New Roman"/>
                <w:color w:val="222222"/>
                <w:lang w:eastAsia="es-CO"/>
              </w:rPr>
              <w:t>marzo (</w:t>
            </w:r>
            <w:r w:rsidR="000450AF" w:rsidRPr="006C2538">
              <w:rPr>
                <w:rFonts w:ascii="Times New Roman" w:hAnsi="Times New Roman"/>
                <w:color w:val="222222"/>
                <w:lang w:eastAsia="es-CO"/>
              </w:rPr>
              <w:t>8 participantes); Lagos de Torca (39 participantes); Decreto 621 de 2016 (18 participantes); Vivienda Bogotá - 26 de abril (29 participantes) y SINUPOT (33 participantes)</w:t>
            </w:r>
            <w:r w:rsidR="00193EA4" w:rsidRPr="006C2538">
              <w:rPr>
                <w:rFonts w:ascii="Times New Roman" w:hAnsi="Times New Roman"/>
                <w:color w:val="222222"/>
                <w:lang w:eastAsia="es-CO"/>
              </w:rPr>
              <w:t>.</w:t>
            </w:r>
            <w:r w:rsidR="000450AF" w:rsidRPr="006C2538">
              <w:rPr>
                <w:rFonts w:ascii="Times New Roman" w:hAnsi="Times New Roman"/>
                <w:color w:val="222222"/>
                <w:lang w:eastAsia="es-CO"/>
              </w:rPr>
              <w:t xml:space="preserve"> </w:t>
            </w:r>
          </w:p>
          <w:p w:rsidR="00232C9D" w:rsidRPr="006C2538" w:rsidRDefault="00232C9D" w:rsidP="002A66C6">
            <w:pPr>
              <w:shd w:val="clear" w:color="auto" w:fill="FFFFFF"/>
              <w:jc w:val="both"/>
              <w:rPr>
                <w:rFonts w:ascii="Times New Roman" w:hAnsi="Times New Roman"/>
                <w:color w:val="222222"/>
                <w:sz w:val="22"/>
                <w:szCs w:val="22"/>
                <w:lang w:val="es-CO" w:eastAsia="es-CO"/>
              </w:rPr>
            </w:pPr>
          </w:p>
          <w:p w:rsidR="00232C9D" w:rsidRPr="006C2538" w:rsidRDefault="00232C9D" w:rsidP="00491EF4">
            <w:pPr>
              <w:pStyle w:val="Prrafodelista"/>
              <w:numPr>
                <w:ilvl w:val="0"/>
                <w:numId w:val="4"/>
              </w:numPr>
              <w:shd w:val="clear" w:color="auto" w:fill="FFFFFF"/>
              <w:spacing w:after="120"/>
              <w:jc w:val="both"/>
              <w:rPr>
                <w:rFonts w:ascii="Times New Roman" w:hAnsi="Times New Roman"/>
                <w:color w:val="222222"/>
                <w:lang w:eastAsia="es-CO"/>
              </w:rPr>
            </w:pPr>
            <w:r w:rsidRPr="006C2538">
              <w:rPr>
                <w:rFonts w:ascii="Times New Roman" w:hAnsi="Times New Roman"/>
                <w:b/>
                <w:color w:val="222222"/>
                <w:lang w:eastAsia="es-CO"/>
              </w:rPr>
              <w:t>Ejecución Programas de Bienestar:</w:t>
            </w:r>
            <w:r w:rsidRPr="006C2538">
              <w:rPr>
                <w:rFonts w:ascii="Times New Roman" w:hAnsi="Times New Roman"/>
                <w:color w:val="222222"/>
                <w:lang w:eastAsia="es-CO"/>
              </w:rPr>
              <w:t xml:space="preserve"> Se han realizado en el periodo de marzo a junio de 2017, 8 actividades de bienestar </w:t>
            </w:r>
            <w:r w:rsidR="00193EA4" w:rsidRPr="006C2538">
              <w:rPr>
                <w:rFonts w:ascii="Times New Roman" w:hAnsi="Times New Roman"/>
                <w:color w:val="222222"/>
                <w:lang w:eastAsia="es-CO"/>
              </w:rPr>
              <w:t>así: Día de la Mujer – Chocolaterapia (15 participantes); Taller Despierta Tu Esencia Femenina</w:t>
            </w:r>
            <w:r w:rsidR="00883B8B" w:rsidRPr="006C2538">
              <w:rPr>
                <w:rFonts w:ascii="Times New Roman" w:hAnsi="Times New Roman"/>
                <w:color w:val="222222"/>
                <w:lang w:eastAsia="es-CO"/>
              </w:rPr>
              <w:t xml:space="preserve"> (19 participantes); Taller de Chocolaterapia (20 participantes); Bisutería (9 participantes); Día del Hombre - Tabla de Quesos (5 participantes); Día del Hombre – Taller de Sushi (14 participantes); Día del Niño – Cocineritos </w:t>
            </w:r>
            <w:r w:rsidR="006C2538" w:rsidRPr="006C2538">
              <w:rPr>
                <w:rFonts w:ascii="Times New Roman" w:hAnsi="Times New Roman"/>
                <w:color w:val="222222"/>
                <w:lang w:eastAsia="es-CO"/>
              </w:rPr>
              <w:t>(30 participantes); Día del Niño – Regalos (162 participantes).</w:t>
            </w:r>
          </w:p>
          <w:p w:rsidR="006C2538" w:rsidRPr="006C2538" w:rsidRDefault="006C2538" w:rsidP="006C2538">
            <w:pPr>
              <w:pStyle w:val="Prrafodelista"/>
              <w:shd w:val="clear" w:color="auto" w:fill="FFFFFF"/>
              <w:spacing w:after="120"/>
              <w:ind w:left="360"/>
              <w:jc w:val="both"/>
              <w:rPr>
                <w:rFonts w:ascii="Times New Roman" w:hAnsi="Times New Roman"/>
                <w:color w:val="222222"/>
                <w:lang w:eastAsia="es-CO"/>
              </w:rPr>
            </w:pPr>
          </w:p>
          <w:p w:rsidR="00232C9D" w:rsidRPr="006C2538" w:rsidRDefault="00232C9D" w:rsidP="00491EF4">
            <w:pPr>
              <w:pStyle w:val="Prrafodelista"/>
              <w:numPr>
                <w:ilvl w:val="0"/>
                <w:numId w:val="4"/>
              </w:numPr>
              <w:shd w:val="clear" w:color="auto" w:fill="FFFFFF"/>
              <w:spacing w:after="120"/>
              <w:jc w:val="both"/>
              <w:rPr>
                <w:rFonts w:ascii="Times New Roman" w:hAnsi="Times New Roman"/>
                <w:color w:val="222222"/>
                <w:lang w:eastAsia="es-CO"/>
              </w:rPr>
            </w:pPr>
            <w:r w:rsidRPr="006C2538">
              <w:rPr>
                <w:rFonts w:ascii="Times New Roman" w:hAnsi="Times New Roman"/>
                <w:b/>
                <w:color w:val="222222"/>
                <w:lang w:eastAsia="es-CO"/>
              </w:rPr>
              <w:t xml:space="preserve">Ejecución Programa de </w:t>
            </w:r>
            <w:r w:rsidR="00883B8B" w:rsidRPr="006C2538">
              <w:rPr>
                <w:rFonts w:ascii="Times New Roman" w:hAnsi="Times New Roman"/>
                <w:b/>
                <w:color w:val="222222"/>
                <w:lang w:eastAsia="es-CO"/>
              </w:rPr>
              <w:t>I</w:t>
            </w:r>
            <w:r w:rsidRPr="006C2538">
              <w:rPr>
                <w:rFonts w:ascii="Times New Roman" w:hAnsi="Times New Roman"/>
                <w:b/>
                <w:color w:val="222222"/>
                <w:lang w:eastAsia="es-CO"/>
              </w:rPr>
              <w:t xml:space="preserve">nducción y/o </w:t>
            </w:r>
            <w:r w:rsidR="00883B8B" w:rsidRPr="006C2538">
              <w:rPr>
                <w:rFonts w:ascii="Times New Roman" w:hAnsi="Times New Roman"/>
                <w:b/>
                <w:color w:val="222222"/>
                <w:lang w:eastAsia="es-CO"/>
              </w:rPr>
              <w:t>R</w:t>
            </w:r>
            <w:r w:rsidRPr="006C2538">
              <w:rPr>
                <w:rFonts w:ascii="Times New Roman" w:hAnsi="Times New Roman"/>
                <w:b/>
                <w:color w:val="222222"/>
                <w:lang w:eastAsia="es-CO"/>
              </w:rPr>
              <w:t>einducción:</w:t>
            </w:r>
            <w:r w:rsidRPr="006C2538">
              <w:rPr>
                <w:rFonts w:ascii="Times New Roman" w:hAnsi="Times New Roman"/>
                <w:color w:val="222222"/>
                <w:lang w:eastAsia="es-CO"/>
              </w:rPr>
              <w:t xml:space="preserve"> Se han realizado dos jornadas de inducción, una de ella</w:t>
            </w:r>
            <w:r w:rsidR="006C2538" w:rsidRPr="006C2538">
              <w:rPr>
                <w:rFonts w:ascii="Times New Roman" w:hAnsi="Times New Roman"/>
                <w:color w:val="222222"/>
                <w:lang w:eastAsia="es-CO"/>
              </w:rPr>
              <w:t>s</w:t>
            </w:r>
            <w:r w:rsidRPr="006C2538">
              <w:rPr>
                <w:rFonts w:ascii="Times New Roman" w:hAnsi="Times New Roman"/>
                <w:color w:val="222222"/>
                <w:lang w:eastAsia="es-CO"/>
              </w:rPr>
              <w:t xml:space="preserve"> en el mes de mayo y la otra en el mes de junio; adicionalmente se han realizado 12 </w:t>
            </w:r>
            <w:r w:rsidR="006C2538" w:rsidRPr="006C2538">
              <w:rPr>
                <w:rFonts w:ascii="Times New Roman" w:hAnsi="Times New Roman"/>
                <w:color w:val="222222"/>
                <w:lang w:eastAsia="es-CO"/>
              </w:rPr>
              <w:t xml:space="preserve">actividades de inducción, en el marco del </w:t>
            </w:r>
            <w:r w:rsidRPr="006C2538">
              <w:rPr>
                <w:rFonts w:ascii="Times New Roman" w:hAnsi="Times New Roman"/>
                <w:color w:val="222222"/>
                <w:lang w:eastAsia="es-CO"/>
              </w:rPr>
              <w:t>plan de conti</w:t>
            </w:r>
            <w:r w:rsidR="00965827" w:rsidRPr="006C2538">
              <w:rPr>
                <w:rFonts w:ascii="Times New Roman" w:hAnsi="Times New Roman"/>
                <w:color w:val="222222"/>
                <w:lang w:eastAsia="es-CO"/>
              </w:rPr>
              <w:t>n</w:t>
            </w:r>
            <w:r w:rsidRPr="006C2538">
              <w:rPr>
                <w:rFonts w:ascii="Times New Roman" w:hAnsi="Times New Roman"/>
                <w:color w:val="222222"/>
                <w:lang w:eastAsia="es-CO"/>
              </w:rPr>
              <w:t xml:space="preserve">gencia </w:t>
            </w:r>
            <w:r w:rsidR="006C2538" w:rsidRPr="006C2538">
              <w:rPr>
                <w:rFonts w:ascii="Times New Roman" w:hAnsi="Times New Roman"/>
                <w:color w:val="222222"/>
                <w:lang w:eastAsia="es-CO"/>
              </w:rPr>
              <w:t xml:space="preserve">para los </w:t>
            </w:r>
            <w:r w:rsidRPr="006C2538">
              <w:rPr>
                <w:rFonts w:ascii="Times New Roman" w:hAnsi="Times New Roman"/>
                <w:color w:val="222222"/>
                <w:lang w:eastAsia="es-CO"/>
              </w:rPr>
              <w:t xml:space="preserve">ingresos </w:t>
            </w:r>
            <w:r w:rsidR="006C2538" w:rsidRPr="006C2538">
              <w:rPr>
                <w:rFonts w:ascii="Times New Roman" w:hAnsi="Times New Roman"/>
                <w:color w:val="222222"/>
                <w:lang w:eastAsia="es-CO"/>
              </w:rPr>
              <w:t xml:space="preserve">generados por la </w:t>
            </w:r>
            <w:r w:rsidRPr="006C2538">
              <w:rPr>
                <w:rFonts w:ascii="Times New Roman" w:hAnsi="Times New Roman"/>
                <w:color w:val="222222"/>
                <w:lang w:eastAsia="es-CO"/>
              </w:rPr>
              <w:t xml:space="preserve">convocatoria pública méritos, </w:t>
            </w:r>
            <w:r w:rsidR="006C2538" w:rsidRPr="006C2538">
              <w:rPr>
                <w:rFonts w:ascii="Times New Roman" w:hAnsi="Times New Roman"/>
                <w:color w:val="222222"/>
                <w:lang w:eastAsia="es-CO"/>
              </w:rPr>
              <w:t xml:space="preserve">funcionarios que ingresaron en </w:t>
            </w:r>
            <w:r w:rsidRPr="006C2538">
              <w:rPr>
                <w:rFonts w:ascii="Times New Roman" w:hAnsi="Times New Roman"/>
                <w:color w:val="222222"/>
                <w:lang w:eastAsia="es-CO"/>
              </w:rPr>
              <w:t>periodo de prueba.</w:t>
            </w:r>
          </w:p>
          <w:p w:rsidR="006C2538" w:rsidRPr="006C2538" w:rsidRDefault="006C2538" w:rsidP="006C2538">
            <w:pPr>
              <w:pStyle w:val="Prrafodelista"/>
              <w:shd w:val="clear" w:color="auto" w:fill="FFFFFF"/>
              <w:ind w:left="360"/>
              <w:jc w:val="both"/>
              <w:rPr>
                <w:rFonts w:ascii="Times New Roman" w:hAnsi="Times New Roman"/>
                <w:color w:val="222222"/>
                <w:lang w:eastAsia="es-CO"/>
              </w:rPr>
            </w:pPr>
          </w:p>
          <w:p w:rsidR="006C2538" w:rsidRPr="006C2538" w:rsidRDefault="00232C9D" w:rsidP="00491EF4">
            <w:pPr>
              <w:pStyle w:val="Prrafodelista"/>
              <w:numPr>
                <w:ilvl w:val="0"/>
                <w:numId w:val="4"/>
              </w:numPr>
              <w:shd w:val="clear" w:color="auto" w:fill="FFFFFF"/>
              <w:jc w:val="both"/>
              <w:rPr>
                <w:rFonts w:ascii="Times New Roman" w:hAnsi="Times New Roman"/>
                <w:color w:val="222222"/>
                <w:lang w:eastAsia="es-CO"/>
              </w:rPr>
            </w:pPr>
            <w:r w:rsidRPr="006C2538">
              <w:rPr>
                <w:rFonts w:ascii="Times New Roman" w:hAnsi="Times New Roman"/>
                <w:b/>
                <w:color w:val="222222"/>
                <w:lang w:eastAsia="es-CO"/>
              </w:rPr>
              <w:t xml:space="preserve">Ejecución </w:t>
            </w:r>
            <w:r w:rsidR="006C2538" w:rsidRPr="006C2538">
              <w:rPr>
                <w:rFonts w:ascii="Times New Roman" w:hAnsi="Times New Roman"/>
                <w:b/>
                <w:color w:val="222222"/>
                <w:lang w:eastAsia="es-CO"/>
              </w:rPr>
              <w:t>P</w:t>
            </w:r>
            <w:r w:rsidRPr="006C2538">
              <w:rPr>
                <w:rFonts w:ascii="Times New Roman" w:hAnsi="Times New Roman"/>
                <w:b/>
                <w:color w:val="222222"/>
                <w:lang w:eastAsia="es-CO"/>
              </w:rPr>
              <w:t xml:space="preserve">lan de </w:t>
            </w:r>
            <w:r w:rsidR="006C2538" w:rsidRPr="006C2538">
              <w:rPr>
                <w:rFonts w:ascii="Times New Roman" w:hAnsi="Times New Roman"/>
                <w:b/>
                <w:color w:val="222222"/>
                <w:lang w:eastAsia="es-CO"/>
              </w:rPr>
              <w:t>I</w:t>
            </w:r>
            <w:r w:rsidRPr="006C2538">
              <w:rPr>
                <w:rFonts w:ascii="Times New Roman" w:hAnsi="Times New Roman"/>
                <w:b/>
                <w:color w:val="222222"/>
                <w:lang w:eastAsia="es-CO"/>
              </w:rPr>
              <w:t>ncentivos:</w:t>
            </w:r>
            <w:r w:rsidRPr="006C2538">
              <w:rPr>
                <w:rFonts w:ascii="Times New Roman" w:hAnsi="Times New Roman"/>
                <w:color w:val="222222"/>
                <w:lang w:eastAsia="es-CO"/>
              </w:rPr>
              <w:t xml:space="preserve"> Se </w:t>
            </w:r>
            <w:r w:rsidR="006C2538" w:rsidRPr="006C2538">
              <w:rPr>
                <w:rFonts w:ascii="Times New Roman" w:hAnsi="Times New Roman"/>
                <w:color w:val="222222"/>
                <w:lang w:eastAsia="es-CO"/>
              </w:rPr>
              <w:t xml:space="preserve">tramitaron 7 </w:t>
            </w:r>
            <w:r w:rsidR="003B31CE" w:rsidRPr="006C2538">
              <w:rPr>
                <w:rFonts w:ascii="Times New Roman" w:hAnsi="Times New Roman"/>
                <w:color w:val="222222"/>
                <w:lang w:eastAsia="es-CO"/>
              </w:rPr>
              <w:t>solicitud</w:t>
            </w:r>
            <w:r w:rsidR="006C2538" w:rsidRPr="006C2538">
              <w:rPr>
                <w:rFonts w:ascii="Times New Roman" w:hAnsi="Times New Roman"/>
                <w:color w:val="222222"/>
                <w:lang w:eastAsia="es-CO"/>
              </w:rPr>
              <w:t>es</w:t>
            </w:r>
            <w:r w:rsidR="003B31CE" w:rsidRPr="006C2538">
              <w:rPr>
                <w:rFonts w:ascii="Times New Roman" w:hAnsi="Times New Roman"/>
                <w:color w:val="222222"/>
                <w:lang w:eastAsia="es-CO"/>
              </w:rPr>
              <w:t xml:space="preserve"> </w:t>
            </w:r>
            <w:r w:rsidR="006C2538" w:rsidRPr="006C2538">
              <w:rPr>
                <w:rFonts w:ascii="Times New Roman" w:hAnsi="Times New Roman"/>
                <w:color w:val="222222"/>
                <w:lang w:eastAsia="es-CO"/>
              </w:rPr>
              <w:t xml:space="preserve">de apoyo económico por pate de los servidores de la entidad, frente a lo cual el </w:t>
            </w:r>
            <w:r w:rsidR="003B31CE" w:rsidRPr="006C2538">
              <w:rPr>
                <w:rFonts w:ascii="Times New Roman" w:hAnsi="Times New Roman"/>
                <w:color w:val="222222"/>
                <w:lang w:eastAsia="es-CO"/>
              </w:rPr>
              <w:t>Comité de I</w:t>
            </w:r>
            <w:r w:rsidRPr="006C2538">
              <w:rPr>
                <w:rFonts w:ascii="Times New Roman" w:hAnsi="Times New Roman"/>
                <w:color w:val="222222"/>
                <w:lang w:eastAsia="es-CO"/>
              </w:rPr>
              <w:t>ncentivos a</w:t>
            </w:r>
            <w:r w:rsidR="006C2538" w:rsidRPr="006C2538">
              <w:rPr>
                <w:rFonts w:ascii="Times New Roman" w:hAnsi="Times New Roman"/>
                <w:color w:val="222222"/>
                <w:lang w:eastAsia="es-CO"/>
              </w:rPr>
              <w:t>probó</w:t>
            </w:r>
            <w:r w:rsidRPr="006C2538">
              <w:rPr>
                <w:rFonts w:ascii="Times New Roman" w:hAnsi="Times New Roman"/>
                <w:color w:val="222222"/>
                <w:lang w:eastAsia="es-CO"/>
              </w:rPr>
              <w:t xml:space="preserve"> 6 de ellos, siendo una </w:t>
            </w:r>
            <w:r w:rsidR="006C2538" w:rsidRPr="006C2538">
              <w:rPr>
                <w:rFonts w:ascii="Times New Roman" w:hAnsi="Times New Roman"/>
                <w:color w:val="222222"/>
                <w:lang w:eastAsia="es-CO"/>
              </w:rPr>
              <w:t xml:space="preserve">de las </w:t>
            </w:r>
            <w:r w:rsidRPr="006C2538">
              <w:rPr>
                <w:rFonts w:ascii="Times New Roman" w:hAnsi="Times New Roman"/>
                <w:color w:val="222222"/>
                <w:lang w:eastAsia="es-CO"/>
              </w:rPr>
              <w:t>solicitud</w:t>
            </w:r>
            <w:r w:rsidR="006C2538" w:rsidRPr="006C2538">
              <w:rPr>
                <w:rFonts w:ascii="Times New Roman" w:hAnsi="Times New Roman"/>
                <w:color w:val="222222"/>
                <w:lang w:eastAsia="es-CO"/>
              </w:rPr>
              <w:t xml:space="preserve">es, </w:t>
            </w:r>
            <w:r w:rsidRPr="006C2538">
              <w:rPr>
                <w:rFonts w:ascii="Times New Roman" w:hAnsi="Times New Roman"/>
                <w:color w:val="222222"/>
                <w:lang w:eastAsia="es-CO"/>
              </w:rPr>
              <w:t>retirada por el mismo funcionario.</w:t>
            </w:r>
          </w:p>
          <w:p w:rsidR="00232C9D" w:rsidRPr="00013AC2" w:rsidRDefault="00232C9D" w:rsidP="00013AC2">
            <w:pPr>
              <w:tabs>
                <w:tab w:val="left" w:pos="567"/>
              </w:tabs>
              <w:ind w:right="-1"/>
              <w:jc w:val="both"/>
              <w:rPr>
                <w:rFonts w:ascii="Times New Roman" w:hAnsi="Times New Roman"/>
              </w:rPr>
            </w:pPr>
          </w:p>
        </w:tc>
      </w:tr>
    </w:tbl>
    <w:p w:rsidR="003E52D6" w:rsidRDefault="003E52D6" w:rsidP="002A66C6">
      <w:pPr>
        <w:jc w:val="both"/>
        <w:rPr>
          <w:rFonts w:ascii="Times New Roman" w:hAnsi="Times New Roman"/>
          <w:sz w:val="22"/>
          <w:szCs w:val="22"/>
        </w:rPr>
      </w:pPr>
    </w:p>
    <w:p w:rsidR="00013AC2" w:rsidRDefault="00013AC2" w:rsidP="002A66C6">
      <w:pPr>
        <w:jc w:val="both"/>
        <w:rPr>
          <w:rFonts w:ascii="Times New Roman" w:hAnsi="Times New Roman"/>
          <w:sz w:val="22"/>
          <w:szCs w:val="22"/>
        </w:rPr>
      </w:pPr>
    </w:p>
    <w:p w:rsidR="00013AC2" w:rsidRPr="006C2538" w:rsidRDefault="00013AC2" w:rsidP="002A66C6">
      <w:pPr>
        <w:jc w:val="both"/>
        <w:rPr>
          <w:rFonts w:ascii="Times New Roman" w:hAnsi="Times New Roman"/>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E52D6" w:rsidRPr="006C2538" w:rsidTr="00655722">
        <w:tc>
          <w:tcPr>
            <w:tcW w:w="9356" w:type="dxa"/>
          </w:tcPr>
          <w:p w:rsidR="00B31AD6" w:rsidRDefault="00B31AD6" w:rsidP="00B31AD6">
            <w:pPr>
              <w:pStyle w:val="Prrafodelista"/>
              <w:shd w:val="clear" w:color="auto" w:fill="FFFFFF"/>
              <w:ind w:left="360"/>
              <w:jc w:val="both"/>
              <w:rPr>
                <w:rFonts w:ascii="Times New Roman" w:hAnsi="Times New Roman"/>
                <w:b/>
                <w:color w:val="222222"/>
                <w:lang w:eastAsia="es-CO"/>
              </w:rPr>
            </w:pPr>
          </w:p>
          <w:p w:rsidR="00563D51" w:rsidRPr="006C2538" w:rsidRDefault="00563D51" w:rsidP="00491EF4">
            <w:pPr>
              <w:pStyle w:val="Prrafodelista"/>
              <w:numPr>
                <w:ilvl w:val="0"/>
                <w:numId w:val="4"/>
              </w:numPr>
              <w:shd w:val="clear" w:color="auto" w:fill="FFFFFF"/>
              <w:spacing w:after="0"/>
              <w:jc w:val="both"/>
              <w:rPr>
                <w:rFonts w:ascii="Times New Roman" w:hAnsi="Times New Roman"/>
                <w:b/>
                <w:color w:val="222222"/>
                <w:lang w:eastAsia="es-CO"/>
              </w:rPr>
            </w:pPr>
            <w:r w:rsidRPr="006C2538">
              <w:rPr>
                <w:rFonts w:ascii="Times New Roman" w:hAnsi="Times New Roman"/>
                <w:b/>
                <w:color w:val="222222"/>
                <w:lang w:eastAsia="es-CO"/>
              </w:rPr>
              <w:lastRenderedPageBreak/>
              <w:t>Carrera Administrativa y Acuerdos de Gestión:</w:t>
            </w:r>
            <w:r w:rsidR="00B31AD6">
              <w:rPr>
                <w:rFonts w:ascii="Times New Roman" w:hAnsi="Times New Roman"/>
                <w:b/>
                <w:color w:val="222222"/>
                <w:lang w:eastAsia="es-CO"/>
              </w:rPr>
              <w:t xml:space="preserve"> </w:t>
            </w:r>
            <w:r w:rsidR="00B31AD6" w:rsidRPr="00B31AD6">
              <w:rPr>
                <w:rFonts w:ascii="Times New Roman" w:hAnsi="Times New Roman"/>
                <w:color w:val="222222"/>
                <w:lang w:eastAsia="es-CO"/>
              </w:rPr>
              <w:t>En cum</w:t>
            </w:r>
            <w:r w:rsidR="00B31AD6">
              <w:rPr>
                <w:rFonts w:ascii="Times New Roman" w:hAnsi="Times New Roman"/>
                <w:color w:val="222222"/>
                <w:lang w:eastAsia="es-CO"/>
              </w:rPr>
              <w:t>plimiento de éste elemento, se han adelantado las siguientes actividades:</w:t>
            </w:r>
          </w:p>
          <w:p w:rsidR="005A27FB" w:rsidRDefault="005A27FB" w:rsidP="00B31AD6">
            <w:pPr>
              <w:shd w:val="clear" w:color="auto" w:fill="FFFFFF"/>
              <w:ind w:left="360"/>
              <w:jc w:val="both"/>
              <w:rPr>
                <w:rFonts w:ascii="Times New Roman" w:hAnsi="Times New Roman"/>
                <w:b/>
                <w:color w:val="222222"/>
                <w:sz w:val="22"/>
                <w:szCs w:val="22"/>
                <w:lang w:val="es-CO" w:eastAsia="es-CO"/>
              </w:rPr>
            </w:pPr>
          </w:p>
          <w:p w:rsidR="00563D51" w:rsidRPr="00B31AD6" w:rsidRDefault="001E3AC2" w:rsidP="00B31AD6">
            <w:pPr>
              <w:shd w:val="clear" w:color="auto" w:fill="FFFFFF"/>
              <w:ind w:left="360"/>
              <w:jc w:val="both"/>
              <w:rPr>
                <w:rFonts w:ascii="Times New Roman" w:hAnsi="Times New Roman"/>
                <w:color w:val="222222"/>
                <w:sz w:val="22"/>
                <w:szCs w:val="22"/>
                <w:lang w:val="es-CO" w:eastAsia="es-CO"/>
              </w:rPr>
            </w:pPr>
            <w:r>
              <w:rPr>
                <w:rFonts w:ascii="Times New Roman" w:hAnsi="Times New Roman"/>
                <w:b/>
                <w:color w:val="222222"/>
                <w:sz w:val="22"/>
                <w:szCs w:val="22"/>
                <w:lang w:val="es-CO" w:eastAsia="es-CO"/>
              </w:rPr>
              <w:t>a</w:t>
            </w:r>
            <w:r w:rsidR="00B31AD6" w:rsidRPr="00B31AD6">
              <w:rPr>
                <w:rFonts w:ascii="Times New Roman" w:hAnsi="Times New Roman"/>
                <w:b/>
                <w:color w:val="222222"/>
                <w:sz w:val="22"/>
                <w:szCs w:val="22"/>
                <w:lang w:val="es-CO" w:eastAsia="es-CO"/>
              </w:rPr>
              <w:t>)</w:t>
            </w:r>
            <w:r w:rsidR="00B31AD6" w:rsidRPr="00B31AD6">
              <w:rPr>
                <w:rFonts w:ascii="Times New Roman" w:hAnsi="Times New Roman"/>
                <w:color w:val="222222"/>
                <w:sz w:val="22"/>
                <w:szCs w:val="22"/>
                <w:lang w:val="es-CO" w:eastAsia="es-CO"/>
              </w:rPr>
              <w:t xml:space="preserve"> </w:t>
            </w:r>
            <w:r w:rsidR="00563D51" w:rsidRPr="00B31AD6">
              <w:rPr>
                <w:rFonts w:ascii="Times New Roman" w:hAnsi="Times New Roman"/>
                <w:b/>
                <w:color w:val="222222"/>
                <w:sz w:val="22"/>
                <w:szCs w:val="22"/>
                <w:lang w:val="es-CO" w:eastAsia="es-CO"/>
              </w:rPr>
              <w:t>Inducción Período de Prueba:</w:t>
            </w:r>
            <w:r w:rsidR="00563D51" w:rsidRPr="00B31AD6">
              <w:rPr>
                <w:rFonts w:ascii="Times New Roman" w:hAnsi="Times New Roman"/>
                <w:color w:val="222222"/>
                <w:sz w:val="22"/>
                <w:szCs w:val="22"/>
                <w:lang w:val="es-CO" w:eastAsia="es-CO"/>
              </w:rPr>
              <w:t xml:space="preserve"> </w:t>
            </w:r>
            <w:r w:rsidR="00B31AD6" w:rsidRPr="00B31AD6">
              <w:rPr>
                <w:rFonts w:ascii="Times New Roman" w:hAnsi="Times New Roman"/>
                <w:color w:val="222222"/>
                <w:sz w:val="22"/>
                <w:szCs w:val="22"/>
                <w:lang w:val="es-CO" w:eastAsia="es-CO"/>
              </w:rPr>
              <w:t xml:space="preserve">Convocatoria a 113 </w:t>
            </w:r>
            <w:r w:rsidR="00563D51" w:rsidRPr="00B31AD6">
              <w:rPr>
                <w:rFonts w:ascii="Times New Roman" w:hAnsi="Times New Roman"/>
                <w:color w:val="222222"/>
                <w:sz w:val="22"/>
                <w:szCs w:val="22"/>
                <w:lang w:val="es-CO" w:eastAsia="es-CO"/>
              </w:rPr>
              <w:t xml:space="preserve">servidores </w:t>
            </w:r>
            <w:r w:rsidR="00B31AD6" w:rsidRPr="00B31AD6">
              <w:rPr>
                <w:rFonts w:ascii="Times New Roman" w:hAnsi="Times New Roman"/>
                <w:color w:val="222222"/>
                <w:sz w:val="22"/>
                <w:szCs w:val="22"/>
                <w:lang w:val="es-CO" w:eastAsia="es-CO"/>
              </w:rPr>
              <w:t xml:space="preserve">que han </w:t>
            </w:r>
            <w:r w:rsidR="00AE578C" w:rsidRPr="00B31AD6">
              <w:rPr>
                <w:rFonts w:ascii="Times New Roman" w:hAnsi="Times New Roman"/>
                <w:color w:val="222222"/>
                <w:sz w:val="22"/>
                <w:szCs w:val="22"/>
                <w:lang w:val="es-CO" w:eastAsia="es-CO"/>
              </w:rPr>
              <w:t>ingresado</w:t>
            </w:r>
            <w:r w:rsidR="00B31AD6" w:rsidRPr="00B31AD6">
              <w:rPr>
                <w:rFonts w:ascii="Times New Roman" w:hAnsi="Times New Roman"/>
                <w:color w:val="222222"/>
                <w:sz w:val="22"/>
                <w:szCs w:val="22"/>
                <w:lang w:val="es-CO" w:eastAsia="es-CO"/>
              </w:rPr>
              <w:t xml:space="preserve"> como resultado del Concurso de Méritos </w:t>
            </w:r>
            <w:r w:rsidR="00563D51" w:rsidRPr="00B31AD6">
              <w:rPr>
                <w:rFonts w:ascii="Times New Roman" w:hAnsi="Times New Roman"/>
                <w:color w:val="222222"/>
                <w:sz w:val="22"/>
                <w:szCs w:val="22"/>
                <w:lang w:val="es-CO" w:eastAsia="es-CO"/>
              </w:rPr>
              <w:t xml:space="preserve">y </w:t>
            </w:r>
            <w:r w:rsidR="00B31AD6" w:rsidRPr="00B31AD6">
              <w:rPr>
                <w:rFonts w:ascii="Times New Roman" w:hAnsi="Times New Roman"/>
                <w:color w:val="222222"/>
                <w:sz w:val="22"/>
                <w:szCs w:val="22"/>
                <w:lang w:val="es-CO" w:eastAsia="es-CO"/>
              </w:rPr>
              <w:t xml:space="preserve">sesiones </w:t>
            </w:r>
            <w:r w:rsidR="00563D51" w:rsidRPr="00B31AD6">
              <w:rPr>
                <w:rFonts w:ascii="Times New Roman" w:hAnsi="Times New Roman"/>
                <w:color w:val="222222"/>
                <w:sz w:val="22"/>
                <w:szCs w:val="22"/>
                <w:lang w:val="es-CO" w:eastAsia="es-CO"/>
              </w:rPr>
              <w:t>personalizada</w:t>
            </w:r>
            <w:r w:rsidR="00B31AD6" w:rsidRPr="00B31AD6">
              <w:rPr>
                <w:rFonts w:ascii="Times New Roman" w:hAnsi="Times New Roman"/>
                <w:color w:val="222222"/>
                <w:sz w:val="22"/>
                <w:szCs w:val="22"/>
                <w:lang w:val="es-CO" w:eastAsia="es-CO"/>
              </w:rPr>
              <w:t>s</w:t>
            </w:r>
            <w:r w:rsidR="00563D51" w:rsidRPr="00B31AD6">
              <w:rPr>
                <w:rFonts w:ascii="Times New Roman" w:hAnsi="Times New Roman"/>
                <w:color w:val="222222"/>
                <w:sz w:val="22"/>
                <w:szCs w:val="22"/>
                <w:lang w:val="es-CO" w:eastAsia="es-CO"/>
              </w:rPr>
              <w:t xml:space="preserve"> </w:t>
            </w:r>
            <w:r w:rsidR="00B31AD6" w:rsidRPr="00B31AD6">
              <w:rPr>
                <w:rFonts w:ascii="Times New Roman" w:hAnsi="Times New Roman"/>
                <w:color w:val="222222"/>
                <w:sz w:val="22"/>
                <w:szCs w:val="22"/>
                <w:lang w:val="es-CO" w:eastAsia="es-CO"/>
              </w:rPr>
              <w:t xml:space="preserve">con </w:t>
            </w:r>
            <w:r w:rsidR="00563D51" w:rsidRPr="00B31AD6">
              <w:rPr>
                <w:rFonts w:ascii="Times New Roman" w:hAnsi="Times New Roman"/>
                <w:color w:val="222222"/>
                <w:sz w:val="22"/>
                <w:szCs w:val="22"/>
                <w:lang w:val="es-CO" w:eastAsia="es-CO"/>
              </w:rPr>
              <w:t>3 servidores.</w:t>
            </w:r>
          </w:p>
          <w:p w:rsidR="00563D51" w:rsidRPr="00B31AD6" w:rsidRDefault="001E3AC2" w:rsidP="00B31AD6">
            <w:pPr>
              <w:shd w:val="clear" w:color="auto" w:fill="FFFFFF"/>
              <w:ind w:left="360"/>
              <w:jc w:val="both"/>
              <w:rPr>
                <w:rFonts w:ascii="Times New Roman" w:hAnsi="Times New Roman"/>
                <w:color w:val="222222"/>
                <w:sz w:val="22"/>
                <w:szCs w:val="22"/>
                <w:lang w:val="es-CO" w:eastAsia="es-CO"/>
              </w:rPr>
            </w:pPr>
            <w:r>
              <w:rPr>
                <w:rFonts w:ascii="Times New Roman" w:hAnsi="Times New Roman"/>
                <w:b/>
                <w:color w:val="222222"/>
                <w:sz w:val="22"/>
                <w:szCs w:val="22"/>
                <w:lang w:val="es-CO" w:eastAsia="es-CO"/>
              </w:rPr>
              <w:t>b</w:t>
            </w:r>
            <w:r w:rsidR="00B31AD6" w:rsidRPr="00B31AD6">
              <w:rPr>
                <w:rFonts w:ascii="Times New Roman" w:hAnsi="Times New Roman"/>
                <w:b/>
                <w:color w:val="222222"/>
                <w:sz w:val="22"/>
                <w:szCs w:val="22"/>
                <w:lang w:val="es-CO" w:eastAsia="es-CO"/>
              </w:rPr>
              <w:t xml:space="preserve">) </w:t>
            </w:r>
            <w:r w:rsidR="00563D51" w:rsidRPr="00B31AD6">
              <w:rPr>
                <w:rFonts w:ascii="Times New Roman" w:hAnsi="Times New Roman"/>
                <w:b/>
                <w:color w:val="222222"/>
                <w:sz w:val="22"/>
                <w:szCs w:val="22"/>
                <w:lang w:val="es-CO" w:eastAsia="es-CO"/>
              </w:rPr>
              <w:t>Evaluación del Desempeño Laboral Acuerdo 565 de 2016</w:t>
            </w:r>
            <w:r w:rsidR="00B31AD6" w:rsidRPr="00B31AD6">
              <w:rPr>
                <w:rFonts w:ascii="Times New Roman" w:hAnsi="Times New Roman"/>
                <w:b/>
                <w:color w:val="222222"/>
                <w:sz w:val="22"/>
                <w:szCs w:val="22"/>
                <w:lang w:val="es-CO" w:eastAsia="es-CO"/>
              </w:rPr>
              <w:t xml:space="preserve">: </w:t>
            </w:r>
            <w:r w:rsidR="00B31AD6" w:rsidRPr="00B31AD6">
              <w:rPr>
                <w:rFonts w:ascii="Times New Roman" w:hAnsi="Times New Roman"/>
                <w:color w:val="222222"/>
                <w:sz w:val="22"/>
                <w:szCs w:val="22"/>
                <w:lang w:val="es-CO" w:eastAsia="es-CO"/>
              </w:rPr>
              <w:t>Se realizaron</w:t>
            </w:r>
            <w:r w:rsidR="00563D51" w:rsidRPr="00B31AD6">
              <w:rPr>
                <w:rFonts w:ascii="Times New Roman" w:hAnsi="Times New Roman"/>
                <w:color w:val="222222"/>
                <w:sz w:val="22"/>
                <w:szCs w:val="22"/>
                <w:lang w:val="es-CO" w:eastAsia="es-CO"/>
              </w:rPr>
              <w:t xml:space="preserve"> 19 capacitaciones </w:t>
            </w:r>
            <w:r w:rsidR="00B31AD6" w:rsidRPr="00B31AD6">
              <w:rPr>
                <w:rFonts w:ascii="Times New Roman" w:hAnsi="Times New Roman"/>
                <w:color w:val="222222"/>
                <w:sz w:val="22"/>
                <w:szCs w:val="22"/>
                <w:lang w:val="es-CO" w:eastAsia="es-CO"/>
              </w:rPr>
              <w:t xml:space="preserve">grupales </w:t>
            </w:r>
            <w:r w:rsidR="00563D51" w:rsidRPr="00B31AD6">
              <w:rPr>
                <w:rFonts w:ascii="Times New Roman" w:hAnsi="Times New Roman"/>
                <w:color w:val="222222"/>
                <w:sz w:val="22"/>
                <w:szCs w:val="22"/>
                <w:lang w:val="es-CO" w:eastAsia="es-CO"/>
              </w:rPr>
              <w:t>y 3 personali</w:t>
            </w:r>
            <w:r w:rsidR="00B31AD6" w:rsidRPr="00B31AD6">
              <w:rPr>
                <w:rFonts w:ascii="Times New Roman" w:hAnsi="Times New Roman"/>
                <w:color w:val="222222"/>
                <w:sz w:val="22"/>
                <w:szCs w:val="22"/>
                <w:lang w:val="es-CO" w:eastAsia="es-CO"/>
              </w:rPr>
              <w:t xml:space="preserve">zadas, de igual forma se </w:t>
            </w:r>
            <w:r w:rsidR="00563D51" w:rsidRPr="00B31AD6">
              <w:rPr>
                <w:rFonts w:ascii="Times New Roman" w:hAnsi="Times New Roman"/>
                <w:color w:val="222222"/>
                <w:sz w:val="22"/>
                <w:szCs w:val="22"/>
                <w:lang w:val="es-CO" w:eastAsia="es-CO"/>
              </w:rPr>
              <w:t xml:space="preserve">gestionó </w:t>
            </w:r>
            <w:r w:rsidR="00B31AD6" w:rsidRPr="00B31AD6">
              <w:rPr>
                <w:rFonts w:ascii="Times New Roman" w:hAnsi="Times New Roman"/>
                <w:color w:val="222222"/>
                <w:sz w:val="22"/>
                <w:szCs w:val="22"/>
                <w:lang w:val="es-CO" w:eastAsia="es-CO"/>
              </w:rPr>
              <w:t xml:space="preserve">una actividad de </w:t>
            </w:r>
            <w:r w:rsidR="00563D51" w:rsidRPr="00B31AD6">
              <w:rPr>
                <w:rFonts w:ascii="Times New Roman" w:hAnsi="Times New Roman"/>
                <w:color w:val="222222"/>
                <w:sz w:val="22"/>
                <w:szCs w:val="22"/>
                <w:lang w:val="es-CO" w:eastAsia="es-CO"/>
              </w:rPr>
              <w:t>capacitación brindada por la Comisión Nacional del Servicio Civil.</w:t>
            </w:r>
          </w:p>
          <w:p w:rsidR="00563D51" w:rsidRPr="006C2538" w:rsidRDefault="001E3AC2" w:rsidP="00B31AD6">
            <w:pPr>
              <w:shd w:val="clear" w:color="auto" w:fill="FFFFFF"/>
              <w:ind w:left="360"/>
              <w:jc w:val="both"/>
              <w:rPr>
                <w:rFonts w:ascii="Times New Roman" w:hAnsi="Times New Roman"/>
                <w:color w:val="222222"/>
                <w:sz w:val="22"/>
                <w:szCs w:val="22"/>
                <w:lang w:val="es-CO" w:eastAsia="es-CO"/>
              </w:rPr>
            </w:pPr>
            <w:r>
              <w:rPr>
                <w:rFonts w:ascii="Times New Roman" w:hAnsi="Times New Roman"/>
                <w:b/>
                <w:color w:val="222222"/>
                <w:sz w:val="22"/>
                <w:szCs w:val="22"/>
                <w:lang w:val="es-CO" w:eastAsia="es-CO"/>
              </w:rPr>
              <w:t>c</w:t>
            </w:r>
            <w:r w:rsidR="00B31AD6" w:rsidRPr="00B31AD6">
              <w:rPr>
                <w:rFonts w:ascii="Times New Roman" w:hAnsi="Times New Roman"/>
                <w:b/>
                <w:color w:val="222222"/>
                <w:sz w:val="22"/>
                <w:szCs w:val="22"/>
                <w:lang w:val="es-CO" w:eastAsia="es-CO"/>
              </w:rPr>
              <w:t xml:space="preserve">) </w:t>
            </w:r>
            <w:r w:rsidR="00563D51" w:rsidRPr="00B31AD6">
              <w:rPr>
                <w:rFonts w:ascii="Times New Roman" w:hAnsi="Times New Roman"/>
                <w:b/>
                <w:color w:val="222222"/>
                <w:sz w:val="22"/>
                <w:szCs w:val="22"/>
                <w:lang w:val="es-CO" w:eastAsia="es-CO"/>
              </w:rPr>
              <w:t>Acuerdos de Gestión:</w:t>
            </w:r>
            <w:r w:rsidR="00563D51" w:rsidRPr="00B31AD6">
              <w:rPr>
                <w:rFonts w:ascii="Times New Roman" w:hAnsi="Times New Roman"/>
                <w:color w:val="222222"/>
                <w:sz w:val="22"/>
                <w:szCs w:val="22"/>
                <w:lang w:val="es-CO" w:eastAsia="es-CO"/>
              </w:rPr>
              <w:t xml:space="preserve"> </w:t>
            </w:r>
            <w:r w:rsidR="00B31AD6" w:rsidRPr="00B31AD6">
              <w:rPr>
                <w:rFonts w:ascii="Times New Roman" w:hAnsi="Times New Roman"/>
                <w:color w:val="222222"/>
                <w:sz w:val="22"/>
                <w:szCs w:val="22"/>
                <w:lang w:val="es-CO" w:eastAsia="es-CO"/>
              </w:rPr>
              <w:t xml:space="preserve">Se realizó la </w:t>
            </w:r>
            <w:r w:rsidR="00563D51" w:rsidRPr="00B31AD6">
              <w:rPr>
                <w:rFonts w:ascii="Times New Roman" w:hAnsi="Times New Roman"/>
                <w:color w:val="222222"/>
                <w:sz w:val="22"/>
                <w:szCs w:val="22"/>
                <w:lang w:val="es-CO" w:eastAsia="es-CO"/>
              </w:rPr>
              <w:t>socialización de la Nueva Herramienta generada por el Departamento Admin</w:t>
            </w:r>
            <w:r w:rsidR="00B31AD6" w:rsidRPr="00B31AD6">
              <w:rPr>
                <w:rFonts w:ascii="Times New Roman" w:hAnsi="Times New Roman"/>
                <w:color w:val="222222"/>
                <w:sz w:val="22"/>
                <w:szCs w:val="22"/>
                <w:lang w:val="es-CO" w:eastAsia="es-CO"/>
              </w:rPr>
              <w:t xml:space="preserve">istrativo de la Función Pública en una actividad con la participación de </w:t>
            </w:r>
            <w:r w:rsidR="00563D51" w:rsidRPr="00B31AD6">
              <w:rPr>
                <w:rFonts w:ascii="Times New Roman" w:hAnsi="Times New Roman"/>
                <w:color w:val="222222"/>
                <w:sz w:val="22"/>
                <w:szCs w:val="22"/>
                <w:lang w:val="es-CO" w:eastAsia="es-CO"/>
              </w:rPr>
              <w:t xml:space="preserve">62 </w:t>
            </w:r>
            <w:r w:rsidR="00B31AD6" w:rsidRPr="00B31AD6">
              <w:rPr>
                <w:rFonts w:ascii="Times New Roman" w:hAnsi="Times New Roman"/>
                <w:color w:val="222222"/>
                <w:sz w:val="22"/>
                <w:szCs w:val="22"/>
                <w:lang w:val="es-CO" w:eastAsia="es-CO"/>
              </w:rPr>
              <w:t>funcionarios, incluyendo Directivos y enlaces.</w:t>
            </w:r>
          </w:p>
          <w:p w:rsidR="00563D51" w:rsidRPr="006C2538" w:rsidRDefault="00563D51" w:rsidP="00B31AD6">
            <w:pPr>
              <w:pStyle w:val="Prrafodelista"/>
              <w:tabs>
                <w:tab w:val="left" w:pos="2910"/>
              </w:tabs>
              <w:spacing w:after="0"/>
              <w:ind w:left="420" w:right="-1"/>
              <w:jc w:val="both"/>
              <w:rPr>
                <w:rFonts w:ascii="Times New Roman" w:hAnsi="Times New Roman"/>
                <w:b/>
                <w:i/>
              </w:rPr>
            </w:pPr>
          </w:p>
          <w:p w:rsidR="00563D51" w:rsidRPr="00AE578C" w:rsidRDefault="00563D51" w:rsidP="00B31AD6">
            <w:pPr>
              <w:tabs>
                <w:tab w:val="left" w:pos="567"/>
              </w:tabs>
              <w:ind w:right="-1"/>
              <w:jc w:val="both"/>
              <w:rPr>
                <w:rFonts w:ascii="Times New Roman" w:hAnsi="Times New Roman"/>
                <w:sz w:val="22"/>
                <w:szCs w:val="22"/>
              </w:rPr>
            </w:pPr>
            <w:r w:rsidRPr="00CB2503">
              <w:rPr>
                <w:rFonts w:ascii="Times New Roman" w:hAnsi="Times New Roman"/>
                <w:b/>
                <w:sz w:val="22"/>
                <w:szCs w:val="22"/>
              </w:rPr>
              <w:t xml:space="preserve">1.2. </w:t>
            </w:r>
            <w:r w:rsidR="00AE578C" w:rsidRPr="00CB2503">
              <w:rPr>
                <w:rFonts w:ascii="Times New Roman" w:hAnsi="Times New Roman"/>
                <w:b/>
                <w:sz w:val="22"/>
                <w:szCs w:val="22"/>
              </w:rPr>
              <w:t xml:space="preserve">COMPONENTE </w:t>
            </w:r>
            <w:r w:rsidRPr="00CB2503">
              <w:rPr>
                <w:rFonts w:ascii="Times New Roman" w:hAnsi="Times New Roman"/>
                <w:b/>
                <w:sz w:val="22"/>
                <w:szCs w:val="22"/>
              </w:rPr>
              <w:t>DIRECCIONAMIENTO ESTRATÉGICO</w:t>
            </w:r>
            <w:r w:rsidRPr="00CB2503">
              <w:rPr>
                <w:rFonts w:ascii="Times New Roman" w:hAnsi="Times New Roman"/>
                <w:sz w:val="22"/>
                <w:szCs w:val="22"/>
              </w:rPr>
              <w:t>:</w:t>
            </w:r>
          </w:p>
          <w:p w:rsidR="00563D51" w:rsidRPr="006C2538" w:rsidRDefault="00563D51" w:rsidP="00B31AD6">
            <w:pPr>
              <w:shd w:val="clear" w:color="auto" w:fill="FFFFFF"/>
              <w:jc w:val="both"/>
              <w:rPr>
                <w:rFonts w:ascii="Times New Roman" w:hAnsi="Times New Roman"/>
                <w:b/>
                <w:sz w:val="22"/>
                <w:szCs w:val="22"/>
                <w:lang w:eastAsia="es-CO"/>
              </w:rPr>
            </w:pPr>
          </w:p>
          <w:p w:rsidR="001E3AC2" w:rsidRPr="001E3AC2" w:rsidRDefault="005A27FB" w:rsidP="00491EF4">
            <w:pPr>
              <w:pStyle w:val="Prrafodelista"/>
              <w:numPr>
                <w:ilvl w:val="0"/>
                <w:numId w:val="13"/>
              </w:numPr>
              <w:shd w:val="clear" w:color="auto" w:fill="FFFFFF"/>
              <w:spacing w:after="120"/>
              <w:jc w:val="both"/>
              <w:rPr>
                <w:rFonts w:ascii="Times New Roman" w:hAnsi="Times New Roman"/>
                <w:b/>
                <w:color w:val="222222"/>
                <w:lang w:eastAsia="es-CO"/>
              </w:rPr>
            </w:pPr>
            <w:r w:rsidRPr="001E3AC2">
              <w:rPr>
                <w:rFonts w:ascii="Times New Roman" w:hAnsi="Times New Roman"/>
                <w:b/>
                <w:color w:val="222222"/>
                <w:lang w:eastAsia="es-CO"/>
              </w:rPr>
              <w:t xml:space="preserve">Elemento </w:t>
            </w:r>
            <w:r w:rsidR="00563D51" w:rsidRPr="001E3AC2">
              <w:rPr>
                <w:rFonts w:ascii="Times New Roman" w:hAnsi="Times New Roman"/>
                <w:b/>
                <w:color w:val="222222"/>
                <w:lang w:eastAsia="es-CO"/>
              </w:rPr>
              <w:t>Planes, programas y proyectos</w:t>
            </w:r>
            <w:r w:rsidR="001E3AC2" w:rsidRPr="001E3AC2">
              <w:rPr>
                <w:rFonts w:ascii="Times New Roman" w:hAnsi="Times New Roman"/>
                <w:b/>
                <w:color w:val="222222"/>
                <w:lang w:eastAsia="es-CO"/>
              </w:rPr>
              <w:t xml:space="preserve">: </w:t>
            </w:r>
          </w:p>
          <w:p w:rsidR="00563D51" w:rsidRDefault="001E3AC2" w:rsidP="001E3AC2">
            <w:pPr>
              <w:shd w:val="clear" w:color="auto" w:fill="FFFFFF"/>
              <w:ind w:left="360"/>
              <w:jc w:val="both"/>
              <w:rPr>
                <w:rFonts w:ascii="Times New Roman" w:hAnsi="Times New Roman"/>
                <w:color w:val="222222"/>
                <w:sz w:val="22"/>
                <w:szCs w:val="22"/>
                <w:lang w:eastAsia="es-CO"/>
              </w:rPr>
            </w:pPr>
            <w:r w:rsidRPr="001E3AC2">
              <w:rPr>
                <w:rFonts w:ascii="Times New Roman" w:hAnsi="Times New Roman"/>
                <w:color w:val="222222"/>
                <w:sz w:val="22"/>
                <w:szCs w:val="22"/>
                <w:lang w:eastAsia="es-CO"/>
              </w:rPr>
              <w:t>Para</w:t>
            </w:r>
            <w:r w:rsidR="00563D51" w:rsidRPr="001E3AC2">
              <w:rPr>
                <w:rFonts w:ascii="Times New Roman" w:hAnsi="Times New Roman"/>
                <w:color w:val="222222"/>
                <w:sz w:val="22"/>
                <w:szCs w:val="22"/>
                <w:lang w:eastAsia="es-CO"/>
              </w:rPr>
              <w:t xml:space="preserve"> revisar el avance de las actividades de</w:t>
            </w:r>
            <w:r w:rsidR="005A27FB" w:rsidRPr="001E3AC2">
              <w:rPr>
                <w:rFonts w:ascii="Times New Roman" w:hAnsi="Times New Roman"/>
                <w:color w:val="222222"/>
                <w:sz w:val="22"/>
                <w:szCs w:val="22"/>
                <w:lang w:eastAsia="es-CO"/>
              </w:rPr>
              <w:t xml:space="preserve"> </w:t>
            </w:r>
            <w:r w:rsidR="00563D51" w:rsidRPr="001E3AC2">
              <w:rPr>
                <w:rFonts w:ascii="Times New Roman" w:hAnsi="Times New Roman"/>
                <w:color w:val="222222"/>
                <w:sz w:val="22"/>
                <w:szCs w:val="22"/>
                <w:lang w:eastAsia="es-CO"/>
              </w:rPr>
              <w:t>l</w:t>
            </w:r>
            <w:r w:rsidR="005A27FB" w:rsidRPr="001E3AC2">
              <w:rPr>
                <w:rFonts w:ascii="Times New Roman" w:hAnsi="Times New Roman"/>
                <w:color w:val="222222"/>
                <w:sz w:val="22"/>
                <w:szCs w:val="22"/>
                <w:lang w:eastAsia="es-CO"/>
              </w:rPr>
              <w:t>os</w:t>
            </w:r>
            <w:r w:rsidR="00563D51" w:rsidRPr="001E3AC2">
              <w:rPr>
                <w:rFonts w:ascii="Times New Roman" w:hAnsi="Times New Roman"/>
                <w:color w:val="222222"/>
                <w:sz w:val="22"/>
                <w:szCs w:val="22"/>
                <w:lang w:eastAsia="es-CO"/>
              </w:rPr>
              <w:t xml:space="preserve"> POA por proceso, los líderes de </w:t>
            </w:r>
            <w:r w:rsidR="005A27FB" w:rsidRPr="001E3AC2">
              <w:rPr>
                <w:rFonts w:ascii="Times New Roman" w:hAnsi="Times New Roman"/>
                <w:color w:val="222222"/>
                <w:sz w:val="22"/>
                <w:szCs w:val="22"/>
                <w:lang w:eastAsia="es-CO"/>
              </w:rPr>
              <w:t>cada uno de ellos radicaron su</w:t>
            </w:r>
            <w:r w:rsidR="00563D51" w:rsidRPr="001E3AC2">
              <w:rPr>
                <w:rFonts w:ascii="Times New Roman" w:hAnsi="Times New Roman"/>
                <w:color w:val="222222"/>
                <w:sz w:val="22"/>
                <w:szCs w:val="22"/>
                <w:lang w:eastAsia="es-CO"/>
              </w:rPr>
              <w:t xml:space="preserve"> </w:t>
            </w:r>
            <w:r w:rsidR="005A27FB" w:rsidRPr="001E3AC2">
              <w:rPr>
                <w:rFonts w:ascii="Times New Roman" w:hAnsi="Times New Roman"/>
                <w:color w:val="222222"/>
                <w:sz w:val="22"/>
                <w:szCs w:val="22"/>
                <w:lang w:eastAsia="es-CO"/>
              </w:rPr>
              <w:t xml:space="preserve">seguimiento en el mes de abril, en </w:t>
            </w:r>
            <w:r w:rsidR="00563D51" w:rsidRPr="001E3AC2">
              <w:rPr>
                <w:rFonts w:ascii="Times New Roman" w:hAnsi="Times New Roman"/>
                <w:color w:val="222222"/>
                <w:sz w:val="22"/>
                <w:szCs w:val="22"/>
                <w:lang w:eastAsia="es-CO"/>
              </w:rPr>
              <w:t xml:space="preserve">la Dirección de Planeación. De </w:t>
            </w:r>
            <w:r w:rsidR="005A27FB" w:rsidRPr="001E3AC2">
              <w:rPr>
                <w:rFonts w:ascii="Times New Roman" w:hAnsi="Times New Roman"/>
                <w:color w:val="222222"/>
                <w:sz w:val="22"/>
                <w:szCs w:val="22"/>
                <w:lang w:eastAsia="es-CO"/>
              </w:rPr>
              <w:t xml:space="preserve">acuerdo con loa anterior, </w:t>
            </w:r>
            <w:r w:rsidR="00563D51" w:rsidRPr="001E3AC2">
              <w:rPr>
                <w:rFonts w:ascii="Times New Roman" w:hAnsi="Times New Roman"/>
                <w:color w:val="222222"/>
                <w:sz w:val="22"/>
                <w:szCs w:val="22"/>
                <w:lang w:eastAsia="es-CO"/>
              </w:rPr>
              <w:t xml:space="preserve">la Dirección de Planeación realizó las </w:t>
            </w:r>
            <w:r w:rsidR="00CB2503" w:rsidRPr="001E3AC2">
              <w:rPr>
                <w:rFonts w:ascii="Times New Roman" w:hAnsi="Times New Roman"/>
                <w:color w:val="222222"/>
                <w:sz w:val="22"/>
                <w:szCs w:val="22"/>
                <w:lang w:eastAsia="es-CO"/>
              </w:rPr>
              <w:t xml:space="preserve">respectivas retroalimentaciones, con el objeto de </w:t>
            </w:r>
            <w:r w:rsidR="00563D51" w:rsidRPr="001E3AC2">
              <w:rPr>
                <w:rFonts w:ascii="Times New Roman" w:hAnsi="Times New Roman"/>
                <w:color w:val="222222"/>
                <w:sz w:val="22"/>
                <w:szCs w:val="22"/>
                <w:lang w:eastAsia="es-CO"/>
              </w:rPr>
              <w:t xml:space="preserve">fortalecer </w:t>
            </w:r>
            <w:r w:rsidR="00CB2503" w:rsidRPr="001E3AC2">
              <w:rPr>
                <w:rFonts w:ascii="Times New Roman" w:hAnsi="Times New Roman"/>
                <w:color w:val="222222"/>
                <w:sz w:val="22"/>
                <w:szCs w:val="22"/>
                <w:lang w:eastAsia="es-CO"/>
              </w:rPr>
              <w:t xml:space="preserve">dichos </w:t>
            </w:r>
            <w:r w:rsidR="00563D51" w:rsidRPr="001E3AC2">
              <w:rPr>
                <w:rFonts w:ascii="Times New Roman" w:hAnsi="Times New Roman"/>
                <w:color w:val="222222"/>
                <w:sz w:val="22"/>
                <w:szCs w:val="22"/>
                <w:lang w:eastAsia="es-CO"/>
              </w:rPr>
              <w:t>reporte</w:t>
            </w:r>
            <w:r w:rsidR="00CB2503" w:rsidRPr="001E3AC2">
              <w:rPr>
                <w:rFonts w:ascii="Times New Roman" w:hAnsi="Times New Roman"/>
                <w:color w:val="222222"/>
                <w:sz w:val="22"/>
                <w:szCs w:val="22"/>
                <w:lang w:eastAsia="es-CO"/>
              </w:rPr>
              <w:t xml:space="preserve">s, así como el </w:t>
            </w:r>
            <w:r w:rsidR="00563D51" w:rsidRPr="001E3AC2">
              <w:rPr>
                <w:rFonts w:ascii="Times New Roman" w:hAnsi="Times New Roman"/>
                <w:color w:val="222222"/>
                <w:sz w:val="22"/>
                <w:szCs w:val="22"/>
                <w:lang w:eastAsia="es-CO"/>
              </w:rPr>
              <w:t xml:space="preserve">seguimiento por parte de los líderes de proceso. </w:t>
            </w:r>
          </w:p>
          <w:p w:rsidR="001E3AC2" w:rsidRPr="001E3AC2" w:rsidRDefault="001E3AC2" w:rsidP="001E3AC2">
            <w:pPr>
              <w:shd w:val="clear" w:color="auto" w:fill="FFFFFF"/>
              <w:ind w:left="360"/>
              <w:jc w:val="both"/>
              <w:rPr>
                <w:rFonts w:ascii="Times New Roman" w:hAnsi="Times New Roman"/>
                <w:color w:val="222222"/>
                <w:sz w:val="22"/>
                <w:szCs w:val="22"/>
                <w:lang w:eastAsia="es-CO"/>
              </w:rPr>
            </w:pPr>
          </w:p>
          <w:p w:rsidR="00563D51" w:rsidRPr="006C2538" w:rsidRDefault="00CB2503" w:rsidP="001E3AC2">
            <w:pPr>
              <w:shd w:val="clear" w:color="auto" w:fill="FFFFFF"/>
              <w:ind w:left="360"/>
              <w:jc w:val="both"/>
              <w:rPr>
                <w:rFonts w:ascii="Times New Roman" w:hAnsi="Times New Roman"/>
                <w:color w:val="222222"/>
                <w:sz w:val="22"/>
                <w:szCs w:val="22"/>
                <w:lang w:eastAsia="es-CO"/>
              </w:rPr>
            </w:pPr>
            <w:r>
              <w:rPr>
                <w:rFonts w:ascii="Times New Roman" w:hAnsi="Times New Roman"/>
                <w:color w:val="222222"/>
                <w:sz w:val="22"/>
                <w:szCs w:val="22"/>
                <w:lang w:eastAsia="es-CO"/>
              </w:rPr>
              <w:t>En cuanto a los P</w:t>
            </w:r>
            <w:r w:rsidR="00563D51" w:rsidRPr="006C2538">
              <w:rPr>
                <w:rFonts w:ascii="Times New Roman" w:hAnsi="Times New Roman"/>
                <w:color w:val="222222"/>
                <w:sz w:val="22"/>
                <w:szCs w:val="22"/>
                <w:lang w:eastAsia="es-CO"/>
              </w:rPr>
              <w:t xml:space="preserve">royectos </w:t>
            </w:r>
            <w:r>
              <w:rPr>
                <w:rFonts w:ascii="Times New Roman" w:hAnsi="Times New Roman"/>
                <w:color w:val="222222"/>
                <w:sz w:val="22"/>
                <w:szCs w:val="22"/>
                <w:lang w:eastAsia="es-CO"/>
              </w:rPr>
              <w:t xml:space="preserve">de Inversión </w:t>
            </w:r>
            <w:r w:rsidR="00563D51" w:rsidRPr="006C2538">
              <w:rPr>
                <w:rFonts w:ascii="Times New Roman" w:hAnsi="Times New Roman"/>
                <w:color w:val="222222"/>
                <w:sz w:val="22"/>
                <w:szCs w:val="22"/>
                <w:lang w:eastAsia="es-CO"/>
              </w:rPr>
              <w:t>para la vigencia 2017, los gerentes realizaron el seguimiento al cumplimiento de los mismos en el mes de abril y a su vez la Dirección de Planeaci</w:t>
            </w:r>
            <w:r w:rsidR="006E726D">
              <w:rPr>
                <w:rFonts w:ascii="Times New Roman" w:hAnsi="Times New Roman"/>
                <w:color w:val="222222"/>
                <w:sz w:val="22"/>
                <w:szCs w:val="22"/>
                <w:lang w:eastAsia="es-CO"/>
              </w:rPr>
              <w:t>ón realizó la retroalimentación</w:t>
            </w:r>
            <w:r>
              <w:rPr>
                <w:rFonts w:ascii="Times New Roman" w:hAnsi="Times New Roman"/>
                <w:color w:val="222222"/>
                <w:sz w:val="22"/>
                <w:szCs w:val="22"/>
                <w:lang w:eastAsia="es-CO"/>
              </w:rPr>
              <w:t xml:space="preserve"> durante el mes de mayo de 2017. Con base en lo anterior </w:t>
            </w:r>
            <w:r w:rsidR="00563D51" w:rsidRPr="006C2538">
              <w:rPr>
                <w:rFonts w:ascii="Times New Roman" w:hAnsi="Times New Roman"/>
                <w:color w:val="222222"/>
                <w:sz w:val="22"/>
                <w:szCs w:val="22"/>
                <w:lang w:eastAsia="es-CO"/>
              </w:rPr>
              <w:t>se presentó un informe sobre la ejecución de los recursos de inversión, el cual tiene como objetivo dar a conocer</w:t>
            </w:r>
            <w:r>
              <w:rPr>
                <w:rFonts w:ascii="Times New Roman" w:hAnsi="Times New Roman"/>
                <w:color w:val="222222"/>
                <w:sz w:val="22"/>
                <w:szCs w:val="22"/>
                <w:lang w:eastAsia="es-CO"/>
              </w:rPr>
              <w:t xml:space="preserve"> de manera concisa</w:t>
            </w:r>
            <w:r w:rsidR="00563D51" w:rsidRPr="006C2538">
              <w:rPr>
                <w:rFonts w:ascii="Times New Roman" w:hAnsi="Times New Roman"/>
                <w:color w:val="222222"/>
                <w:sz w:val="22"/>
                <w:szCs w:val="22"/>
                <w:lang w:eastAsia="es-CO"/>
              </w:rPr>
              <w:t xml:space="preserve"> los resultados de la gestión alcanzados, frente a los compromisos adquiridos por la entidad en el </w:t>
            </w:r>
            <w:r>
              <w:rPr>
                <w:rFonts w:ascii="Times New Roman" w:hAnsi="Times New Roman"/>
                <w:color w:val="222222"/>
                <w:sz w:val="22"/>
                <w:szCs w:val="22"/>
                <w:lang w:eastAsia="es-CO"/>
              </w:rPr>
              <w:t>PDD “Bogotá Mejor para Todos”.</w:t>
            </w:r>
            <w:r w:rsidR="00563D51" w:rsidRPr="006C2538">
              <w:rPr>
                <w:rFonts w:ascii="Times New Roman" w:hAnsi="Times New Roman"/>
                <w:color w:val="222222"/>
                <w:sz w:val="22"/>
                <w:szCs w:val="22"/>
                <w:lang w:eastAsia="es-CO"/>
              </w:rPr>
              <w:t xml:space="preserve"> </w:t>
            </w:r>
            <w:r>
              <w:rPr>
                <w:rFonts w:ascii="Times New Roman" w:hAnsi="Times New Roman"/>
                <w:color w:val="222222"/>
                <w:sz w:val="22"/>
                <w:szCs w:val="22"/>
                <w:lang w:eastAsia="es-CO"/>
              </w:rPr>
              <w:t>D</w:t>
            </w:r>
            <w:r w:rsidR="00563D51" w:rsidRPr="006C2538">
              <w:rPr>
                <w:rFonts w:ascii="Times New Roman" w:hAnsi="Times New Roman"/>
                <w:color w:val="222222"/>
                <w:sz w:val="22"/>
                <w:szCs w:val="22"/>
                <w:lang w:eastAsia="es-CO"/>
              </w:rPr>
              <w:t xml:space="preserve">icha retroalimentación se entregó a través de un informe por </w:t>
            </w:r>
            <w:r>
              <w:rPr>
                <w:rFonts w:ascii="Times New Roman" w:hAnsi="Times New Roman"/>
                <w:color w:val="222222"/>
                <w:sz w:val="22"/>
                <w:szCs w:val="22"/>
                <w:lang w:eastAsia="es-CO"/>
              </w:rPr>
              <w:t xml:space="preserve">cada </w:t>
            </w:r>
            <w:r w:rsidR="00563D51" w:rsidRPr="006C2538">
              <w:rPr>
                <w:rFonts w:ascii="Times New Roman" w:hAnsi="Times New Roman"/>
                <w:color w:val="222222"/>
                <w:sz w:val="22"/>
                <w:szCs w:val="22"/>
                <w:lang w:eastAsia="es-CO"/>
              </w:rPr>
              <w:t>Subsecretaría.</w:t>
            </w:r>
          </w:p>
          <w:p w:rsidR="00563D51" w:rsidRPr="006C2538" w:rsidRDefault="00563D51" w:rsidP="001E3AC2">
            <w:pPr>
              <w:shd w:val="clear" w:color="auto" w:fill="FFFFFF"/>
              <w:jc w:val="both"/>
              <w:rPr>
                <w:rFonts w:ascii="Times New Roman" w:hAnsi="Times New Roman"/>
                <w:color w:val="222222"/>
                <w:sz w:val="22"/>
                <w:szCs w:val="22"/>
                <w:lang w:eastAsia="es-CO"/>
              </w:rPr>
            </w:pPr>
          </w:p>
          <w:p w:rsidR="00563D51" w:rsidRPr="006C2538" w:rsidRDefault="00563D51" w:rsidP="001E3AC2">
            <w:pPr>
              <w:shd w:val="clear" w:color="auto" w:fill="FFFFFF"/>
              <w:ind w:left="360"/>
              <w:jc w:val="both"/>
              <w:rPr>
                <w:rFonts w:ascii="Times New Roman" w:hAnsi="Times New Roman"/>
                <w:color w:val="222222"/>
                <w:sz w:val="22"/>
                <w:szCs w:val="22"/>
                <w:lang w:eastAsia="es-CO"/>
              </w:rPr>
            </w:pPr>
            <w:r w:rsidRPr="006C2538">
              <w:rPr>
                <w:rFonts w:ascii="Times New Roman" w:hAnsi="Times New Roman"/>
                <w:color w:val="222222"/>
                <w:sz w:val="22"/>
                <w:szCs w:val="22"/>
                <w:lang w:eastAsia="es-CO"/>
              </w:rPr>
              <w:t>Para e</w:t>
            </w:r>
            <w:r w:rsidR="00CB2503">
              <w:rPr>
                <w:rFonts w:ascii="Times New Roman" w:hAnsi="Times New Roman"/>
                <w:color w:val="222222"/>
                <w:sz w:val="22"/>
                <w:szCs w:val="22"/>
                <w:lang w:eastAsia="es-CO"/>
              </w:rPr>
              <w:t>l segundo seguimiento a los POA</w:t>
            </w:r>
            <w:r w:rsidRPr="006C2538">
              <w:rPr>
                <w:rFonts w:ascii="Times New Roman" w:hAnsi="Times New Roman"/>
                <w:color w:val="222222"/>
                <w:sz w:val="22"/>
                <w:szCs w:val="22"/>
                <w:lang w:eastAsia="es-CO"/>
              </w:rPr>
              <w:t xml:space="preserve"> por proceso y Proyectos de </w:t>
            </w:r>
            <w:r w:rsidR="00CB2503">
              <w:rPr>
                <w:rFonts w:ascii="Times New Roman" w:hAnsi="Times New Roman"/>
                <w:color w:val="222222"/>
                <w:sz w:val="22"/>
                <w:szCs w:val="22"/>
                <w:lang w:eastAsia="es-CO"/>
              </w:rPr>
              <w:t xml:space="preserve">Inversión, la Dirección de Planeación, </w:t>
            </w:r>
            <w:r w:rsidRPr="006C2538">
              <w:rPr>
                <w:rFonts w:ascii="Times New Roman" w:hAnsi="Times New Roman"/>
                <w:color w:val="222222"/>
                <w:sz w:val="22"/>
                <w:szCs w:val="22"/>
                <w:lang w:eastAsia="es-CO"/>
              </w:rPr>
              <w:t xml:space="preserve">como líder del proceso </w:t>
            </w:r>
            <w:r w:rsidR="00CB2503">
              <w:rPr>
                <w:rFonts w:ascii="Times New Roman" w:hAnsi="Times New Roman"/>
                <w:color w:val="222222"/>
                <w:sz w:val="22"/>
                <w:szCs w:val="22"/>
                <w:lang w:eastAsia="es-CO"/>
              </w:rPr>
              <w:t xml:space="preserve">de Direccionamiento Estratégico, </w:t>
            </w:r>
            <w:r w:rsidRPr="006C2538">
              <w:rPr>
                <w:rFonts w:ascii="Times New Roman" w:hAnsi="Times New Roman"/>
                <w:color w:val="222222"/>
                <w:sz w:val="22"/>
                <w:szCs w:val="22"/>
                <w:lang w:eastAsia="es-CO"/>
              </w:rPr>
              <w:t xml:space="preserve">realizó en el mes de junio la solicitud </w:t>
            </w:r>
            <w:r w:rsidR="00CB2503" w:rsidRPr="006C2538">
              <w:rPr>
                <w:rFonts w:ascii="Times New Roman" w:hAnsi="Times New Roman"/>
                <w:color w:val="222222"/>
                <w:sz w:val="22"/>
                <w:szCs w:val="22"/>
                <w:lang w:eastAsia="es-CO"/>
              </w:rPr>
              <w:t>a los respectivos líderes de</w:t>
            </w:r>
            <w:r w:rsidR="00CB2503">
              <w:rPr>
                <w:rFonts w:ascii="Times New Roman" w:hAnsi="Times New Roman"/>
                <w:color w:val="222222"/>
                <w:sz w:val="22"/>
                <w:szCs w:val="22"/>
                <w:lang w:eastAsia="es-CO"/>
              </w:rPr>
              <w:t xml:space="preserve"> proceso y gerentes de proyecto, </w:t>
            </w:r>
            <w:r w:rsidRPr="006C2538">
              <w:rPr>
                <w:rFonts w:ascii="Times New Roman" w:hAnsi="Times New Roman"/>
                <w:color w:val="222222"/>
                <w:sz w:val="22"/>
                <w:szCs w:val="22"/>
                <w:lang w:eastAsia="es-CO"/>
              </w:rPr>
              <w:t>de</w:t>
            </w:r>
            <w:r w:rsidR="00CB2503">
              <w:rPr>
                <w:rFonts w:ascii="Times New Roman" w:hAnsi="Times New Roman"/>
                <w:color w:val="222222"/>
                <w:sz w:val="22"/>
                <w:szCs w:val="22"/>
                <w:lang w:eastAsia="es-CO"/>
              </w:rPr>
              <w:t>l</w:t>
            </w:r>
            <w:r w:rsidRPr="006C2538">
              <w:rPr>
                <w:rFonts w:ascii="Times New Roman" w:hAnsi="Times New Roman"/>
                <w:color w:val="222222"/>
                <w:sz w:val="22"/>
                <w:szCs w:val="22"/>
                <w:lang w:eastAsia="es-CO"/>
              </w:rPr>
              <w:t xml:space="preserve"> reporte de </w:t>
            </w:r>
            <w:r w:rsidR="00CB2503">
              <w:rPr>
                <w:rFonts w:ascii="Times New Roman" w:hAnsi="Times New Roman"/>
                <w:color w:val="222222"/>
                <w:sz w:val="22"/>
                <w:szCs w:val="22"/>
                <w:lang w:eastAsia="es-CO"/>
              </w:rPr>
              <w:t>avance con corte a 30 de junio de 2017.</w:t>
            </w:r>
          </w:p>
          <w:p w:rsidR="00563D51" w:rsidRPr="006C2538" w:rsidRDefault="00563D51" w:rsidP="00563D51">
            <w:pPr>
              <w:jc w:val="both"/>
              <w:rPr>
                <w:rFonts w:ascii="Times New Roman" w:hAnsi="Times New Roman"/>
                <w:sz w:val="22"/>
                <w:szCs w:val="22"/>
              </w:rPr>
            </w:pPr>
          </w:p>
          <w:p w:rsidR="00013AC2" w:rsidRPr="001E3AC2" w:rsidRDefault="005A27FB" w:rsidP="00491EF4">
            <w:pPr>
              <w:pStyle w:val="Prrafodelista"/>
              <w:numPr>
                <w:ilvl w:val="0"/>
                <w:numId w:val="13"/>
              </w:numPr>
              <w:shd w:val="clear" w:color="auto" w:fill="FFFFFF"/>
              <w:spacing w:after="0"/>
              <w:jc w:val="both"/>
              <w:rPr>
                <w:rFonts w:ascii="Times New Roman" w:hAnsi="Times New Roman"/>
                <w:b/>
                <w:color w:val="222222"/>
                <w:lang w:eastAsia="es-CO"/>
              </w:rPr>
            </w:pPr>
            <w:r w:rsidRPr="001E3AC2">
              <w:rPr>
                <w:rFonts w:ascii="Times New Roman" w:hAnsi="Times New Roman"/>
                <w:b/>
                <w:color w:val="222222"/>
                <w:lang w:eastAsia="es-CO"/>
              </w:rPr>
              <w:t xml:space="preserve">Elemento </w:t>
            </w:r>
            <w:r w:rsidR="00563D51" w:rsidRPr="001E3AC2">
              <w:rPr>
                <w:rFonts w:ascii="Times New Roman" w:hAnsi="Times New Roman"/>
                <w:b/>
                <w:color w:val="222222"/>
                <w:lang w:eastAsia="es-CO"/>
              </w:rPr>
              <w:t>Actividades del Sistema Integrado de Gestión</w:t>
            </w:r>
            <w:r w:rsidR="00013AC2" w:rsidRPr="001E3AC2">
              <w:rPr>
                <w:rFonts w:ascii="Times New Roman" w:hAnsi="Times New Roman"/>
                <w:b/>
                <w:color w:val="222222"/>
                <w:lang w:eastAsia="es-CO"/>
              </w:rPr>
              <w:t xml:space="preserve">: </w:t>
            </w:r>
            <w:r w:rsidR="00563D51" w:rsidRPr="001E3AC2">
              <w:rPr>
                <w:rFonts w:ascii="Times New Roman" w:hAnsi="Times New Roman"/>
                <w:b/>
                <w:color w:val="222222"/>
                <w:lang w:eastAsia="es-CO"/>
              </w:rPr>
              <w:t xml:space="preserve"> </w:t>
            </w:r>
          </w:p>
          <w:p w:rsidR="00013AC2" w:rsidRDefault="00013AC2" w:rsidP="005A27FB">
            <w:pPr>
              <w:shd w:val="clear" w:color="auto" w:fill="FFFFFF"/>
              <w:ind w:left="360"/>
              <w:jc w:val="both"/>
              <w:rPr>
                <w:rFonts w:ascii="Times New Roman" w:hAnsi="Times New Roman"/>
                <w:b/>
                <w:color w:val="222222"/>
                <w:sz w:val="22"/>
                <w:szCs w:val="22"/>
                <w:lang w:eastAsia="es-CO"/>
              </w:rPr>
            </w:pPr>
          </w:p>
          <w:p w:rsidR="00563D51" w:rsidRPr="006C2538" w:rsidRDefault="00563D51" w:rsidP="005A27FB">
            <w:pPr>
              <w:shd w:val="clear" w:color="auto" w:fill="FFFFFF"/>
              <w:ind w:left="360"/>
              <w:jc w:val="both"/>
              <w:rPr>
                <w:rFonts w:ascii="Times New Roman" w:hAnsi="Times New Roman"/>
                <w:color w:val="222222"/>
                <w:sz w:val="22"/>
                <w:szCs w:val="22"/>
                <w:lang w:eastAsia="es-CO"/>
              </w:rPr>
            </w:pPr>
            <w:r w:rsidRPr="006C2538">
              <w:rPr>
                <w:rFonts w:ascii="Times New Roman" w:hAnsi="Times New Roman"/>
                <w:color w:val="222222"/>
                <w:sz w:val="22"/>
                <w:szCs w:val="22"/>
                <w:lang w:eastAsia="es-CO"/>
              </w:rPr>
              <w:t>En sesión del Comité Coordinador del SIG efectuado el 28 de marzo de 2017, se aprobó  la actualización de la Políti</w:t>
            </w:r>
            <w:r w:rsidR="00E3419E">
              <w:rPr>
                <w:rFonts w:ascii="Times New Roman" w:hAnsi="Times New Roman"/>
                <w:color w:val="222222"/>
                <w:sz w:val="22"/>
                <w:szCs w:val="22"/>
                <w:lang w:eastAsia="es-CO"/>
              </w:rPr>
              <w:t>ca SIG y los Objetivos SIG. El A</w:t>
            </w:r>
            <w:r w:rsidRPr="006C2538">
              <w:rPr>
                <w:rFonts w:ascii="Times New Roman" w:hAnsi="Times New Roman"/>
                <w:color w:val="222222"/>
                <w:sz w:val="22"/>
                <w:szCs w:val="22"/>
                <w:lang w:eastAsia="es-CO"/>
              </w:rPr>
              <w:t xml:space="preserve">cta </w:t>
            </w:r>
            <w:r w:rsidR="00E3419E">
              <w:rPr>
                <w:rFonts w:ascii="Times New Roman" w:hAnsi="Times New Roman"/>
                <w:color w:val="222222"/>
                <w:sz w:val="22"/>
                <w:szCs w:val="22"/>
                <w:lang w:eastAsia="es-CO"/>
              </w:rPr>
              <w:t xml:space="preserve">No. 5, producto de esta sesión, </w:t>
            </w:r>
            <w:r w:rsidRPr="006C2538">
              <w:rPr>
                <w:rFonts w:ascii="Times New Roman" w:hAnsi="Times New Roman"/>
                <w:color w:val="222222"/>
                <w:sz w:val="22"/>
                <w:szCs w:val="22"/>
                <w:lang w:eastAsia="es-CO"/>
              </w:rPr>
              <w:t>se socializo a las dependencias de la entidad y además previo a la auditoria del ICONTEC se realizó la comunicación de la Política y los Objetivos SIG a los servidores de la Entidad por medio de correo electrónico.</w:t>
            </w:r>
          </w:p>
          <w:p w:rsidR="00563D51" w:rsidRPr="006C2538" w:rsidRDefault="00563D51" w:rsidP="005A27FB">
            <w:pPr>
              <w:shd w:val="clear" w:color="auto" w:fill="FFFFFF"/>
              <w:ind w:left="360"/>
              <w:jc w:val="both"/>
              <w:rPr>
                <w:rFonts w:ascii="Times New Roman" w:hAnsi="Times New Roman"/>
                <w:color w:val="222222"/>
                <w:sz w:val="22"/>
                <w:szCs w:val="22"/>
                <w:lang w:eastAsia="es-CO"/>
              </w:rPr>
            </w:pPr>
          </w:p>
          <w:p w:rsidR="00563D51" w:rsidRPr="006C2538" w:rsidRDefault="00563D51" w:rsidP="005A27FB">
            <w:pPr>
              <w:shd w:val="clear" w:color="auto" w:fill="FFFFFF"/>
              <w:ind w:left="360"/>
              <w:jc w:val="both"/>
              <w:rPr>
                <w:rFonts w:ascii="Times New Roman" w:hAnsi="Times New Roman"/>
                <w:color w:val="222222"/>
                <w:sz w:val="22"/>
                <w:szCs w:val="22"/>
                <w:lang w:eastAsia="es-CO"/>
              </w:rPr>
            </w:pPr>
            <w:r w:rsidRPr="006C2538">
              <w:rPr>
                <w:rFonts w:ascii="Times New Roman" w:hAnsi="Times New Roman"/>
                <w:color w:val="222222"/>
                <w:sz w:val="22"/>
                <w:szCs w:val="22"/>
                <w:lang w:eastAsia="es-CO"/>
              </w:rPr>
              <w:t xml:space="preserve">En el  mes de abril la entidad desarrollo la auditoría interna al SGC – MECI, actividad coordinada por la Oficina de Control Interno, la cual permitió evidenciar las situaciones de mejora para los diferentes procesos de la Entidad, los resultados de la auditoria fueron socializados mediante acta 7 del Comité Coordinador del SIG. </w:t>
            </w:r>
          </w:p>
          <w:p w:rsidR="00E55B38" w:rsidRPr="00CB2503" w:rsidRDefault="00E55B38" w:rsidP="00CB2503">
            <w:pPr>
              <w:shd w:val="clear" w:color="auto" w:fill="FFFFFF"/>
              <w:jc w:val="both"/>
              <w:rPr>
                <w:rFonts w:ascii="Times New Roman" w:hAnsi="Times New Roman"/>
                <w:color w:val="222222"/>
                <w:sz w:val="22"/>
                <w:szCs w:val="22"/>
                <w:lang w:eastAsia="es-CO"/>
              </w:rPr>
            </w:pPr>
          </w:p>
        </w:tc>
      </w:tr>
    </w:tbl>
    <w:p w:rsidR="00CB2503" w:rsidRDefault="00CB2503"/>
    <w:p w:rsidR="00CB2503" w:rsidRDefault="00CB2503"/>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B2503" w:rsidRPr="006C2538" w:rsidTr="00655722">
        <w:tc>
          <w:tcPr>
            <w:tcW w:w="9356" w:type="dxa"/>
          </w:tcPr>
          <w:p w:rsidR="00CB2503" w:rsidRDefault="00CB2503" w:rsidP="00CB2503">
            <w:pPr>
              <w:shd w:val="clear" w:color="auto" w:fill="FFFFFF"/>
              <w:ind w:left="360"/>
              <w:jc w:val="both"/>
              <w:rPr>
                <w:rFonts w:ascii="Times New Roman" w:hAnsi="Times New Roman"/>
                <w:color w:val="222222"/>
                <w:sz w:val="22"/>
                <w:szCs w:val="22"/>
                <w:lang w:eastAsia="es-CO"/>
              </w:rPr>
            </w:pPr>
          </w:p>
          <w:p w:rsidR="00CB2503" w:rsidRPr="006C2538" w:rsidRDefault="00CB2503" w:rsidP="00CB2503">
            <w:pPr>
              <w:shd w:val="clear" w:color="auto" w:fill="FFFFFF"/>
              <w:ind w:left="360"/>
              <w:jc w:val="both"/>
              <w:rPr>
                <w:rFonts w:ascii="Times New Roman" w:hAnsi="Times New Roman"/>
                <w:color w:val="222222"/>
                <w:sz w:val="22"/>
                <w:szCs w:val="22"/>
                <w:lang w:eastAsia="es-CO"/>
              </w:rPr>
            </w:pPr>
            <w:r w:rsidRPr="006C2538">
              <w:rPr>
                <w:rFonts w:ascii="Times New Roman" w:hAnsi="Times New Roman"/>
                <w:color w:val="222222"/>
                <w:sz w:val="22"/>
                <w:szCs w:val="22"/>
                <w:lang w:eastAsia="es-CO"/>
              </w:rPr>
              <w:lastRenderedPageBreak/>
              <w:t>Finalmente, en la última semana del mes de mayo se realizó la auditoria de seguimiento por el Ente certificador ICONTEC, en  la cual se ratificó el certificado otorgado por este Ente a la Secretaria Distrital de Planeación, los resultados de la auditoria fueron socializados mediante acta 8 del Comité Coordinador del SIG.</w:t>
            </w:r>
          </w:p>
          <w:p w:rsidR="00CB2503" w:rsidRPr="006C2538" w:rsidRDefault="00CB2503" w:rsidP="00CB2503">
            <w:pPr>
              <w:jc w:val="both"/>
              <w:rPr>
                <w:rFonts w:ascii="Times New Roman" w:hAnsi="Times New Roman"/>
                <w:color w:val="222222"/>
                <w:sz w:val="22"/>
                <w:szCs w:val="22"/>
                <w:lang w:eastAsia="es-CO"/>
              </w:rPr>
            </w:pPr>
          </w:p>
          <w:p w:rsidR="00CB2503" w:rsidRPr="00EF4AE8" w:rsidRDefault="00006AF4" w:rsidP="00EF4AE8">
            <w:pPr>
              <w:shd w:val="clear" w:color="auto" w:fill="FFFFFF"/>
              <w:jc w:val="both"/>
              <w:rPr>
                <w:rFonts w:ascii="Times New Roman" w:hAnsi="Times New Roman"/>
                <w:b/>
                <w:color w:val="222222"/>
                <w:lang w:eastAsia="es-CO"/>
              </w:rPr>
            </w:pPr>
            <w:r>
              <w:rPr>
                <w:rFonts w:ascii="Times New Roman" w:hAnsi="Times New Roman"/>
                <w:b/>
                <w:color w:val="222222"/>
                <w:lang w:eastAsia="es-CO"/>
              </w:rPr>
              <w:t>1.3. COMPONENTE AD</w:t>
            </w:r>
            <w:r w:rsidR="00EF4AE8">
              <w:rPr>
                <w:rFonts w:ascii="Times New Roman" w:hAnsi="Times New Roman"/>
                <w:b/>
                <w:color w:val="222222"/>
                <w:lang w:eastAsia="es-CO"/>
              </w:rPr>
              <w:t>MINISTRACIÓN DEL RIESGO</w:t>
            </w:r>
            <w:r w:rsidR="001E3AC2" w:rsidRPr="00EF4AE8">
              <w:rPr>
                <w:rFonts w:ascii="Times New Roman" w:hAnsi="Times New Roman"/>
                <w:b/>
                <w:color w:val="222222"/>
                <w:lang w:eastAsia="es-CO"/>
              </w:rPr>
              <w:t xml:space="preserve">: </w:t>
            </w:r>
          </w:p>
          <w:p w:rsidR="001E3AC2" w:rsidRPr="001E3AC2" w:rsidRDefault="001E3AC2" w:rsidP="001E3AC2">
            <w:pPr>
              <w:pStyle w:val="Prrafodelista"/>
              <w:shd w:val="clear" w:color="auto" w:fill="FFFFFF"/>
              <w:spacing w:after="0"/>
              <w:ind w:left="360"/>
              <w:jc w:val="both"/>
              <w:rPr>
                <w:rFonts w:ascii="Times New Roman" w:hAnsi="Times New Roman"/>
                <w:b/>
                <w:color w:val="222222"/>
                <w:lang w:eastAsia="es-CO"/>
              </w:rPr>
            </w:pPr>
          </w:p>
          <w:p w:rsidR="00013AC2" w:rsidRDefault="0051284A" w:rsidP="00EF4AE8">
            <w:pPr>
              <w:shd w:val="clear" w:color="auto" w:fill="FFFFFF"/>
              <w:jc w:val="both"/>
              <w:rPr>
                <w:rFonts w:ascii="Times New Roman" w:hAnsi="Times New Roman"/>
                <w:color w:val="222222"/>
                <w:sz w:val="22"/>
                <w:szCs w:val="22"/>
                <w:lang w:eastAsia="es-CO"/>
              </w:rPr>
            </w:pPr>
            <w:r>
              <w:rPr>
                <w:rFonts w:ascii="Times New Roman" w:hAnsi="Times New Roman"/>
                <w:color w:val="222222"/>
                <w:sz w:val="22"/>
                <w:szCs w:val="22"/>
                <w:lang w:eastAsia="es-CO"/>
              </w:rPr>
              <w:t xml:space="preserve">La </w:t>
            </w:r>
            <w:r w:rsidR="00CB2503" w:rsidRPr="00013AC2">
              <w:rPr>
                <w:rFonts w:ascii="Times New Roman" w:hAnsi="Times New Roman"/>
                <w:color w:val="222222"/>
                <w:sz w:val="22"/>
                <w:szCs w:val="22"/>
                <w:lang w:eastAsia="es-CO"/>
              </w:rPr>
              <w:t>Oficina de Control Inter</w:t>
            </w:r>
            <w:r w:rsidR="00EF4AE8">
              <w:rPr>
                <w:rFonts w:ascii="Times New Roman" w:hAnsi="Times New Roman"/>
                <w:color w:val="222222"/>
                <w:sz w:val="22"/>
                <w:szCs w:val="22"/>
                <w:lang w:eastAsia="es-CO"/>
              </w:rPr>
              <w:t xml:space="preserve">no y la Dirección de Planeación, </w:t>
            </w:r>
            <w:r w:rsidR="00CB2503" w:rsidRPr="00013AC2">
              <w:rPr>
                <w:rFonts w:ascii="Times New Roman" w:hAnsi="Times New Roman"/>
                <w:color w:val="222222"/>
                <w:sz w:val="22"/>
                <w:szCs w:val="22"/>
                <w:lang w:eastAsia="es-CO"/>
              </w:rPr>
              <w:t xml:space="preserve">como ejercicio previo al primer seguimiento de los </w:t>
            </w:r>
            <w:r w:rsidR="00EF4AE8">
              <w:rPr>
                <w:rFonts w:ascii="Times New Roman" w:hAnsi="Times New Roman"/>
                <w:color w:val="222222"/>
                <w:sz w:val="22"/>
                <w:szCs w:val="22"/>
                <w:lang w:eastAsia="es-CO"/>
              </w:rPr>
              <w:t>riesgos de la entidad</w:t>
            </w:r>
            <w:r>
              <w:rPr>
                <w:rFonts w:ascii="Times New Roman" w:hAnsi="Times New Roman"/>
                <w:color w:val="222222"/>
                <w:sz w:val="22"/>
                <w:szCs w:val="22"/>
                <w:lang w:eastAsia="es-CO"/>
              </w:rPr>
              <w:t xml:space="preserve"> en la presente vigencia;</w:t>
            </w:r>
            <w:r w:rsidR="00EF4AE8">
              <w:rPr>
                <w:rFonts w:ascii="Times New Roman" w:hAnsi="Times New Roman"/>
                <w:color w:val="222222"/>
                <w:sz w:val="22"/>
                <w:szCs w:val="22"/>
                <w:lang w:eastAsia="es-CO"/>
              </w:rPr>
              <w:t xml:space="preserve"> </w:t>
            </w:r>
            <w:r>
              <w:rPr>
                <w:rFonts w:ascii="Times New Roman" w:hAnsi="Times New Roman"/>
                <w:color w:val="222222"/>
                <w:sz w:val="22"/>
                <w:szCs w:val="22"/>
                <w:lang w:eastAsia="es-CO"/>
              </w:rPr>
              <w:t xml:space="preserve">realizaron una </w:t>
            </w:r>
            <w:r w:rsidR="00CB2503" w:rsidRPr="00013AC2">
              <w:rPr>
                <w:rFonts w:ascii="Times New Roman" w:hAnsi="Times New Roman"/>
                <w:color w:val="222222"/>
                <w:sz w:val="22"/>
                <w:szCs w:val="22"/>
                <w:lang w:eastAsia="es-CO"/>
              </w:rPr>
              <w:t xml:space="preserve">sensibilización dirigida a los enlaces SIG de la entidad en el mes de abril, a efectos de </w:t>
            </w:r>
            <w:r>
              <w:rPr>
                <w:rFonts w:ascii="Times New Roman" w:hAnsi="Times New Roman"/>
                <w:color w:val="222222"/>
                <w:sz w:val="22"/>
                <w:szCs w:val="22"/>
                <w:lang w:eastAsia="es-CO"/>
              </w:rPr>
              <w:t xml:space="preserve">recordar la conceptualización general sobre los riesgos, orientar el uso de la herramienta y generar un compromiso para que </w:t>
            </w:r>
            <w:r w:rsidR="00EF4AE8">
              <w:rPr>
                <w:rFonts w:ascii="Times New Roman" w:hAnsi="Times New Roman"/>
                <w:color w:val="222222"/>
                <w:sz w:val="22"/>
                <w:szCs w:val="22"/>
                <w:lang w:eastAsia="es-CO"/>
              </w:rPr>
              <w:t>dicho seguimiento</w:t>
            </w:r>
            <w:r>
              <w:rPr>
                <w:rFonts w:ascii="Times New Roman" w:hAnsi="Times New Roman"/>
                <w:color w:val="222222"/>
                <w:sz w:val="22"/>
                <w:szCs w:val="22"/>
                <w:lang w:eastAsia="es-CO"/>
              </w:rPr>
              <w:t xml:space="preserve"> se realice de manera oportuna</w:t>
            </w:r>
            <w:r w:rsidR="00EF4AE8">
              <w:rPr>
                <w:rFonts w:ascii="Times New Roman" w:hAnsi="Times New Roman"/>
                <w:color w:val="222222"/>
                <w:sz w:val="22"/>
                <w:szCs w:val="22"/>
                <w:lang w:eastAsia="es-CO"/>
              </w:rPr>
              <w:t xml:space="preserve">, a través de las </w:t>
            </w:r>
            <w:r w:rsidR="00CB2503" w:rsidRPr="00013AC2">
              <w:rPr>
                <w:rFonts w:ascii="Times New Roman" w:hAnsi="Times New Roman"/>
                <w:color w:val="222222"/>
                <w:sz w:val="22"/>
                <w:szCs w:val="22"/>
                <w:lang w:eastAsia="es-CO"/>
              </w:rPr>
              <w:t xml:space="preserve">herramientas </w:t>
            </w:r>
            <w:r w:rsidR="00EF4AE8">
              <w:rPr>
                <w:rFonts w:ascii="Times New Roman" w:hAnsi="Times New Roman"/>
                <w:color w:val="222222"/>
                <w:sz w:val="22"/>
                <w:szCs w:val="22"/>
                <w:lang w:eastAsia="es-CO"/>
              </w:rPr>
              <w:t xml:space="preserve">de gestión </w:t>
            </w:r>
            <w:r w:rsidR="00CB2503" w:rsidRPr="00013AC2">
              <w:rPr>
                <w:rFonts w:ascii="Times New Roman" w:hAnsi="Times New Roman"/>
                <w:color w:val="222222"/>
                <w:sz w:val="22"/>
                <w:szCs w:val="22"/>
                <w:lang w:eastAsia="es-CO"/>
              </w:rPr>
              <w:t>destinadas para este fin</w:t>
            </w:r>
            <w:r w:rsidR="00EF4AE8">
              <w:rPr>
                <w:rFonts w:ascii="Times New Roman" w:hAnsi="Times New Roman"/>
                <w:color w:val="222222"/>
                <w:sz w:val="22"/>
                <w:szCs w:val="22"/>
                <w:lang w:eastAsia="es-CO"/>
              </w:rPr>
              <w:t xml:space="preserve"> (SIIP)</w:t>
            </w:r>
            <w:r w:rsidR="00CB2503" w:rsidRPr="00013AC2">
              <w:rPr>
                <w:rFonts w:ascii="Times New Roman" w:hAnsi="Times New Roman"/>
                <w:color w:val="222222"/>
                <w:sz w:val="22"/>
                <w:szCs w:val="22"/>
                <w:lang w:eastAsia="es-CO"/>
              </w:rPr>
              <w:t xml:space="preserve">. </w:t>
            </w:r>
            <w:r w:rsidR="00EF4AE8">
              <w:rPr>
                <w:rFonts w:ascii="Times New Roman" w:hAnsi="Times New Roman"/>
                <w:color w:val="222222"/>
                <w:sz w:val="22"/>
                <w:szCs w:val="22"/>
                <w:lang w:eastAsia="es-CO"/>
              </w:rPr>
              <w:t>En concordancia con lo anterior, l</w:t>
            </w:r>
            <w:r w:rsidR="00CB2503" w:rsidRPr="00013AC2">
              <w:rPr>
                <w:rFonts w:ascii="Times New Roman" w:hAnsi="Times New Roman"/>
                <w:color w:val="222222"/>
                <w:sz w:val="22"/>
                <w:szCs w:val="22"/>
                <w:lang w:eastAsia="es-CO"/>
              </w:rPr>
              <w:t xml:space="preserve">os líderes de procesos y sus equipos realizaron el seguimiento </w:t>
            </w:r>
            <w:r w:rsidR="00EF4AE8">
              <w:rPr>
                <w:rFonts w:ascii="Times New Roman" w:hAnsi="Times New Roman"/>
                <w:color w:val="222222"/>
                <w:sz w:val="22"/>
                <w:szCs w:val="22"/>
                <w:lang w:eastAsia="es-CO"/>
              </w:rPr>
              <w:t xml:space="preserve">a los riesgos en el mes de mayo, dando cumplimiento </w:t>
            </w:r>
            <w:r w:rsidR="00CB2503" w:rsidRPr="00013AC2">
              <w:rPr>
                <w:rFonts w:ascii="Times New Roman" w:hAnsi="Times New Roman"/>
                <w:color w:val="222222"/>
                <w:sz w:val="22"/>
                <w:szCs w:val="22"/>
                <w:lang w:eastAsia="es-CO"/>
              </w:rPr>
              <w:t>a los tiempos establecidos en la Política de Administración del Riesgo</w:t>
            </w:r>
            <w:r w:rsidR="00EF4AE8">
              <w:rPr>
                <w:rFonts w:ascii="Times New Roman" w:hAnsi="Times New Roman"/>
                <w:color w:val="222222"/>
                <w:sz w:val="22"/>
                <w:szCs w:val="22"/>
                <w:lang w:eastAsia="es-CO"/>
              </w:rPr>
              <w:t>.</w:t>
            </w:r>
          </w:p>
          <w:p w:rsidR="00EF4AE8" w:rsidRPr="00EF4AE8" w:rsidRDefault="00EF4AE8" w:rsidP="00EF4AE8">
            <w:pPr>
              <w:shd w:val="clear" w:color="auto" w:fill="FFFFFF"/>
              <w:jc w:val="both"/>
              <w:rPr>
                <w:rFonts w:ascii="Times New Roman" w:hAnsi="Times New Roman"/>
                <w:color w:val="222222"/>
                <w:sz w:val="22"/>
                <w:szCs w:val="22"/>
                <w:lang w:eastAsia="es-CO"/>
              </w:rPr>
            </w:pPr>
          </w:p>
        </w:tc>
      </w:tr>
      <w:tr w:rsidR="0087261D" w:rsidRPr="006C2538" w:rsidTr="00655722">
        <w:tc>
          <w:tcPr>
            <w:tcW w:w="9356" w:type="dxa"/>
          </w:tcPr>
          <w:p w:rsidR="0087261D" w:rsidRPr="006C2538" w:rsidRDefault="0087261D" w:rsidP="002A66C6">
            <w:pPr>
              <w:tabs>
                <w:tab w:val="left" w:pos="2910"/>
              </w:tabs>
              <w:ind w:right="-1"/>
              <w:jc w:val="both"/>
              <w:rPr>
                <w:rFonts w:ascii="Times New Roman" w:hAnsi="Times New Roman"/>
                <w:b/>
                <w:sz w:val="22"/>
                <w:szCs w:val="22"/>
              </w:rPr>
            </w:pPr>
          </w:p>
          <w:p w:rsidR="0087261D" w:rsidRDefault="0087261D" w:rsidP="00013AC2">
            <w:pPr>
              <w:tabs>
                <w:tab w:val="left" w:pos="2910"/>
              </w:tabs>
              <w:ind w:right="-1"/>
              <w:jc w:val="both"/>
              <w:rPr>
                <w:rFonts w:ascii="Times New Roman" w:hAnsi="Times New Roman"/>
                <w:b/>
                <w:sz w:val="22"/>
                <w:szCs w:val="22"/>
              </w:rPr>
            </w:pPr>
            <w:r w:rsidRPr="006C2538">
              <w:rPr>
                <w:rFonts w:ascii="Times New Roman" w:hAnsi="Times New Roman"/>
                <w:b/>
                <w:sz w:val="22"/>
                <w:szCs w:val="22"/>
              </w:rPr>
              <w:t xml:space="preserve">DIFICULTADES: </w:t>
            </w:r>
            <w:r w:rsidR="00965827" w:rsidRPr="00013AC2">
              <w:rPr>
                <w:rFonts w:ascii="Times New Roman" w:hAnsi="Times New Roman"/>
                <w:color w:val="222222"/>
                <w:sz w:val="22"/>
                <w:szCs w:val="22"/>
                <w:lang w:eastAsia="es-CO"/>
              </w:rPr>
              <w:t>Como resultado del ingreso de una cantidad importante de funcionar</w:t>
            </w:r>
            <w:r w:rsidR="0042198F" w:rsidRPr="00013AC2">
              <w:rPr>
                <w:rFonts w:ascii="Times New Roman" w:hAnsi="Times New Roman"/>
                <w:color w:val="222222"/>
                <w:sz w:val="22"/>
                <w:szCs w:val="22"/>
                <w:lang w:eastAsia="es-CO"/>
              </w:rPr>
              <w:t>ios nuevos</w:t>
            </w:r>
            <w:r w:rsidR="00965827" w:rsidRPr="00013AC2">
              <w:rPr>
                <w:rFonts w:ascii="Times New Roman" w:hAnsi="Times New Roman"/>
                <w:color w:val="222222"/>
                <w:sz w:val="22"/>
                <w:szCs w:val="22"/>
                <w:lang w:eastAsia="es-CO"/>
              </w:rPr>
              <w:t xml:space="preserve"> que ganaron la convocatoria para el desempeño de cargos de carrera administrativa, la entidad presenta una sit</w:t>
            </w:r>
            <w:r w:rsidR="00E3419E">
              <w:rPr>
                <w:rFonts w:ascii="Times New Roman" w:hAnsi="Times New Roman"/>
                <w:color w:val="222222"/>
                <w:sz w:val="22"/>
                <w:szCs w:val="22"/>
                <w:lang w:eastAsia="es-CO"/>
              </w:rPr>
              <w:t>uación coyuntural que r</w:t>
            </w:r>
            <w:r w:rsidR="00DD7DB7">
              <w:rPr>
                <w:rFonts w:ascii="Times New Roman" w:hAnsi="Times New Roman"/>
                <w:color w:val="222222"/>
                <w:sz w:val="22"/>
                <w:szCs w:val="22"/>
                <w:lang w:eastAsia="es-CO"/>
              </w:rPr>
              <w:t>a</w:t>
            </w:r>
            <w:r w:rsidR="00EF4AE8">
              <w:rPr>
                <w:rFonts w:ascii="Times New Roman" w:hAnsi="Times New Roman"/>
                <w:color w:val="222222"/>
                <w:sz w:val="22"/>
                <w:szCs w:val="22"/>
                <w:lang w:eastAsia="es-CO"/>
              </w:rPr>
              <w:t xml:space="preserve">lentiza </w:t>
            </w:r>
            <w:r w:rsidR="00965827" w:rsidRPr="00013AC2">
              <w:rPr>
                <w:rFonts w:ascii="Times New Roman" w:hAnsi="Times New Roman"/>
                <w:color w:val="222222"/>
                <w:sz w:val="22"/>
                <w:szCs w:val="22"/>
                <w:lang w:eastAsia="es-CO"/>
              </w:rPr>
              <w:t xml:space="preserve">la </w:t>
            </w:r>
            <w:r w:rsidR="0084482E" w:rsidRPr="00013AC2">
              <w:rPr>
                <w:rFonts w:ascii="Times New Roman" w:hAnsi="Times New Roman"/>
                <w:color w:val="222222"/>
                <w:sz w:val="22"/>
                <w:szCs w:val="22"/>
                <w:lang w:eastAsia="es-CO"/>
              </w:rPr>
              <w:t>gestión,</w:t>
            </w:r>
            <w:r w:rsidR="00965827" w:rsidRPr="00013AC2">
              <w:rPr>
                <w:rFonts w:ascii="Times New Roman" w:hAnsi="Times New Roman"/>
                <w:color w:val="222222"/>
                <w:sz w:val="22"/>
                <w:szCs w:val="22"/>
                <w:lang w:eastAsia="es-CO"/>
              </w:rPr>
              <w:t xml:space="preserve"> mientras</w:t>
            </w:r>
            <w:r w:rsidR="00EF4AE8">
              <w:rPr>
                <w:rFonts w:ascii="Times New Roman" w:hAnsi="Times New Roman"/>
                <w:color w:val="222222"/>
                <w:sz w:val="22"/>
                <w:szCs w:val="22"/>
                <w:lang w:eastAsia="es-CO"/>
              </w:rPr>
              <w:t xml:space="preserve"> </w:t>
            </w:r>
            <w:r w:rsidR="00965827" w:rsidRPr="00013AC2">
              <w:rPr>
                <w:rFonts w:ascii="Times New Roman" w:hAnsi="Times New Roman"/>
                <w:color w:val="222222"/>
                <w:sz w:val="22"/>
                <w:szCs w:val="22"/>
                <w:lang w:eastAsia="es-CO"/>
              </w:rPr>
              <w:t xml:space="preserve">se logra nivelar la curva de </w:t>
            </w:r>
            <w:r w:rsidR="0042198F" w:rsidRPr="00013AC2">
              <w:rPr>
                <w:rFonts w:ascii="Times New Roman" w:hAnsi="Times New Roman"/>
                <w:color w:val="222222"/>
                <w:sz w:val="22"/>
                <w:szCs w:val="22"/>
                <w:lang w:eastAsia="es-CO"/>
              </w:rPr>
              <w:t>aprendizaje  requerida para el  desempeño eficiente de las funciones</w:t>
            </w:r>
            <w:r w:rsidR="00EF4AE8">
              <w:rPr>
                <w:rFonts w:ascii="Times New Roman" w:hAnsi="Times New Roman"/>
                <w:color w:val="222222"/>
                <w:sz w:val="22"/>
                <w:szCs w:val="22"/>
                <w:lang w:eastAsia="es-CO"/>
              </w:rPr>
              <w:t xml:space="preserve"> de éste nuevo personal</w:t>
            </w:r>
            <w:r w:rsidR="0042198F" w:rsidRPr="00013AC2">
              <w:rPr>
                <w:rFonts w:ascii="Times New Roman" w:hAnsi="Times New Roman"/>
                <w:color w:val="222222"/>
                <w:sz w:val="22"/>
                <w:szCs w:val="22"/>
                <w:lang w:eastAsia="es-CO"/>
              </w:rPr>
              <w:t xml:space="preserve">. Aunque la SDP ha preparado un plan de contingencia y efectuado ingresos </w:t>
            </w:r>
            <w:r w:rsidR="0084482E" w:rsidRPr="00013AC2">
              <w:rPr>
                <w:rFonts w:ascii="Times New Roman" w:hAnsi="Times New Roman"/>
                <w:color w:val="222222"/>
                <w:sz w:val="22"/>
                <w:szCs w:val="22"/>
                <w:lang w:eastAsia="es-CO"/>
              </w:rPr>
              <w:t>escalonados,</w:t>
            </w:r>
            <w:r w:rsidR="0042198F" w:rsidRPr="00013AC2">
              <w:rPr>
                <w:rFonts w:ascii="Times New Roman" w:hAnsi="Times New Roman"/>
                <w:color w:val="222222"/>
                <w:sz w:val="22"/>
                <w:szCs w:val="22"/>
                <w:lang w:eastAsia="es-CO"/>
              </w:rPr>
              <w:t xml:space="preserve"> existe un riesgo inherente al proceso que puede impactar la oportunidad de los objetivos esperados.</w:t>
            </w:r>
            <w:r w:rsidR="0042198F" w:rsidRPr="006C2538">
              <w:rPr>
                <w:rFonts w:ascii="Times New Roman" w:hAnsi="Times New Roman"/>
                <w:b/>
                <w:sz w:val="22"/>
                <w:szCs w:val="22"/>
              </w:rPr>
              <w:t xml:space="preserve"> </w:t>
            </w:r>
          </w:p>
          <w:p w:rsidR="00013AC2" w:rsidRPr="006C2538" w:rsidRDefault="00013AC2" w:rsidP="00013AC2">
            <w:pPr>
              <w:tabs>
                <w:tab w:val="left" w:pos="2910"/>
              </w:tabs>
              <w:ind w:right="-1"/>
              <w:jc w:val="both"/>
              <w:rPr>
                <w:rFonts w:ascii="Times New Roman" w:hAnsi="Times New Roman"/>
                <w:b/>
                <w:sz w:val="22"/>
                <w:szCs w:val="22"/>
              </w:rPr>
            </w:pPr>
          </w:p>
        </w:tc>
      </w:tr>
    </w:tbl>
    <w:p w:rsidR="00A549C4" w:rsidRPr="006C2538" w:rsidRDefault="00A549C4" w:rsidP="002A66C6">
      <w:pPr>
        <w:ind w:right="-1"/>
        <w:jc w:val="both"/>
        <w:rPr>
          <w:rFonts w:ascii="Times New Roman" w:hAnsi="Times New Roman"/>
          <w:sz w:val="22"/>
          <w:szCs w:val="22"/>
        </w:rPr>
      </w:pPr>
    </w:p>
    <w:p w:rsidR="00C00369" w:rsidRPr="006C2538" w:rsidRDefault="00C00369" w:rsidP="002A66C6">
      <w:pPr>
        <w:ind w:right="-1"/>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6C2538" w:rsidTr="00F15598">
        <w:trPr>
          <w:trHeight w:val="662"/>
        </w:trPr>
        <w:tc>
          <w:tcPr>
            <w:tcW w:w="9322" w:type="dxa"/>
            <w:shd w:val="pct20" w:color="auto" w:fill="auto"/>
            <w:vAlign w:val="center"/>
          </w:tcPr>
          <w:p w:rsidR="0012640D" w:rsidRPr="006C2538" w:rsidRDefault="00F15598" w:rsidP="002A66C6">
            <w:pPr>
              <w:ind w:right="-1"/>
              <w:jc w:val="both"/>
              <w:rPr>
                <w:rFonts w:ascii="Times New Roman" w:hAnsi="Times New Roman"/>
                <w:b/>
                <w:sz w:val="22"/>
                <w:szCs w:val="22"/>
              </w:rPr>
            </w:pPr>
            <w:r w:rsidRPr="006C2538">
              <w:rPr>
                <w:rFonts w:ascii="Times New Roman" w:hAnsi="Times New Roman"/>
                <w:b/>
                <w:sz w:val="22"/>
                <w:szCs w:val="22"/>
              </w:rPr>
              <w:t>2. MÓDULO DE EVALUACIÓN Y SEGUIMIENTO</w:t>
            </w:r>
          </w:p>
        </w:tc>
      </w:tr>
      <w:tr w:rsidR="0012640D" w:rsidRPr="006C2538" w:rsidTr="00F15598">
        <w:tc>
          <w:tcPr>
            <w:tcW w:w="9322" w:type="dxa"/>
          </w:tcPr>
          <w:p w:rsidR="000135E5" w:rsidRPr="006C2538" w:rsidRDefault="000135E5" w:rsidP="002A66C6">
            <w:pPr>
              <w:ind w:left="426" w:right="-1" w:hanging="284"/>
              <w:jc w:val="both"/>
              <w:rPr>
                <w:rFonts w:ascii="Times New Roman" w:hAnsi="Times New Roman"/>
                <w:sz w:val="22"/>
                <w:szCs w:val="22"/>
              </w:rPr>
            </w:pPr>
          </w:p>
          <w:p w:rsidR="00013AC2" w:rsidRPr="00013AC2" w:rsidRDefault="00F15598" w:rsidP="002A66C6">
            <w:pPr>
              <w:pStyle w:val="Prrafodelista"/>
              <w:tabs>
                <w:tab w:val="left" w:pos="480"/>
              </w:tabs>
              <w:spacing w:after="0" w:line="240" w:lineRule="auto"/>
              <w:ind w:left="0"/>
              <w:jc w:val="both"/>
              <w:rPr>
                <w:rFonts w:ascii="Times New Roman" w:hAnsi="Times New Roman"/>
                <w:b/>
              </w:rPr>
            </w:pPr>
            <w:r w:rsidRPr="00013AC2">
              <w:rPr>
                <w:rFonts w:ascii="Times New Roman" w:hAnsi="Times New Roman"/>
                <w:b/>
              </w:rPr>
              <w:t xml:space="preserve">2.1. COMPONENTE: </w:t>
            </w:r>
            <w:r w:rsidR="0048199C" w:rsidRPr="00013AC2">
              <w:rPr>
                <w:rFonts w:ascii="Times New Roman" w:hAnsi="Times New Roman"/>
                <w:b/>
              </w:rPr>
              <w:t>AUTOEVALUACIÓN</w:t>
            </w:r>
            <w:r w:rsidR="0042198F" w:rsidRPr="00013AC2">
              <w:rPr>
                <w:rFonts w:ascii="Times New Roman" w:hAnsi="Times New Roman"/>
                <w:b/>
              </w:rPr>
              <w:t xml:space="preserve">: </w:t>
            </w:r>
          </w:p>
          <w:p w:rsidR="00013AC2" w:rsidRDefault="00013AC2" w:rsidP="002A66C6">
            <w:pPr>
              <w:pStyle w:val="Prrafodelista"/>
              <w:tabs>
                <w:tab w:val="left" w:pos="480"/>
              </w:tabs>
              <w:spacing w:after="0" w:line="240" w:lineRule="auto"/>
              <w:ind w:left="0"/>
              <w:jc w:val="both"/>
              <w:rPr>
                <w:rFonts w:ascii="Times New Roman" w:hAnsi="Times New Roman"/>
                <w:b/>
                <w:i/>
              </w:rPr>
            </w:pPr>
          </w:p>
          <w:p w:rsidR="00F15598" w:rsidRPr="00013AC2" w:rsidRDefault="00013AC2" w:rsidP="002A66C6">
            <w:pPr>
              <w:pStyle w:val="Prrafodelista"/>
              <w:tabs>
                <w:tab w:val="left" w:pos="480"/>
              </w:tabs>
              <w:spacing w:after="0" w:line="240" w:lineRule="auto"/>
              <w:ind w:left="0"/>
              <w:jc w:val="both"/>
              <w:rPr>
                <w:rFonts w:ascii="Times New Roman" w:hAnsi="Times New Roman"/>
              </w:rPr>
            </w:pPr>
            <w:r>
              <w:rPr>
                <w:rFonts w:ascii="Times New Roman" w:hAnsi="Times New Roman"/>
              </w:rPr>
              <w:t>A</w:t>
            </w:r>
            <w:r w:rsidR="0042198F" w:rsidRPr="00013AC2">
              <w:rPr>
                <w:rFonts w:ascii="Times New Roman" w:hAnsi="Times New Roman"/>
              </w:rPr>
              <w:t xml:space="preserve">tendiendo los lineamientos desde la Dirección de </w:t>
            </w:r>
            <w:r w:rsidRPr="00013AC2">
              <w:rPr>
                <w:rFonts w:ascii="Times New Roman" w:hAnsi="Times New Roman"/>
              </w:rPr>
              <w:t>Planeación,</w:t>
            </w:r>
            <w:r w:rsidR="0042198F" w:rsidRPr="00013AC2">
              <w:rPr>
                <w:rFonts w:ascii="Times New Roman" w:hAnsi="Times New Roman"/>
              </w:rPr>
              <w:t xml:space="preserve"> se adelantaron los procesos de autoreportes de la </w:t>
            </w:r>
            <w:r w:rsidRPr="00013AC2">
              <w:rPr>
                <w:rFonts w:ascii="Times New Roman" w:hAnsi="Times New Roman"/>
              </w:rPr>
              <w:t>gestión,</w:t>
            </w:r>
            <w:r w:rsidR="0042198F" w:rsidRPr="00013AC2">
              <w:rPr>
                <w:rFonts w:ascii="Times New Roman" w:hAnsi="Times New Roman"/>
              </w:rPr>
              <w:t xml:space="preserve"> de acuerdo con los compromisos</w:t>
            </w:r>
            <w:r w:rsidR="00006AF4">
              <w:rPr>
                <w:rFonts w:ascii="Times New Roman" w:hAnsi="Times New Roman"/>
              </w:rPr>
              <w:t xml:space="preserve"> registrados en el POA; lo cual</w:t>
            </w:r>
            <w:r w:rsidR="0042198F" w:rsidRPr="00013AC2">
              <w:rPr>
                <w:rFonts w:ascii="Times New Roman" w:hAnsi="Times New Roman"/>
              </w:rPr>
              <w:t xml:space="preserve">  permitió la retroalimentación y ajustes de las metas propuestas y </w:t>
            </w:r>
            <w:r w:rsidR="00006AF4">
              <w:rPr>
                <w:rFonts w:ascii="Times New Roman" w:hAnsi="Times New Roman"/>
              </w:rPr>
              <w:t xml:space="preserve">la </w:t>
            </w:r>
            <w:r w:rsidR="0042198F" w:rsidRPr="00013AC2">
              <w:rPr>
                <w:rFonts w:ascii="Times New Roman" w:hAnsi="Times New Roman"/>
              </w:rPr>
              <w:t xml:space="preserve">revisión puntual de </w:t>
            </w:r>
            <w:r w:rsidR="00006AF4">
              <w:rPr>
                <w:rFonts w:ascii="Times New Roman" w:hAnsi="Times New Roman"/>
              </w:rPr>
              <w:t xml:space="preserve">los </w:t>
            </w:r>
            <w:r w:rsidR="0042198F" w:rsidRPr="00013AC2">
              <w:rPr>
                <w:rFonts w:ascii="Times New Roman" w:hAnsi="Times New Roman"/>
              </w:rPr>
              <w:t xml:space="preserve">logros obtenidos. En </w:t>
            </w:r>
            <w:r w:rsidR="00006AF4">
              <w:rPr>
                <w:rFonts w:ascii="Times New Roman" w:hAnsi="Times New Roman"/>
              </w:rPr>
              <w:t>é</w:t>
            </w:r>
            <w:r w:rsidR="0042198F" w:rsidRPr="00013AC2">
              <w:rPr>
                <w:rFonts w:ascii="Times New Roman" w:hAnsi="Times New Roman"/>
              </w:rPr>
              <w:t xml:space="preserve">ste mismo </w:t>
            </w:r>
            <w:r w:rsidRPr="00013AC2">
              <w:rPr>
                <w:rFonts w:ascii="Times New Roman" w:hAnsi="Times New Roman"/>
              </w:rPr>
              <w:t>sentido,</w:t>
            </w:r>
            <w:r w:rsidR="00006AF4">
              <w:rPr>
                <w:rFonts w:ascii="Times New Roman" w:hAnsi="Times New Roman"/>
              </w:rPr>
              <w:t xml:space="preserve"> </w:t>
            </w:r>
            <w:r w:rsidR="0042198F" w:rsidRPr="00013AC2">
              <w:rPr>
                <w:rFonts w:ascii="Times New Roman" w:hAnsi="Times New Roman"/>
              </w:rPr>
              <w:t xml:space="preserve">se surtió </w:t>
            </w:r>
            <w:r w:rsidR="00006AF4">
              <w:rPr>
                <w:rFonts w:ascii="Times New Roman" w:hAnsi="Times New Roman"/>
              </w:rPr>
              <w:t xml:space="preserve">el seguimiento sobre los </w:t>
            </w:r>
            <w:r w:rsidR="0042198F" w:rsidRPr="00013AC2">
              <w:rPr>
                <w:rFonts w:ascii="Times New Roman" w:hAnsi="Times New Roman"/>
              </w:rPr>
              <w:t xml:space="preserve">avances en la ejecución de los </w:t>
            </w:r>
            <w:r w:rsidR="00006AF4">
              <w:rPr>
                <w:rFonts w:ascii="Times New Roman" w:hAnsi="Times New Roman"/>
              </w:rPr>
              <w:t>P</w:t>
            </w:r>
            <w:r w:rsidR="0042198F" w:rsidRPr="00013AC2">
              <w:rPr>
                <w:rFonts w:ascii="Times New Roman" w:hAnsi="Times New Roman"/>
              </w:rPr>
              <w:t xml:space="preserve">lanes de </w:t>
            </w:r>
            <w:r w:rsidRPr="00013AC2">
              <w:rPr>
                <w:rFonts w:ascii="Times New Roman" w:hAnsi="Times New Roman"/>
              </w:rPr>
              <w:t>Mejoramiento,</w:t>
            </w:r>
            <w:r w:rsidR="00006AF4">
              <w:rPr>
                <w:rFonts w:ascii="Times New Roman" w:hAnsi="Times New Roman"/>
              </w:rPr>
              <w:t xml:space="preserve"> Proyectos de Inversión y </w:t>
            </w:r>
            <w:r w:rsidR="0042198F" w:rsidRPr="00013AC2">
              <w:rPr>
                <w:rFonts w:ascii="Times New Roman" w:hAnsi="Times New Roman"/>
              </w:rPr>
              <w:t xml:space="preserve">monitoreo de la </w:t>
            </w:r>
            <w:r w:rsidR="00006AF4">
              <w:rPr>
                <w:rFonts w:ascii="Times New Roman" w:hAnsi="Times New Roman"/>
              </w:rPr>
              <w:t>g</w:t>
            </w:r>
            <w:r w:rsidR="0042198F" w:rsidRPr="00013AC2">
              <w:rPr>
                <w:rFonts w:ascii="Times New Roman" w:hAnsi="Times New Roman"/>
              </w:rPr>
              <w:t xml:space="preserve">estión de los </w:t>
            </w:r>
            <w:r w:rsidR="00006AF4">
              <w:rPr>
                <w:rFonts w:ascii="Times New Roman" w:hAnsi="Times New Roman"/>
              </w:rPr>
              <w:t>R</w:t>
            </w:r>
            <w:r w:rsidR="0042198F" w:rsidRPr="00013AC2">
              <w:rPr>
                <w:rFonts w:ascii="Times New Roman" w:hAnsi="Times New Roman"/>
              </w:rPr>
              <w:t>iesgos.</w:t>
            </w:r>
          </w:p>
          <w:p w:rsidR="00013AC2" w:rsidRPr="00013AC2" w:rsidRDefault="00013AC2" w:rsidP="002A66C6">
            <w:pPr>
              <w:pStyle w:val="Prrafodelista"/>
              <w:tabs>
                <w:tab w:val="left" w:pos="480"/>
              </w:tabs>
              <w:spacing w:after="0" w:line="240" w:lineRule="auto"/>
              <w:ind w:left="0"/>
              <w:jc w:val="both"/>
              <w:rPr>
                <w:rFonts w:ascii="Times New Roman" w:hAnsi="Times New Roman"/>
              </w:rPr>
            </w:pPr>
          </w:p>
          <w:p w:rsidR="0042198F" w:rsidRDefault="0042198F" w:rsidP="002A66C6">
            <w:pPr>
              <w:pStyle w:val="Prrafodelista"/>
              <w:tabs>
                <w:tab w:val="left" w:pos="480"/>
              </w:tabs>
              <w:spacing w:after="0" w:line="240" w:lineRule="auto"/>
              <w:ind w:left="0"/>
              <w:jc w:val="both"/>
              <w:rPr>
                <w:rFonts w:ascii="Times New Roman" w:hAnsi="Times New Roman"/>
              </w:rPr>
            </w:pPr>
            <w:r w:rsidRPr="00013AC2">
              <w:rPr>
                <w:rFonts w:ascii="Times New Roman" w:hAnsi="Times New Roman"/>
              </w:rPr>
              <w:t xml:space="preserve">Las actividades de autocontrol implementadas por la entidad, así como las herramientas dispuestas para tal </w:t>
            </w:r>
            <w:r w:rsidR="00013AC2" w:rsidRPr="00013AC2">
              <w:rPr>
                <w:rFonts w:ascii="Times New Roman" w:hAnsi="Times New Roman"/>
              </w:rPr>
              <w:t>fin,</w:t>
            </w:r>
            <w:r w:rsidRPr="00013AC2">
              <w:rPr>
                <w:rFonts w:ascii="Times New Roman" w:hAnsi="Times New Roman"/>
              </w:rPr>
              <w:t xml:space="preserve"> han resultado de gran utilidad y mejorado los tiempos para ofrecer información oportuna sobre los resultados esperados y tomar las decisiones conducentes a la mejora y garantía razonable</w:t>
            </w:r>
            <w:r w:rsidR="00DD7DB7">
              <w:rPr>
                <w:rFonts w:ascii="Times New Roman" w:hAnsi="Times New Roman"/>
              </w:rPr>
              <w:t xml:space="preserve"> del logro </w:t>
            </w:r>
            <w:r w:rsidRPr="00013AC2">
              <w:rPr>
                <w:rFonts w:ascii="Times New Roman" w:hAnsi="Times New Roman"/>
              </w:rPr>
              <w:t xml:space="preserve"> de los objetivos institucionales tra</w:t>
            </w:r>
            <w:r w:rsidR="00DE11C5" w:rsidRPr="00013AC2">
              <w:rPr>
                <w:rFonts w:ascii="Times New Roman" w:hAnsi="Times New Roman"/>
              </w:rPr>
              <w:t>z</w:t>
            </w:r>
            <w:r w:rsidRPr="00013AC2">
              <w:rPr>
                <w:rFonts w:ascii="Times New Roman" w:hAnsi="Times New Roman"/>
              </w:rPr>
              <w:t xml:space="preserve">ados. </w:t>
            </w:r>
          </w:p>
          <w:p w:rsidR="00013AC2" w:rsidRPr="00013AC2" w:rsidRDefault="00013AC2" w:rsidP="002A66C6">
            <w:pPr>
              <w:pStyle w:val="Prrafodelista"/>
              <w:tabs>
                <w:tab w:val="left" w:pos="480"/>
              </w:tabs>
              <w:spacing w:after="0" w:line="240" w:lineRule="auto"/>
              <w:ind w:left="0"/>
              <w:jc w:val="both"/>
              <w:rPr>
                <w:rFonts w:ascii="Times New Roman" w:hAnsi="Times New Roman"/>
              </w:rPr>
            </w:pPr>
          </w:p>
          <w:p w:rsidR="00DE11C5" w:rsidRPr="00013AC2" w:rsidRDefault="00DE11C5" w:rsidP="002A66C6">
            <w:pPr>
              <w:pStyle w:val="Prrafodelista"/>
              <w:tabs>
                <w:tab w:val="left" w:pos="480"/>
              </w:tabs>
              <w:spacing w:after="0" w:line="240" w:lineRule="auto"/>
              <w:ind w:left="0"/>
              <w:jc w:val="both"/>
              <w:rPr>
                <w:rFonts w:ascii="Times New Roman" w:hAnsi="Times New Roman"/>
              </w:rPr>
            </w:pPr>
            <w:r w:rsidRPr="00013AC2">
              <w:rPr>
                <w:rFonts w:ascii="Times New Roman" w:hAnsi="Times New Roman"/>
              </w:rPr>
              <w:t xml:space="preserve">Como se dijo </w:t>
            </w:r>
            <w:r w:rsidR="00013AC2" w:rsidRPr="00013AC2">
              <w:rPr>
                <w:rFonts w:ascii="Times New Roman" w:hAnsi="Times New Roman"/>
              </w:rPr>
              <w:t>anteriormente,</w:t>
            </w:r>
            <w:r w:rsidRPr="00013AC2">
              <w:rPr>
                <w:rFonts w:ascii="Times New Roman" w:hAnsi="Times New Roman"/>
              </w:rPr>
              <w:t xml:space="preserve"> </w:t>
            </w:r>
            <w:r w:rsidR="00013AC2" w:rsidRPr="00013AC2">
              <w:rPr>
                <w:rFonts w:ascii="Times New Roman" w:hAnsi="Times New Roman"/>
              </w:rPr>
              <w:t>estos</w:t>
            </w:r>
            <w:r w:rsidRPr="00013AC2">
              <w:rPr>
                <w:rFonts w:ascii="Times New Roman" w:hAnsi="Times New Roman"/>
              </w:rPr>
              <w:t xml:space="preserve"> seguimientos</w:t>
            </w:r>
            <w:r w:rsidR="00006AF4">
              <w:rPr>
                <w:rFonts w:ascii="Times New Roman" w:hAnsi="Times New Roman"/>
              </w:rPr>
              <w:t xml:space="preserve"> están debidamente orientados, </w:t>
            </w:r>
            <w:r w:rsidRPr="00013AC2">
              <w:rPr>
                <w:rFonts w:ascii="Times New Roman" w:hAnsi="Times New Roman"/>
              </w:rPr>
              <w:t>estandarizados</w:t>
            </w:r>
            <w:r w:rsidR="00006AF4">
              <w:rPr>
                <w:rFonts w:ascii="Times New Roman" w:hAnsi="Times New Roman"/>
              </w:rPr>
              <w:t xml:space="preserve"> y se cumplen de manera oportuna, con lo cual</w:t>
            </w:r>
            <w:r w:rsidRPr="00013AC2">
              <w:rPr>
                <w:rFonts w:ascii="Times New Roman" w:hAnsi="Times New Roman"/>
              </w:rPr>
              <w:t xml:space="preserve">, generan un valor </w:t>
            </w:r>
            <w:r w:rsidR="00006AF4">
              <w:rPr>
                <w:rFonts w:ascii="Times New Roman" w:hAnsi="Times New Roman"/>
              </w:rPr>
              <w:t xml:space="preserve">agregado </w:t>
            </w:r>
            <w:r w:rsidRPr="00013AC2">
              <w:rPr>
                <w:rFonts w:ascii="Times New Roman" w:hAnsi="Times New Roman"/>
              </w:rPr>
              <w:t xml:space="preserve">importante frente a la eficiencia de los recursos dispuestos. </w:t>
            </w:r>
          </w:p>
          <w:p w:rsidR="00F15598" w:rsidRPr="006C2538" w:rsidRDefault="00F15598" w:rsidP="002A66C6">
            <w:pPr>
              <w:pStyle w:val="Prrafodelista"/>
              <w:tabs>
                <w:tab w:val="left" w:pos="480"/>
              </w:tabs>
              <w:spacing w:after="0" w:line="240" w:lineRule="auto"/>
              <w:ind w:left="0"/>
              <w:jc w:val="both"/>
              <w:rPr>
                <w:rFonts w:ascii="Times New Roman" w:hAnsi="Times New Roman"/>
                <w:b/>
                <w:u w:val="single"/>
              </w:rPr>
            </w:pPr>
          </w:p>
          <w:p w:rsidR="00A250D8" w:rsidRPr="006C2538" w:rsidRDefault="00A250D8" w:rsidP="002A66C6">
            <w:pPr>
              <w:pStyle w:val="Prrafodelista"/>
              <w:tabs>
                <w:tab w:val="left" w:pos="480"/>
              </w:tabs>
              <w:spacing w:after="0" w:line="240" w:lineRule="auto"/>
              <w:ind w:left="0"/>
              <w:jc w:val="both"/>
              <w:rPr>
                <w:rFonts w:ascii="Times New Roman" w:hAnsi="Times New Roman"/>
              </w:rPr>
            </w:pPr>
          </w:p>
          <w:p w:rsidR="00562087" w:rsidRPr="006C2538" w:rsidRDefault="00562087" w:rsidP="002A66C6">
            <w:pPr>
              <w:pStyle w:val="Prrafodelista"/>
              <w:tabs>
                <w:tab w:val="left" w:pos="480"/>
              </w:tabs>
              <w:spacing w:after="0" w:line="240" w:lineRule="auto"/>
              <w:ind w:left="0"/>
              <w:jc w:val="both"/>
              <w:rPr>
                <w:rFonts w:ascii="Times New Roman" w:hAnsi="Times New Roman"/>
              </w:rPr>
            </w:pPr>
          </w:p>
        </w:tc>
      </w:tr>
    </w:tbl>
    <w:p w:rsidR="0087261D" w:rsidRPr="006C2538" w:rsidRDefault="0087261D" w:rsidP="002A66C6">
      <w:pPr>
        <w:jc w:val="both"/>
        <w:rPr>
          <w:rFonts w:ascii="Times New Roman" w:hAnsi="Times New Roman"/>
          <w:sz w:val="22"/>
          <w:szCs w:val="22"/>
        </w:rPr>
      </w:pPr>
    </w:p>
    <w:p w:rsidR="0087261D" w:rsidRPr="006C2538" w:rsidRDefault="0087261D" w:rsidP="002A66C6">
      <w:pPr>
        <w:jc w:val="both"/>
        <w:rPr>
          <w:rFonts w:ascii="Times New Roman" w:hAnsi="Times New Roman"/>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87261D" w:rsidRPr="006C2538" w:rsidTr="00796CBE">
        <w:trPr>
          <w:trHeight w:val="1833"/>
        </w:trPr>
        <w:tc>
          <w:tcPr>
            <w:tcW w:w="9180" w:type="dxa"/>
          </w:tcPr>
          <w:p w:rsidR="0087261D" w:rsidRPr="00013AC2" w:rsidRDefault="0087261D" w:rsidP="002A66C6">
            <w:pPr>
              <w:ind w:left="284" w:right="-1" w:hanging="284"/>
              <w:jc w:val="both"/>
              <w:rPr>
                <w:rFonts w:ascii="Times New Roman" w:hAnsi="Times New Roman"/>
                <w:b/>
                <w:sz w:val="22"/>
                <w:szCs w:val="22"/>
              </w:rPr>
            </w:pPr>
            <w:r w:rsidRPr="00013AC2">
              <w:rPr>
                <w:rFonts w:ascii="Times New Roman" w:hAnsi="Times New Roman"/>
                <w:b/>
                <w:sz w:val="22"/>
                <w:szCs w:val="22"/>
              </w:rPr>
              <w:lastRenderedPageBreak/>
              <w:t>2.2. COMPONENTE AUDITORÍAS INTERNAS E INFORMES OBLIGATORIOS</w:t>
            </w:r>
          </w:p>
          <w:p w:rsidR="0087261D" w:rsidRPr="006C2538" w:rsidRDefault="0087261D" w:rsidP="002A66C6">
            <w:pPr>
              <w:ind w:left="284" w:right="-1" w:hanging="284"/>
              <w:jc w:val="both"/>
              <w:rPr>
                <w:rFonts w:ascii="Times New Roman" w:hAnsi="Times New Roman"/>
                <w:b/>
                <w:sz w:val="22"/>
                <w:szCs w:val="22"/>
                <w:u w:val="single"/>
              </w:rPr>
            </w:pPr>
          </w:p>
          <w:p w:rsidR="006B4628" w:rsidRDefault="00563AD3" w:rsidP="002A66C6">
            <w:pPr>
              <w:ind w:right="-1"/>
              <w:jc w:val="both"/>
              <w:rPr>
                <w:rFonts w:ascii="Times New Roman" w:hAnsi="Times New Roman"/>
                <w:sz w:val="22"/>
                <w:szCs w:val="22"/>
              </w:rPr>
            </w:pPr>
            <w:r w:rsidRPr="00013AC2">
              <w:rPr>
                <w:rFonts w:ascii="Times New Roman" w:hAnsi="Times New Roman"/>
                <w:b/>
                <w:sz w:val="22"/>
                <w:szCs w:val="22"/>
              </w:rPr>
              <w:t>Informe de Auditoría Interna al Proceso Estratégico de Participación y Comunicaciones – 2017</w:t>
            </w:r>
            <w:r w:rsidR="00615FBC" w:rsidRPr="00013AC2">
              <w:rPr>
                <w:rFonts w:ascii="Times New Roman" w:hAnsi="Times New Roman"/>
                <w:b/>
                <w:sz w:val="22"/>
                <w:szCs w:val="22"/>
              </w:rPr>
              <w:t>:</w:t>
            </w:r>
            <w:r w:rsidR="00615FBC" w:rsidRPr="006C2538">
              <w:rPr>
                <w:rFonts w:ascii="Times New Roman" w:hAnsi="Times New Roman"/>
                <w:b/>
                <w:i/>
                <w:sz w:val="22"/>
                <w:szCs w:val="22"/>
              </w:rPr>
              <w:t xml:space="preserve"> </w:t>
            </w:r>
            <w:r w:rsidR="00615FBC" w:rsidRPr="006C2538">
              <w:rPr>
                <w:rFonts w:ascii="Times New Roman" w:hAnsi="Times New Roman"/>
                <w:sz w:val="22"/>
                <w:szCs w:val="22"/>
              </w:rPr>
              <w:t xml:space="preserve">Se verificó que las áreas que conforman el proceso implementaron y aplicaron mecanismos, metodologías y  herramientas tecnológicas que  soportaron la adecuada gestión  y objetivos propuestos. Las metas estratégicas construidas en el POA del </w:t>
            </w:r>
            <w:r w:rsidR="00FB3F95">
              <w:rPr>
                <w:rFonts w:ascii="Times New Roman" w:hAnsi="Times New Roman"/>
                <w:sz w:val="22"/>
                <w:szCs w:val="22"/>
              </w:rPr>
              <w:t>2016,</w:t>
            </w:r>
            <w:r w:rsidR="00615FBC" w:rsidRPr="006C2538">
              <w:rPr>
                <w:rFonts w:ascii="Times New Roman" w:hAnsi="Times New Roman"/>
                <w:sz w:val="22"/>
                <w:szCs w:val="22"/>
              </w:rPr>
              <w:t xml:space="preserve"> en cuanto a las agendas de participació</w:t>
            </w:r>
            <w:r w:rsidR="00FB3F95">
              <w:rPr>
                <w:rFonts w:ascii="Times New Roman" w:hAnsi="Times New Roman"/>
                <w:sz w:val="22"/>
                <w:szCs w:val="22"/>
              </w:rPr>
              <w:t xml:space="preserve">n y estrategias para las mismas, </w:t>
            </w:r>
            <w:r w:rsidR="00615FBC" w:rsidRPr="006C2538">
              <w:rPr>
                <w:rFonts w:ascii="Times New Roman" w:hAnsi="Times New Roman"/>
                <w:sz w:val="22"/>
                <w:szCs w:val="22"/>
              </w:rPr>
              <w:t xml:space="preserve">fueron alcanzadas, garantizando así la participación de la ciudadanía en la </w:t>
            </w:r>
            <w:r w:rsidR="00013AC2" w:rsidRPr="006C2538">
              <w:rPr>
                <w:rFonts w:ascii="Times New Roman" w:hAnsi="Times New Roman"/>
                <w:sz w:val="22"/>
                <w:szCs w:val="22"/>
              </w:rPr>
              <w:t>formulación,</w:t>
            </w:r>
            <w:r w:rsidR="00615FBC" w:rsidRPr="006C2538">
              <w:rPr>
                <w:rFonts w:ascii="Times New Roman" w:hAnsi="Times New Roman"/>
                <w:sz w:val="22"/>
                <w:szCs w:val="22"/>
              </w:rPr>
              <w:t xml:space="preserve"> seguimiento y evaluación de los instrumentos de planeación. De igual manera se generaron espacios de </w:t>
            </w:r>
            <w:r w:rsidR="00013AC2" w:rsidRPr="006C2538">
              <w:rPr>
                <w:rFonts w:ascii="Times New Roman" w:hAnsi="Times New Roman"/>
                <w:sz w:val="22"/>
                <w:szCs w:val="22"/>
              </w:rPr>
              <w:t>participación,</w:t>
            </w:r>
            <w:r w:rsidR="00615FBC" w:rsidRPr="006C2538">
              <w:rPr>
                <w:rFonts w:ascii="Times New Roman" w:hAnsi="Times New Roman"/>
                <w:sz w:val="22"/>
                <w:szCs w:val="22"/>
              </w:rPr>
              <w:t xml:space="preserve"> obteniendo un impacto positivo en la imagen institucional. </w:t>
            </w:r>
            <w:r w:rsidR="00D312CF" w:rsidRPr="006C2538">
              <w:rPr>
                <w:rFonts w:ascii="Times New Roman" w:hAnsi="Times New Roman"/>
                <w:sz w:val="22"/>
                <w:szCs w:val="22"/>
              </w:rPr>
              <w:t>Respecto de los retos del proceso para el 2017</w:t>
            </w:r>
            <w:r w:rsidR="004F5737" w:rsidRPr="006C2538">
              <w:rPr>
                <w:rFonts w:ascii="Times New Roman" w:hAnsi="Times New Roman"/>
                <w:sz w:val="22"/>
                <w:szCs w:val="22"/>
              </w:rPr>
              <w:t xml:space="preserve">, a la fecha de cierre de la auditoría se determinó que los recursos programados se </w:t>
            </w:r>
            <w:r w:rsidR="00013AC2" w:rsidRPr="006C2538">
              <w:rPr>
                <w:rFonts w:ascii="Times New Roman" w:hAnsi="Times New Roman"/>
                <w:sz w:val="22"/>
                <w:szCs w:val="22"/>
              </w:rPr>
              <w:t>ejecutaron.</w:t>
            </w:r>
          </w:p>
          <w:p w:rsidR="00013AC2" w:rsidRPr="006C2538" w:rsidRDefault="00013AC2" w:rsidP="002A66C6">
            <w:pPr>
              <w:ind w:right="-1"/>
              <w:jc w:val="both"/>
              <w:rPr>
                <w:rFonts w:ascii="Times New Roman" w:hAnsi="Times New Roman"/>
                <w:sz w:val="22"/>
                <w:szCs w:val="22"/>
              </w:rPr>
            </w:pPr>
          </w:p>
          <w:p w:rsidR="008B4D63" w:rsidRDefault="004F5737" w:rsidP="00013AC2">
            <w:pPr>
              <w:ind w:right="-1"/>
              <w:jc w:val="both"/>
              <w:rPr>
                <w:rFonts w:ascii="Times New Roman" w:hAnsi="Times New Roman"/>
                <w:sz w:val="22"/>
                <w:szCs w:val="22"/>
              </w:rPr>
            </w:pPr>
            <w:r w:rsidRPr="00013AC2">
              <w:rPr>
                <w:rFonts w:ascii="Times New Roman" w:hAnsi="Times New Roman"/>
                <w:b/>
                <w:sz w:val="22"/>
                <w:szCs w:val="22"/>
              </w:rPr>
              <w:t xml:space="preserve">Informe de evaluación y seguimiento a las observaciones y situaciones críticas presentadas en la </w:t>
            </w:r>
            <w:r w:rsidR="008B4D63" w:rsidRPr="00013AC2">
              <w:rPr>
                <w:rFonts w:ascii="Times New Roman" w:hAnsi="Times New Roman"/>
                <w:b/>
                <w:sz w:val="22"/>
                <w:szCs w:val="22"/>
              </w:rPr>
              <w:t>a</w:t>
            </w:r>
            <w:r w:rsidRPr="00013AC2">
              <w:rPr>
                <w:rFonts w:ascii="Times New Roman" w:hAnsi="Times New Roman"/>
                <w:b/>
                <w:sz w:val="22"/>
                <w:szCs w:val="22"/>
              </w:rPr>
              <w:t xml:space="preserve">uditoría de 2016 a los </w:t>
            </w:r>
            <w:r w:rsidR="00796CBE">
              <w:rPr>
                <w:rFonts w:ascii="Times New Roman" w:hAnsi="Times New Roman"/>
                <w:b/>
                <w:sz w:val="22"/>
                <w:szCs w:val="22"/>
              </w:rPr>
              <w:t>S</w:t>
            </w:r>
            <w:r w:rsidRPr="00013AC2">
              <w:rPr>
                <w:rFonts w:ascii="Times New Roman" w:hAnsi="Times New Roman"/>
                <w:b/>
                <w:sz w:val="22"/>
                <w:szCs w:val="22"/>
              </w:rPr>
              <w:t xml:space="preserve">istemas de </w:t>
            </w:r>
            <w:r w:rsidR="00796CBE">
              <w:rPr>
                <w:rFonts w:ascii="Times New Roman" w:hAnsi="Times New Roman"/>
                <w:b/>
                <w:sz w:val="22"/>
                <w:szCs w:val="22"/>
              </w:rPr>
              <w:t>I</w:t>
            </w:r>
            <w:r w:rsidRPr="00013AC2">
              <w:rPr>
                <w:rFonts w:ascii="Times New Roman" w:hAnsi="Times New Roman"/>
                <w:b/>
                <w:sz w:val="22"/>
                <w:szCs w:val="22"/>
              </w:rPr>
              <w:t>nformación que apoyan la misionalidad de la SDP:</w:t>
            </w:r>
            <w:r w:rsidR="00013AC2">
              <w:rPr>
                <w:rFonts w:ascii="Times New Roman" w:hAnsi="Times New Roman"/>
                <w:b/>
                <w:sz w:val="22"/>
                <w:szCs w:val="22"/>
              </w:rPr>
              <w:t xml:space="preserve"> </w:t>
            </w:r>
            <w:r w:rsidR="00EA2BA8" w:rsidRPr="006C2538">
              <w:rPr>
                <w:rFonts w:ascii="Times New Roman" w:hAnsi="Times New Roman"/>
                <w:sz w:val="22"/>
                <w:szCs w:val="22"/>
              </w:rPr>
              <w:t xml:space="preserve">Se </w:t>
            </w:r>
            <w:r w:rsidR="00013AC2" w:rsidRPr="006C2538">
              <w:rPr>
                <w:rFonts w:ascii="Times New Roman" w:hAnsi="Times New Roman"/>
                <w:sz w:val="22"/>
                <w:szCs w:val="22"/>
              </w:rPr>
              <w:t>evidenciaron</w:t>
            </w:r>
            <w:r w:rsidR="000046E3" w:rsidRPr="006C2538">
              <w:rPr>
                <w:rFonts w:ascii="Times New Roman" w:hAnsi="Times New Roman"/>
                <w:sz w:val="22"/>
                <w:szCs w:val="22"/>
              </w:rPr>
              <w:t xml:space="preserve"> avances significativos que fortalecen el cumplimiento de la misionalidad en el marco de la normatividad que regula los sistemas de información evaluados; frente a lo cual se registra lo siguiente:</w:t>
            </w:r>
          </w:p>
          <w:p w:rsidR="00013AC2" w:rsidRPr="006C2538" w:rsidRDefault="00013AC2" w:rsidP="00013AC2">
            <w:pPr>
              <w:ind w:right="-1"/>
              <w:jc w:val="both"/>
              <w:rPr>
                <w:rFonts w:ascii="Times New Roman" w:hAnsi="Times New Roman"/>
                <w:sz w:val="22"/>
                <w:szCs w:val="22"/>
              </w:rPr>
            </w:pPr>
          </w:p>
          <w:p w:rsidR="008B4D63" w:rsidRPr="006C2538"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 xml:space="preserve">La Subsecretaría de Planeación </w:t>
            </w:r>
            <w:r w:rsidR="00FB3F95">
              <w:rPr>
                <w:rFonts w:ascii="Times New Roman" w:hAnsi="Times New Roman"/>
              </w:rPr>
              <w:t>T</w:t>
            </w:r>
            <w:r w:rsidRPr="006C2538">
              <w:rPr>
                <w:rFonts w:ascii="Times New Roman" w:hAnsi="Times New Roman"/>
              </w:rPr>
              <w:t xml:space="preserve">erritorial (SPT) adelantó una revisión de los instrumentos que soportan el proceso a su cargo en el SIG y se encuentra realizando las acciones identificadas en este proceso, incluyendo actividades que aseguren la calidad y oportunidad de  la  información dispuesta en la BDGC y el sistema SINU POT. </w:t>
            </w:r>
          </w:p>
          <w:p w:rsidR="008B4D63" w:rsidRPr="006C2538"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La SPT con el apoyo de l</w:t>
            </w:r>
            <w:r w:rsidR="00796CBE">
              <w:rPr>
                <w:rFonts w:ascii="Times New Roman" w:hAnsi="Times New Roman"/>
              </w:rPr>
              <w:t>a Subsecretaría de Información y</w:t>
            </w:r>
            <w:r w:rsidRPr="006C2538">
              <w:rPr>
                <w:rFonts w:ascii="Times New Roman" w:hAnsi="Times New Roman"/>
              </w:rPr>
              <w:t xml:space="preserve"> </w:t>
            </w:r>
            <w:r w:rsidR="00796CBE">
              <w:rPr>
                <w:rFonts w:ascii="Times New Roman" w:hAnsi="Times New Roman"/>
              </w:rPr>
              <w:t>E</w:t>
            </w:r>
            <w:r w:rsidRPr="006C2538">
              <w:rPr>
                <w:rFonts w:ascii="Times New Roman" w:hAnsi="Times New Roman"/>
              </w:rPr>
              <w:t xml:space="preserve">studios </w:t>
            </w:r>
            <w:r w:rsidR="00796CBE">
              <w:rPr>
                <w:rFonts w:ascii="Times New Roman" w:hAnsi="Times New Roman"/>
              </w:rPr>
              <w:t>Estratégicos (SIEE), adelantó</w:t>
            </w:r>
            <w:r w:rsidRPr="006C2538">
              <w:rPr>
                <w:rFonts w:ascii="Times New Roman" w:hAnsi="Times New Roman"/>
              </w:rPr>
              <w:t xml:space="preserve"> acciones con el propósito de actualizar la información contenida en la BGDC y el sistema SINU POT. </w:t>
            </w:r>
          </w:p>
          <w:p w:rsidR="008B4D63" w:rsidRPr="006C2538"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 xml:space="preserve">La Subsecretaría de Planeación Socioeconómica </w:t>
            </w:r>
            <w:r w:rsidR="00006AF4" w:rsidRPr="006C2538">
              <w:rPr>
                <w:rFonts w:ascii="Times New Roman" w:hAnsi="Times New Roman"/>
              </w:rPr>
              <w:t>(SPS</w:t>
            </w:r>
            <w:r w:rsidR="00796CBE">
              <w:rPr>
                <w:rFonts w:ascii="Times New Roman" w:hAnsi="Times New Roman"/>
              </w:rPr>
              <w:t>),</w:t>
            </w:r>
            <w:r w:rsidRPr="006C2538">
              <w:rPr>
                <w:rFonts w:ascii="Times New Roman" w:hAnsi="Times New Roman"/>
              </w:rPr>
              <w:t xml:space="preserve"> a través de la Dirección de Economía Urbana/DEU), adelantó esfuerzos para lograr acciones interinstitucionales con el fin de poder intercambiar información con la UAECD</w:t>
            </w:r>
            <w:r w:rsidR="00006AF4">
              <w:rPr>
                <w:rFonts w:ascii="Times New Roman" w:hAnsi="Times New Roman"/>
              </w:rPr>
              <w:t xml:space="preserve"> </w:t>
            </w:r>
            <w:r w:rsidRPr="006C2538">
              <w:rPr>
                <w:rFonts w:ascii="Times New Roman" w:hAnsi="Times New Roman"/>
              </w:rPr>
              <w:t xml:space="preserve">(Unidad </w:t>
            </w:r>
            <w:r w:rsidR="00006AF4">
              <w:rPr>
                <w:rFonts w:ascii="Times New Roman" w:hAnsi="Times New Roman"/>
              </w:rPr>
              <w:t xml:space="preserve">Administrativa Especial </w:t>
            </w:r>
            <w:r w:rsidRPr="006C2538">
              <w:rPr>
                <w:rFonts w:ascii="Times New Roman" w:hAnsi="Times New Roman"/>
              </w:rPr>
              <w:t xml:space="preserve">de </w:t>
            </w:r>
            <w:r w:rsidR="00006AF4" w:rsidRPr="006C2538">
              <w:rPr>
                <w:rFonts w:ascii="Times New Roman" w:hAnsi="Times New Roman"/>
              </w:rPr>
              <w:t>Catastro</w:t>
            </w:r>
            <w:r w:rsidRPr="006C2538">
              <w:rPr>
                <w:rFonts w:ascii="Times New Roman" w:hAnsi="Times New Roman"/>
              </w:rPr>
              <w:t xml:space="preserve">) en cuanto a los predios con efectos de plusvalía. </w:t>
            </w:r>
          </w:p>
          <w:p w:rsidR="008B4D63" w:rsidRPr="006C2538"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La SPT considera que al incorporar las UPZs de Consolidación y Mejoramiento Integral a la  BDGC, junto con la correspondiente normatividad asociada a los diferentes instrumentos de Planeación y Gestió</w:t>
            </w:r>
            <w:r w:rsidR="00796CBE">
              <w:rPr>
                <w:rFonts w:ascii="Times New Roman" w:hAnsi="Times New Roman"/>
              </w:rPr>
              <w:t xml:space="preserve">n Territorial; </w:t>
            </w:r>
            <w:r w:rsidRPr="006C2538">
              <w:rPr>
                <w:rFonts w:ascii="Times New Roman" w:hAnsi="Times New Roman"/>
              </w:rPr>
              <w:t>se dispondrá de un sistema de control frente a la normatividad generada para las dos instancias.</w:t>
            </w:r>
          </w:p>
          <w:p w:rsidR="008B4D63" w:rsidRPr="006C2538"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La SIEE a través de la DICE realizó la migración de la BDGC, dentro de la cual mejoró sus estructuras y definió e implementó roles de acuerdo con manual de funciones y requerimientos de entidades externas y de control.</w:t>
            </w:r>
          </w:p>
          <w:p w:rsidR="008B4D63" w:rsidRDefault="008B4D63" w:rsidP="00491EF4">
            <w:pPr>
              <w:pStyle w:val="Prrafodelista"/>
              <w:numPr>
                <w:ilvl w:val="0"/>
                <w:numId w:val="6"/>
              </w:numPr>
              <w:spacing w:after="0" w:line="240" w:lineRule="auto"/>
              <w:jc w:val="both"/>
              <w:rPr>
                <w:rFonts w:ascii="Times New Roman" w:hAnsi="Times New Roman"/>
              </w:rPr>
            </w:pPr>
            <w:r w:rsidRPr="006C2538">
              <w:rPr>
                <w:rFonts w:ascii="Times New Roman" w:hAnsi="Times New Roman"/>
              </w:rPr>
              <w:t xml:space="preserve">La SIEE a través de la Dirección de Sistemas, adelantó acciones de mejoramiento frente a:  </w:t>
            </w:r>
          </w:p>
          <w:p w:rsidR="008B4D63" w:rsidRPr="006C2538" w:rsidRDefault="008B4D63" w:rsidP="00491EF4">
            <w:pPr>
              <w:pStyle w:val="Prrafodelista"/>
              <w:numPr>
                <w:ilvl w:val="0"/>
                <w:numId w:val="5"/>
              </w:numPr>
              <w:spacing w:after="0" w:line="240" w:lineRule="auto"/>
              <w:jc w:val="both"/>
              <w:rPr>
                <w:rFonts w:ascii="Times New Roman" w:hAnsi="Times New Roman"/>
              </w:rPr>
            </w:pPr>
            <w:r w:rsidRPr="006C2538">
              <w:rPr>
                <w:rFonts w:ascii="Times New Roman" w:hAnsi="Times New Roman"/>
              </w:rPr>
              <w:t xml:space="preserve">La formulación de planes que garanticen la realización de proyectos de TI, dentro de los cuales se definan lineamientos institucionales y procedimientos para su ejecución. </w:t>
            </w:r>
          </w:p>
          <w:p w:rsidR="008B4D63" w:rsidRPr="006C2538" w:rsidRDefault="008B4D63" w:rsidP="00491EF4">
            <w:pPr>
              <w:pStyle w:val="Prrafodelista"/>
              <w:numPr>
                <w:ilvl w:val="0"/>
                <w:numId w:val="5"/>
              </w:numPr>
              <w:spacing w:after="0" w:line="240" w:lineRule="auto"/>
              <w:jc w:val="both"/>
              <w:rPr>
                <w:rFonts w:ascii="Times New Roman" w:hAnsi="Times New Roman"/>
              </w:rPr>
            </w:pPr>
            <w:r w:rsidRPr="006C2538">
              <w:rPr>
                <w:rFonts w:ascii="Times New Roman" w:hAnsi="Times New Roman"/>
              </w:rPr>
              <w:t>La administración de inventarios de equipos de escritorio y su  caracterización de acuerdo con las funciones desempeñadas en la entidad.</w:t>
            </w:r>
          </w:p>
          <w:p w:rsidR="008B4D63" w:rsidRDefault="008B4D63" w:rsidP="00491EF4">
            <w:pPr>
              <w:pStyle w:val="Prrafodelista"/>
              <w:numPr>
                <w:ilvl w:val="0"/>
                <w:numId w:val="5"/>
              </w:numPr>
              <w:spacing w:after="0" w:line="240" w:lineRule="auto"/>
              <w:jc w:val="both"/>
              <w:rPr>
                <w:rFonts w:ascii="Times New Roman" w:hAnsi="Times New Roman"/>
              </w:rPr>
            </w:pPr>
            <w:r w:rsidRPr="006C2538">
              <w:rPr>
                <w:rFonts w:ascii="Times New Roman" w:hAnsi="Times New Roman"/>
              </w:rPr>
              <w:t>La puesta en funcionamiento de la infraestructura tecnológica adquirida durante la pasada administración y en la formulación de indicadores frente a las mejoras que se obtengan con este proceso.</w:t>
            </w:r>
          </w:p>
          <w:p w:rsidR="00006AF4" w:rsidRPr="006C2538" w:rsidRDefault="00006AF4" w:rsidP="00006AF4">
            <w:pPr>
              <w:pStyle w:val="Prrafodelista"/>
              <w:spacing w:after="0" w:line="240" w:lineRule="auto"/>
              <w:ind w:left="862"/>
              <w:jc w:val="both"/>
              <w:rPr>
                <w:rFonts w:ascii="Times New Roman" w:hAnsi="Times New Roman"/>
              </w:rPr>
            </w:pPr>
          </w:p>
          <w:p w:rsidR="00EA2BA8" w:rsidRPr="006C2538" w:rsidRDefault="008B4D63" w:rsidP="00013AC2">
            <w:pPr>
              <w:jc w:val="both"/>
              <w:rPr>
                <w:rFonts w:ascii="Times New Roman" w:hAnsi="Times New Roman"/>
                <w:bCs/>
                <w:sz w:val="22"/>
                <w:szCs w:val="22"/>
                <w:lang w:val="es-ES"/>
              </w:rPr>
            </w:pPr>
            <w:r w:rsidRPr="006C2538">
              <w:rPr>
                <w:rFonts w:ascii="Times New Roman" w:hAnsi="Times New Roman"/>
                <w:sz w:val="22"/>
                <w:szCs w:val="22"/>
              </w:rPr>
              <w:t xml:space="preserve">Así mismo se presentaron </w:t>
            </w:r>
            <w:r w:rsidR="00013AC2" w:rsidRPr="006C2538">
              <w:rPr>
                <w:rFonts w:ascii="Times New Roman" w:hAnsi="Times New Roman"/>
                <w:sz w:val="22"/>
                <w:szCs w:val="22"/>
              </w:rPr>
              <w:t>las siguientes sit</w:t>
            </w:r>
            <w:r w:rsidR="00013AC2">
              <w:rPr>
                <w:rFonts w:ascii="Times New Roman" w:hAnsi="Times New Roman"/>
                <w:sz w:val="22"/>
                <w:szCs w:val="22"/>
              </w:rPr>
              <w:t xml:space="preserve">uaciones susceptibles de mejora: </w:t>
            </w:r>
            <w:r w:rsidR="00EA2BA8" w:rsidRPr="006C2538">
              <w:rPr>
                <w:rFonts w:ascii="Times New Roman" w:hAnsi="Times New Roman"/>
                <w:bCs/>
                <w:sz w:val="22"/>
                <w:szCs w:val="22"/>
                <w:lang w:val="es-ES"/>
              </w:rPr>
              <w:t xml:space="preserve">Frente a la justificación de la reformulación del plan de mejoramiento 1598 “Se requiere  generar acciones dentro de este plan que garanticen la realización de proyectos TI. Planeados desde  su concepción siguiendo lineamientos institucionales y procedimientos creados para su ejecución”, el cual se encuentra en desarrollo, se recomienda incluir: </w:t>
            </w:r>
          </w:p>
          <w:p w:rsidR="00013AC2" w:rsidRDefault="00013AC2" w:rsidP="002A66C6">
            <w:pPr>
              <w:tabs>
                <w:tab w:val="left" w:pos="6402"/>
              </w:tabs>
              <w:jc w:val="both"/>
              <w:rPr>
                <w:rFonts w:ascii="Times New Roman" w:hAnsi="Times New Roman"/>
                <w:bCs/>
                <w:sz w:val="22"/>
                <w:szCs w:val="22"/>
                <w:lang w:val="es-ES"/>
              </w:rPr>
            </w:pPr>
          </w:p>
          <w:p w:rsidR="00EA2BA8" w:rsidRDefault="00EA2BA8" w:rsidP="002A66C6">
            <w:pPr>
              <w:tabs>
                <w:tab w:val="left" w:pos="6402"/>
              </w:tabs>
              <w:jc w:val="both"/>
              <w:rPr>
                <w:rFonts w:ascii="Times New Roman" w:hAnsi="Times New Roman"/>
                <w:bCs/>
                <w:sz w:val="22"/>
                <w:szCs w:val="22"/>
                <w:lang w:val="es-ES"/>
              </w:rPr>
            </w:pPr>
            <w:r w:rsidRPr="006C2538">
              <w:rPr>
                <w:rFonts w:ascii="Times New Roman" w:hAnsi="Times New Roman"/>
                <w:bCs/>
                <w:sz w:val="22"/>
                <w:szCs w:val="22"/>
                <w:lang w:val="es-ES"/>
              </w:rPr>
              <w:lastRenderedPageBreak/>
              <w:t>Socializar a nivel directivo los documentos A-LE-285  Directrices Generales Para La Formulación De Proyectos Informáticos De La SDP, A-LE-284  Metodología Gerencia De Proyectos De Las Tecnologías De La Información Y Las Comunicaciones De La SDP, haciendo énfasis en los siguientes aspectos:</w:t>
            </w:r>
          </w:p>
          <w:p w:rsidR="00796CBE" w:rsidRDefault="00796CBE" w:rsidP="002A66C6">
            <w:pPr>
              <w:tabs>
                <w:tab w:val="left" w:pos="6402"/>
              </w:tabs>
              <w:jc w:val="both"/>
              <w:rPr>
                <w:rFonts w:ascii="Times New Roman" w:hAnsi="Times New Roman"/>
                <w:bCs/>
                <w:sz w:val="22"/>
                <w:szCs w:val="22"/>
                <w:lang w:val="es-ES"/>
              </w:rPr>
            </w:pP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Documentar la necesidad por la cual se genera el proyecto y los beneficios que se esperan obtener con su desarrollo</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En caso de adoptar nuevas tecnologías, se recomienda evaluar el costo de propiedad  teniendo en cuenta entre otros: costos directos e indirectos, los beneficios relacionados con la compra de equipos o programas informáticos.</w:t>
            </w:r>
          </w:p>
          <w:p w:rsidR="00013AC2" w:rsidRDefault="00013AC2" w:rsidP="002A66C6">
            <w:pPr>
              <w:tabs>
                <w:tab w:val="left" w:pos="6402"/>
              </w:tabs>
              <w:jc w:val="both"/>
              <w:rPr>
                <w:rFonts w:ascii="Times New Roman" w:hAnsi="Times New Roman"/>
                <w:bCs/>
                <w:i/>
                <w:sz w:val="22"/>
                <w:szCs w:val="22"/>
                <w:lang w:val="es-ES"/>
              </w:rPr>
            </w:pPr>
          </w:p>
          <w:p w:rsidR="00EA2BA8" w:rsidRPr="00796CBE" w:rsidRDefault="00EA2BA8" w:rsidP="002A66C6">
            <w:pPr>
              <w:tabs>
                <w:tab w:val="left" w:pos="6402"/>
              </w:tabs>
              <w:jc w:val="both"/>
              <w:rPr>
                <w:rFonts w:ascii="Times New Roman" w:hAnsi="Times New Roman"/>
                <w:bCs/>
                <w:sz w:val="22"/>
                <w:szCs w:val="22"/>
                <w:lang w:val="es-ES"/>
              </w:rPr>
            </w:pPr>
            <w:r w:rsidRPr="00796CBE">
              <w:rPr>
                <w:rFonts w:ascii="Times New Roman" w:hAnsi="Times New Roman"/>
                <w:bCs/>
                <w:sz w:val="22"/>
                <w:szCs w:val="22"/>
                <w:lang w:val="es-ES"/>
              </w:rPr>
              <w:t>Estimar los costos de sostenibilidad de la solución que se llegue a adoptar.</w:t>
            </w:r>
          </w:p>
          <w:p w:rsidR="00EA2BA8" w:rsidRPr="006C2538" w:rsidRDefault="00EA2BA8" w:rsidP="002A66C6">
            <w:pPr>
              <w:tabs>
                <w:tab w:val="left" w:pos="6402"/>
              </w:tabs>
              <w:jc w:val="both"/>
              <w:rPr>
                <w:rFonts w:ascii="Times New Roman" w:hAnsi="Times New Roman"/>
                <w:bCs/>
                <w:sz w:val="22"/>
                <w:szCs w:val="22"/>
                <w:lang w:val="es-ES"/>
              </w:rPr>
            </w:pPr>
          </w:p>
          <w:p w:rsidR="00EA2BA8" w:rsidRPr="006C2538" w:rsidRDefault="00EA2BA8" w:rsidP="002A66C6">
            <w:pPr>
              <w:pStyle w:val="Prrafodelista"/>
              <w:spacing w:after="0"/>
              <w:ind w:left="0"/>
              <w:jc w:val="both"/>
              <w:rPr>
                <w:rFonts w:ascii="Times New Roman" w:hAnsi="Times New Roman"/>
                <w:lang w:eastAsia="es-CO"/>
              </w:rPr>
            </w:pPr>
            <w:r w:rsidRPr="006C2538">
              <w:rPr>
                <w:rFonts w:ascii="Times New Roman" w:hAnsi="Times New Roman"/>
                <w:lang w:eastAsia="es-CO"/>
              </w:rPr>
              <w:t xml:space="preserve">Frente a las acciones adelantadas en el plan de mejoramiento 1599, el cual se encuentra en desarrollo, se recomienda realizar las siguientes acciones : </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Implementar instrumentos que brinden confiabilidad frente al inventario de la infraestructura tecnológica de la entidad.</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Reformular el proyecto de renovación de equipos de escritorio para “Bogotá Mejor Para Todos” teniendo en cuenta las adquisiciones del contrato 357 de 2016.</w:t>
            </w:r>
          </w:p>
          <w:p w:rsidR="00EA2BA8" w:rsidRPr="006C2538" w:rsidRDefault="00EA2BA8" w:rsidP="002A66C6">
            <w:pPr>
              <w:tabs>
                <w:tab w:val="left" w:pos="6402"/>
              </w:tabs>
              <w:ind w:left="709"/>
              <w:jc w:val="both"/>
              <w:rPr>
                <w:rFonts w:ascii="Times New Roman" w:hAnsi="Times New Roman"/>
                <w:bCs/>
                <w:sz w:val="22"/>
                <w:szCs w:val="22"/>
                <w:lang w:val="es-ES"/>
              </w:rPr>
            </w:pPr>
          </w:p>
          <w:p w:rsidR="00EA2BA8" w:rsidRPr="006C2538" w:rsidRDefault="00EA2BA8" w:rsidP="002A66C6">
            <w:pPr>
              <w:tabs>
                <w:tab w:val="left" w:pos="6402"/>
              </w:tabs>
              <w:jc w:val="both"/>
              <w:rPr>
                <w:rFonts w:ascii="Times New Roman" w:hAnsi="Times New Roman"/>
                <w:bCs/>
                <w:sz w:val="22"/>
                <w:szCs w:val="22"/>
                <w:lang w:val="es-ES"/>
              </w:rPr>
            </w:pPr>
            <w:r w:rsidRPr="006C2538">
              <w:rPr>
                <w:rFonts w:ascii="Times New Roman" w:hAnsi="Times New Roman"/>
                <w:bCs/>
                <w:sz w:val="22"/>
                <w:szCs w:val="22"/>
                <w:lang w:val="es-ES"/>
              </w:rPr>
              <w:t xml:space="preserve">Frente a las acciones adelantadas en el plan de mejoramiento 1561, el cual se encuentra en desarrollo, se recomienda realizar las siguientes acciones : </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 xml:space="preserve">Adelantar acciones para identificar los procesos asociados a sistemas misionales que tengan gran demanda de recursos para su ejecución los cuales cuáles deben ser  priorizados. </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 xml:space="preserve">Definir indicadores que reflejen la utilización de los diferentes componentes que conforman la infraestructura tecnológica </w:t>
            </w:r>
            <w:r w:rsidR="00013AC2" w:rsidRPr="00013AC2">
              <w:rPr>
                <w:rFonts w:ascii="Times New Roman" w:hAnsi="Times New Roman"/>
              </w:rPr>
              <w:t>asociados.</w:t>
            </w:r>
          </w:p>
          <w:p w:rsidR="00EA2BA8" w:rsidRPr="00013AC2" w:rsidRDefault="00EA2BA8" w:rsidP="00491EF4">
            <w:pPr>
              <w:pStyle w:val="Prrafodelista"/>
              <w:numPr>
                <w:ilvl w:val="0"/>
                <w:numId w:val="5"/>
              </w:numPr>
              <w:spacing w:after="0" w:line="240" w:lineRule="auto"/>
              <w:jc w:val="both"/>
              <w:rPr>
                <w:rFonts w:ascii="Times New Roman" w:hAnsi="Times New Roman"/>
              </w:rPr>
            </w:pPr>
            <w:r w:rsidRPr="00013AC2">
              <w:rPr>
                <w:rFonts w:ascii="Times New Roman" w:hAnsi="Times New Roman"/>
              </w:rPr>
              <w:t>Formular inventario de requerimientos de actualización para la plataforma tecnológica  de la SDP en caso de ser necesario.</w:t>
            </w:r>
          </w:p>
          <w:p w:rsidR="004F5737" w:rsidRPr="006C2538" w:rsidRDefault="004F5737" w:rsidP="002A66C6">
            <w:pPr>
              <w:ind w:right="-1"/>
              <w:jc w:val="both"/>
              <w:rPr>
                <w:rFonts w:ascii="Times New Roman" w:hAnsi="Times New Roman"/>
                <w:sz w:val="22"/>
                <w:szCs w:val="22"/>
              </w:rPr>
            </w:pPr>
          </w:p>
          <w:p w:rsidR="00AF3993" w:rsidRDefault="00AF3993" w:rsidP="00796CBE">
            <w:pPr>
              <w:pStyle w:val="Prrafodelista1"/>
              <w:ind w:left="0" w:right="34"/>
              <w:rPr>
                <w:rFonts w:ascii="Times New Roman" w:hAnsi="Times New Roman"/>
                <w:sz w:val="22"/>
                <w:szCs w:val="22"/>
              </w:rPr>
            </w:pPr>
            <w:r w:rsidRPr="00796CBE">
              <w:rPr>
                <w:rFonts w:ascii="Times New Roman" w:hAnsi="Times New Roman"/>
                <w:b/>
                <w:sz w:val="22"/>
                <w:szCs w:val="22"/>
              </w:rPr>
              <w:t>Seguimiento al proceso de atención de Peticiones, Quejas y Reclamos presentados ante la SDP –II semestre de 2016:</w:t>
            </w:r>
            <w:r w:rsidRPr="00796CBE">
              <w:rPr>
                <w:rFonts w:ascii="Times New Roman" w:hAnsi="Times New Roman"/>
                <w:sz w:val="22"/>
                <w:szCs w:val="22"/>
              </w:rPr>
              <w:t xml:space="preserve"> </w:t>
            </w:r>
            <w:r w:rsidR="00796CBE" w:rsidRPr="00796CBE">
              <w:rPr>
                <w:rFonts w:ascii="Times New Roman" w:hAnsi="Times New Roman"/>
                <w:sz w:val="22"/>
                <w:szCs w:val="22"/>
              </w:rPr>
              <w:t>Se registraron las siguientes conclusiones:</w:t>
            </w:r>
          </w:p>
          <w:p w:rsidR="00796CBE" w:rsidRPr="00796CBE" w:rsidRDefault="00796CBE" w:rsidP="00796CBE">
            <w:pPr>
              <w:pStyle w:val="Prrafodelista1"/>
              <w:ind w:left="0" w:right="34"/>
              <w:rPr>
                <w:rFonts w:ascii="Times New Roman" w:hAnsi="Times New Roman"/>
                <w:sz w:val="22"/>
                <w:szCs w:val="22"/>
              </w:rPr>
            </w:pP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Los registros de las solicitudes por parte de la ciudadanía dentro del SDQS-Sistema Distrital de Quejas y Reclamos, beneficia a la SDP en cuanto a la descongestión interna de radicaciones.</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 xml:space="preserve">Las estrategias implementadas de respuesta rápida y sistema anfitrión, se destaca como una mejor práctica que propende por atender las inquietudes y solicitudes que los ciudadanos presentan todos los días de una manera oportunidad y con calidad, situación que se refleja en las 12 felicitaciones que obtuvo la entidad a diciembre de 2016. </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La oportunidad de respuesta de las radicaciones en cuanto a las quejas y reclamos representa un nivel alto en la gestión en el tema.</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 xml:space="preserve">El Sistema Anfitrión es de mucha ayuda en la orientación de la ciudadanía para la realización de los diferentes </w:t>
            </w:r>
            <w:r w:rsidR="00796CBE" w:rsidRPr="00013AC2">
              <w:rPr>
                <w:rFonts w:ascii="Times New Roman" w:hAnsi="Times New Roman"/>
              </w:rPr>
              <w:t>trámites</w:t>
            </w:r>
            <w:r w:rsidRPr="00013AC2">
              <w:rPr>
                <w:rFonts w:ascii="Times New Roman" w:hAnsi="Times New Roman"/>
              </w:rPr>
              <w:t xml:space="preserve"> dentro de la entidad.</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Se observa que históricamente las quejas y reclamos interpuestos hacia la entidad representan un numero bajo con relación a otras entidades del distrito.</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Es importante resaltar que la SDP lleva a cabo un plan de capacitación permanente en el tema de servicio al ciudadano, para sus funcionarios.</w:t>
            </w:r>
          </w:p>
          <w:p w:rsidR="00AF3993" w:rsidRPr="00013AC2"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 xml:space="preserve">El informes de seguimiento presentados en vigencias anteriores, relaciona una oportunidad de mejora relacionada con que los reclamos reiterativos interpuestos por los usuarios se dieron por las demoras que se presentaron en la atención dada en el archivo central y en la </w:t>
            </w:r>
            <w:r w:rsidR="00796CBE" w:rsidRPr="00013AC2">
              <w:rPr>
                <w:rFonts w:ascii="Times New Roman" w:hAnsi="Times New Roman"/>
              </w:rPr>
              <w:t>Planoteca</w:t>
            </w:r>
            <w:r w:rsidRPr="00013AC2">
              <w:rPr>
                <w:rFonts w:ascii="Times New Roman" w:hAnsi="Times New Roman"/>
              </w:rPr>
              <w:t>, en cuanto a la asignación de turnos y el tiempo de atención que se utilizada en cada consulta y en algunos</w:t>
            </w:r>
            <w:r w:rsidRPr="00013AC2">
              <w:rPr>
                <w:rFonts w:ascii="Times New Roman" w:hAnsi="Times New Roman"/>
                <w:color w:val="000000"/>
              </w:rPr>
              <w:t xml:space="preserve"> casos por el servicio que se presta en los puntos de recepción de correspondencia por demoras en </w:t>
            </w:r>
            <w:r w:rsidRPr="00013AC2">
              <w:rPr>
                <w:rFonts w:ascii="Times New Roman" w:hAnsi="Times New Roman"/>
                <w:color w:val="000000"/>
              </w:rPr>
              <w:lastRenderedPageBreak/>
              <w:t xml:space="preserve">la atención de la fila y en algunos casos por inconvenientes presentados por el sistema SIPA; en </w:t>
            </w:r>
            <w:r w:rsidRPr="00013AC2">
              <w:rPr>
                <w:rFonts w:ascii="Times New Roman" w:hAnsi="Times New Roman"/>
              </w:rPr>
              <w:t>este sentido es importante resaltar que se desarrollaron acciones correctivas por parte de la Dirección de Recursos Físicos y Gestión Documental en cuanto a capacitación de funcionarios y la Dirección de Sistemas por los inconvenientes presentados en la utilización del sistema (SIPA).</w:t>
            </w:r>
          </w:p>
          <w:p w:rsidR="00AF3993" w:rsidRDefault="00AF3993" w:rsidP="00491EF4">
            <w:pPr>
              <w:pStyle w:val="Prrafodelista"/>
              <w:numPr>
                <w:ilvl w:val="0"/>
                <w:numId w:val="6"/>
              </w:numPr>
              <w:spacing w:after="0" w:line="240" w:lineRule="auto"/>
              <w:jc w:val="both"/>
              <w:rPr>
                <w:rFonts w:ascii="Times New Roman" w:hAnsi="Times New Roman"/>
              </w:rPr>
            </w:pPr>
            <w:r w:rsidRPr="00013AC2">
              <w:rPr>
                <w:rFonts w:ascii="Times New Roman" w:hAnsi="Times New Roman"/>
              </w:rPr>
              <w:t>Las radicaciones de solicitudes por PQRS recibidas por la SDP entre los semestres de las vigencias 2014 a 2016, han venido aumentando significativamente y comparando los semestres desde 2014 hasta 2016 casi se duplican en número.   Solamente entre los segundos semestres (junio a diciembre) de las vigencias 2014 y 2016, se observa un aumento en el número de solicitudes interpuestas por la ciudadanía, pasando de 434 a 872, en este sentido</w:t>
            </w:r>
            <w:r w:rsidR="00EB5D97" w:rsidRPr="00013AC2">
              <w:rPr>
                <w:rFonts w:ascii="Times New Roman" w:hAnsi="Times New Roman"/>
              </w:rPr>
              <w:t>,</w:t>
            </w:r>
            <w:r w:rsidRPr="00013AC2">
              <w:rPr>
                <w:rFonts w:ascii="Times New Roman" w:hAnsi="Times New Roman"/>
              </w:rPr>
              <w:t xml:space="preserve"> la entidad ha atendido de manera eficiente el aumento paulatino presentado.</w:t>
            </w:r>
          </w:p>
          <w:p w:rsidR="00796CBE" w:rsidRPr="00013AC2" w:rsidRDefault="00796CBE" w:rsidP="00796CBE">
            <w:pPr>
              <w:pStyle w:val="Prrafodelista"/>
              <w:spacing w:after="0" w:line="240" w:lineRule="auto"/>
              <w:ind w:left="360"/>
              <w:jc w:val="both"/>
              <w:rPr>
                <w:rFonts w:ascii="Times New Roman" w:hAnsi="Times New Roman"/>
              </w:rPr>
            </w:pPr>
          </w:p>
          <w:p w:rsidR="00AF3993" w:rsidRPr="006C2538" w:rsidRDefault="00AF3993" w:rsidP="00796CBE">
            <w:pPr>
              <w:pStyle w:val="Prrafodelista1"/>
              <w:ind w:left="0"/>
              <w:rPr>
                <w:rFonts w:ascii="Times New Roman" w:hAnsi="Times New Roman"/>
                <w:color w:val="000000"/>
                <w:sz w:val="22"/>
                <w:szCs w:val="22"/>
                <w:lang w:val="es-ES" w:eastAsia="es-ES"/>
              </w:rPr>
            </w:pPr>
            <w:r w:rsidRPr="006C2538">
              <w:rPr>
                <w:rFonts w:ascii="Times New Roman" w:hAnsi="Times New Roman"/>
                <w:bCs/>
                <w:sz w:val="22"/>
                <w:szCs w:val="22"/>
              </w:rPr>
              <w:t>Se observan las siguientes mejoras:</w:t>
            </w:r>
            <w:r w:rsidR="00796CBE">
              <w:rPr>
                <w:rFonts w:ascii="Times New Roman" w:hAnsi="Times New Roman"/>
                <w:bCs/>
                <w:sz w:val="22"/>
                <w:szCs w:val="22"/>
              </w:rPr>
              <w:t xml:space="preserve"> </w:t>
            </w:r>
            <w:r w:rsidRPr="006C2538">
              <w:rPr>
                <w:rFonts w:ascii="Times New Roman" w:hAnsi="Times New Roman"/>
                <w:color w:val="000000"/>
                <w:sz w:val="22"/>
                <w:szCs w:val="22"/>
                <w:lang w:val="es-ES" w:eastAsia="es-ES"/>
              </w:rPr>
              <w:t>La ubicación del Link exigido por la norma en comento no es de fácil acceso para esta población en la página web de la entidad, para que los niños, niñas y adolescentes presenten directamente cualquier tipo de solicitud.</w:t>
            </w:r>
          </w:p>
          <w:p w:rsidR="00EA2BA8" w:rsidRPr="006C2538" w:rsidRDefault="00EA2BA8" w:rsidP="002A66C6">
            <w:pPr>
              <w:pStyle w:val="Prrafodelista1"/>
              <w:ind w:left="0" w:right="-674"/>
              <w:rPr>
                <w:rFonts w:ascii="Times New Roman" w:hAnsi="Times New Roman"/>
                <w:color w:val="000000"/>
                <w:sz w:val="22"/>
                <w:szCs w:val="22"/>
                <w:lang w:val="es-ES" w:eastAsia="es-ES"/>
              </w:rPr>
            </w:pPr>
          </w:p>
          <w:p w:rsidR="00473E79" w:rsidRDefault="005A2940" w:rsidP="00796CBE">
            <w:pPr>
              <w:pStyle w:val="Prrafodelista1"/>
              <w:ind w:left="0" w:right="34"/>
              <w:rPr>
                <w:rFonts w:ascii="Times New Roman" w:hAnsi="Times New Roman"/>
                <w:sz w:val="22"/>
                <w:szCs w:val="22"/>
                <w:lang w:val="es-ES"/>
              </w:rPr>
            </w:pPr>
            <w:r w:rsidRPr="00013AC2">
              <w:rPr>
                <w:rFonts w:ascii="Times New Roman" w:hAnsi="Times New Roman"/>
                <w:b/>
                <w:color w:val="000000"/>
                <w:sz w:val="22"/>
                <w:szCs w:val="22"/>
                <w:lang w:val="es-ES" w:eastAsia="es-ES"/>
              </w:rPr>
              <w:t>Informe de seguimiento a la implementación de las normas NIIF en la SDP:</w:t>
            </w:r>
            <w:r w:rsidR="00013AC2">
              <w:rPr>
                <w:rFonts w:ascii="Times New Roman" w:hAnsi="Times New Roman"/>
                <w:b/>
                <w:color w:val="000000"/>
                <w:sz w:val="22"/>
                <w:szCs w:val="22"/>
                <w:lang w:val="es-ES" w:eastAsia="es-ES"/>
              </w:rPr>
              <w:t xml:space="preserve"> </w:t>
            </w:r>
            <w:r w:rsidRPr="006C2538">
              <w:rPr>
                <w:rFonts w:ascii="Times New Roman" w:hAnsi="Times New Roman"/>
                <w:sz w:val="22"/>
                <w:szCs w:val="22"/>
                <w:lang w:val="es-ES"/>
              </w:rPr>
              <w:t xml:space="preserve">El proceso de implementación para el nuevo marco normativo </w:t>
            </w:r>
            <w:r w:rsidR="00796CBE" w:rsidRPr="006C2538">
              <w:rPr>
                <w:rFonts w:ascii="Times New Roman" w:hAnsi="Times New Roman"/>
                <w:sz w:val="22"/>
                <w:szCs w:val="22"/>
                <w:lang w:val="es-ES"/>
              </w:rPr>
              <w:t>contable,</w:t>
            </w:r>
            <w:r w:rsidRPr="006C2538">
              <w:rPr>
                <w:rFonts w:ascii="Times New Roman" w:hAnsi="Times New Roman"/>
                <w:sz w:val="22"/>
                <w:szCs w:val="22"/>
                <w:lang w:val="es-ES"/>
              </w:rPr>
              <w:t xml:space="preserve"> presenta avances significativos  en la migración de dato contables en el módulo LIMA LIMAY, lo cual asegura la continuidad del proceso. Se cuenta con el apoyo y compromiso de la entidad respecto de la implementación del Nuevo Marco Normativo Contable.</w:t>
            </w:r>
            <w:r w:rsidR="00796CBE">
              <w:rPr>
                <w:rFonts w:ascii="Times New Roman" w:hAnsi="Times New Roman"/>
                <w:sz w:val="22"/>
                <w:szCs w:val="22"/>
                <w:lang w:val="es-ES"/>
              </w:rPr>
              <w:t xml:space="preserve"> </w:t>
            </w:r>
            <w:r w:rsidRPr="006C2538">
              <w:rPr>
                <w:rFonts w:ascii="Times New Roman" w:hAnsi="Times New Roman"/>
                <w:sz w:val="22"/>
                <w:szCs w:val="22"/>
                <w:lang w:val="es-ES"/>
              </w:rPr>
              <w:t xml:space="preserve">Se </w:t>
            </w:r>
            <w:r w:rsidR="00473E79" w:rsidRPr="006C2538">
              <w:rPr>
                <w:rFonts w:ascii="Times New Roman" w:hAnsi="Times New Roman"/>
                <w:sz w:val="22"/>
                <w:szCs w:val="22"/>
                <w:lang w:val="es-ES"/>
              </w:rPr>
              <w:t xml:space="preserve">presentaron las siguientes situaciones por mejorar: </w:t>
            </w:r>
          </w:p>
          <w:p w:rsidR="00796CBE" w:rsidRPr="006C2538" w:rsidRDefault="00796CBE" w:rsidP="00796CBE">
            <w:pPr>
              <w:pStyle w:val="Prrafodelista1"/>
              <w:ind w:left="0" w:right="34"/>
              <w:rPr>
                <w:rFonts w:ascii="Times New Roman" w:hAnsi="Times New Roman"/>
                <w:sz w:val="22"/>
                <w:szCs w:val="22"/>
                <w:lang w:val="es-ES"/>
              </w:rPr>
            </w:pPr>
          </w:p>
          <w:p w:rsidR="00796CBE" w:rsidRDefault="00EA2BA8" w:rsidP="00491EF4">
            <w:pPr>
              <w:pStyle w:val="Prrafodelista"/>
              <w:numPr>
                <w:ilvl w:val="0"/>
                <w:numId w:val="14"/>
              </w:numPr>
              <w:spacing w:after="0"/>
              <w:jc w:val="both"/>
              <w:rPr>
                <w:rFonts w:ascii="Times New Roman" w:hAnsi="Times New Roman"/>
                <w:lang w:val="es-ES"/>
              </w:rPr>
            </w:pPr>
            <w:r w:rsidRPr="00796CBE">
              <w:rPr>
                <w:rFonts w:ascii="Times New Roman" w:hAnsi="Times New Roman"/>
                <w:lang w:val="es-ES"/>
              </w:rPr>
              <w:t>El grupo de trabajo interno  nombrado mediante Resolución 1197 de agosto 18 de 2016, debe tener alto grado de certeza  respecto de la transmisión del conocimiento y entendimiento de la finalidad de la implementación del Nuevo Marco Normativo Contable a través de las NIIF, por parte de la Alta Dirección de la entidad,   sus asesores y diferentes jefes de área , que apoyan la gestión; pues, consideramos que  las políticas deben determinar de manera clara y precisa la proyección presupuestal y financiera esperada en el ámbito de la naturaleza de la misionalidad de la entidad; por ejemplo, la Vida útil de  los bienes, periodos de amortización, valores tope o base para la determinación de activaciones de  bienes o su consideración de convertir en gasto, volúmenes de compras e inventarios, entre otros.</w:t>
            </w:r>
          </w:p>
          <w:p w:rsidR="00796CBE" w:rsidRDefault="00EA2BA8" w:rsidP="00491EF4">
            <w:pPr>
              <w:pStyle w:val="Prrafodelista"/>
              <w:numPr>
                <w:ilvl w:val="0"/>
                <w:numId w:val="14"/>
              </w:numPr>
              <w:spacing w:after="0"/>
              <w:jc w:val="both"/>
              <w:rPr>
                <w:rFonts w:ascii="Times New Roman" w:hAnsi="Times New Roman"/>
                <w:lang w:val="es-ES"/>
              </w:rPr>
            </w:pPr>
            <w:r w:rsidRPr="00796CBE">
              <w:rPr>
                <w:rFonts w:ascii="Times New Roman" w:hAnsi="Times New Roman"/>
                <w:lang w:val="es-ES"/>
              </w:rPr>
              <w:t xml:space="preserve">La socialización de las políticas contables con las diferentes áreas, se debe contextualizarse de tal </w:t>
            </w:r>
            <w:r w:rsidR="00796CBE" w:rsidRPr="00796CBE">
              <w:rPr>
                <w:rFonts w:ascii="Times New Roman" w:hAnsi="Times New Roman"/>
                <w:lang w:val="es-ES"/>
              </w:rPr>
              <w:t>manera,</w:t>
            </w:r>
            <w:r w:rsidR="00796CBE">
              <w:rPr>
                <w:rFonts w:ascii="Times New Roman" w:hAnsi="Times New Roman"/>
                <w:lang w:val="es-ES"/>
              </w:rPr>
              <w:t xml:space="preserve"> </w:t>
            </w:r>
            <w:r w:rsidRPr="00796CBE">
              <w:rPr>
                <w:rFonts w:ascii="Times New Roman" w:hAnsi="Times New Roman"/>
                <w:lang w:val="es-ES"/>
              </w:rPr>
              <w:t>que las áreas dueñas de procesos, ofrezcan un apoyo cierto respecto de la forma de aportar ideas   y conocimiento en aras de la obtención de resultados proyectados, metas y objetivos futuros por la  entidad.</w:t>
            </w:r>
          </w:p>
          <w:p w:rsidR="00EA2BA8" w:rsidRPr="00796CBE" w:rsidRDefault="00EA2BA8" w:rsidP="00491EF4">
            <w:pPr>
              <w:pStyle w:val="Prrafodelista"/>
              <w:numPr>
                <w:ilvl w:val="0"/>
                <w:numId w:val="14"/>
              </w:numPr>
              <w:spacing w:after="0"/>
              <w:jc w:val="both"/>
              <w:rPr>
                <w:rFonts w:ascii="Times New Roman" w:hAnsi="Times New Roman"/>
                <w:lang w:val="es-ES"/>
              </w:rPr>
            </w:pPr>
            <w:r w:rsidRPr="00796CBE">
              <w:rPr>
                <w:rFonts w:ascii="Times New Roman" w:hAnsi="Times New Roman"/>
                <w:lang w:val="es-ES"/>
              </w:rPr>
              <w:t>Las políticas contables que se establezcan deben ser acordes con tales proyecciones; por ejemplo,  cumplimiento de metas de austeridad</w:t>
            </w:r>
          </w:p>
          <w:p w:rsidR="00590066" w:rsidRPr="006C2538" w:rsidRDefault="00590066" w:rsidP="002A66C6">
            <w:pPr>
              <w:pStyle w:val="Prrafodelista1"/>
              <w:ind w:left="0" w:right="-674"/>
              <w:rPr>
                <w:rFonts w:ascii="Times New Roman" w:eastAsia="Times New Roman" w:hAnsi="Times New Roman"/>
                <w:sz w:val="22"/>
                <w:szCs w:val="22"/>
                <w:lang w:val="es-ES" w:eastAsia="es-ES"/>
              </w:rPr>
            </w:pPr>
          </w:p>
          <w:p w:rsidR="00AF3993" w:rsidRDefault="00473E79" w:rsidP="00796CBE">
            <w:pPr>
              <w:pStyle w:val="Prrafodelista1"/>
              <w:ind w:left="0"/>
              <w:rPr>
                <w:rFonts w:ascii="Times New Roman" w:eastAsia="Times New Roman" w:hAnsi="Times New Roman"/>
                <w:b/>
                <w:sz w:val="22"/>
                <w:szCs w:val="22"/>
                <w:lang w:val="es-ES" w:eastAsia="es-ES"/>
              </w:rPr>
            </w:pPr>
            <w:r w:rsidRPr="00621268">
              <w:rPr>
                <w:rFonts w:ascii="Times New Roman" w:eastAsia="Times New Roman" w:hAnsi="Times New Roman"/>
                <w:b/>
                <w:sz w:val="22"/>
                <w:szCs w:val="22"/>
                <w:lang w:val="es-ES" w:eastAsia="es-ES"/>
              </w:rPr>
              <w:t>Informe de Seguimien</w:t>
            </w:r>
            <w:r w:rsidR="00796CBE" w:rsidRPr="00621268">
              <w:rPr>
                <w:rFonts w:ascii="Times New Roman" w:eastAsia="Times New Roman" w:hAnsi="Times New Roman"/>
                <w:b/>
                <w:sz w:val="22"/>
                <w:szCs w:val="22"/>
                <w:lang w:val="es-ES" w:eastAsia="es-ES"/>
              </w:rPr>
              <w:t>to a la ejecución Contractual, P</w:t>
            </w:r>
            <w:r w:rsidRPr="00621268">
              <w:rPr>
                <w:rFonts w:ascii="Times New Roman" w:eastAsia="Times New Roman" w:hAnsi="Times New Roman"/>
                <w:b/>
                <w:sz w:val="22"/>
                <w:szCs w:val="22"/>
                <w:lang w:val="es-ES" w:eastAsia="es-ES"/>
              </w:rPr>
              <w:t xml:space="preserve">resupuestal y </w:t>
            </w:r>
            <w:r w:rsidR="00796CBE" w:rsidRPr="00621268">
              <w:rPr>
                <w:rFonts w:ascii="Times New Roman" w:eastAsia="Times New Roman" w:hAnsi="Times New Roman"/>
                <w:b/>
                <w:sz w:val="22"/>
                <w:szCs w:val="22"/>
                <w:lang w:val="es-ES" w:eastAsia="es-ES"/>
              </w:rPr>
              <w:t>A</w:t>
            </w:r>
            <w:r w:rsidRPr="00621268">
              <w:rPr>
                <w:rFonts w:ascii="Times New Roman" w:eastAsia="Times New Roman" w:hAnsi="Times New Roman"/>
                <w:b/>
                <w:sz w:val="22"/>
                <w:szCs w:val="22"/>
                <w:lang w:val="es-ES" w:eastAsia="es-ES"/>
              </w:rPr>
              <w:t xml:space="preserve">vance </w:t>
            </w:r>
            <w:r w:rsidR="00796CBE" w:rsidRPr="00621268">
              <w:rPr>
                <w:rFonts w:ascii="Times New Roman" w:eastAsia="Times New Roman" w:hAnsi="Times New Roman"/>
                <w:b/>
                <w:sz w:val="22"/>
                <w:szCs w:val="22"/>
                <w:lang w:val="es-ES" w:eastAsia="es-ES"/>
              </w:rPr>
              <w:t>F</w:t>
            </w:r>
            <w:r w:rsidRPr="00621268">
              <w:rPr>
                <w:rFonts w:ascii="Times New Roman" w:eastAsia="Times New Roman" w:hAnsi="Times New Roman"/>
                <w:b/>
                <w:sz w:val="22"/>
                <w:szCs w:val="22"/>
                <w:lang w:val="es-ES" w:eastAsia="es-ES"/>
              </w:rPr>
              <w:t>ísico de los compromisos de la SDP en el PDD-Bogotá mejor</w:t>
            </w:r>
            <w:r w:rsidR="003F2FB2" w:rsidRPr="00621268">
              <w:rPr>
                <w:rFonts w:ascii="Times New Roman" w:eastAsia="Times New Roman" w:hAnsi="Times New Roman"/>
                <w:b/>
                <w:sz w:val="22"/>
                <w:szCs w:val="22"/>
                <w:lang w:val="es-ES" w:eastAsia="es-ES"/>
              </w:rPr>
              <w:t xml:space="preserve"> para todos</w:t>
            </w:r>
            <w:r w:rsidR="002B66F0" w:rsidRPr="00621268">
              <w:rPr>
                <w:rFonts w:ascii="Times New Roman" w:eastAsia="Times New Roman" w:hAnsi="Times New Roman"/>
                <w:b/>
                <w:sz w:val="22"/>
                <w:szCs w:val="22"/>
                <w:lang w:val="es-ES" w:eastAsia="es-ES"/>
              </w:rPr>
              <w:t>- 2016</w:t>
            </w:r>
            <w:r w:rsidR="00590066" w:rsidRPr="00621268">
              <w:rPr>
                <w:rFonts w:ascii="Times New Roman" w:eastAsia="Times New Roman" w:hAnsi="Times New Roman"/>
                <w:b/>
                <w:sz w:val="22"/>
                <w:szCs w:val="22"/>
                <w:lang w:val="es-ES" w:eastAsia="es-ES"/>
              </w:rPr>
              <w:t>:</w:t>
            </w:r>
          </w:p>
          <w:p w:rsidR="00CE5E13" w:rsidRPr="00CE5E13" w:rsidRDefault="00CE5E13" w:rsidP="002A66C6">
            <w:pPr>
              <w:pStyle w:val="Prrafodelista1"/>
              <w:ind w:left="0" w:right="-674"/>
              <w:rPr>
                <w:rFonts w:ascii="Times New Roman" w:eastAsia="Times New Roman" w:hAnsi="Times New Roman"/>
                <w:b/>
                <w:sz w:val="22"/>
                <w:szCs w:val="22"/>
                <w:lang w:val="es-ES" w:eastAsia="es-ES"/>
              </w:rPr>
            </w:pPr>
          </w:p>
          <w:p w:rsidR="00796CBE" w:rsidRDefault="00CE5E13" w:rsidP="00796CBE">
            <w:pPr>
              <w:pStyle w:val="Prrafodelista"/>
              <w:tabs>
                <w:tab w:val="left" w:pos="9072"/>
              </w:tabs>
              <w:spacing w:after="0"/>
              <w:ind w:left="0"/>
              <w:jc w:val="both"/>
              <w:rPr>
                <w:rFonts w:ascii="Times New Roman" w:hAnsi="Times New Roman"/>
                <w:lang w:val="es-ES" w:eastAsia="es-ES"/>
              </w:rPr>
            </w:pPr>
            <w:r w:rsidRPr="006C2538">
              <w:rPr>
                <w:rFonts w:ascii="Times New Roman" w:hAnsi="Times New Roman"/>
                <w:b/>
                <w:i/>
                <w:u w:val="single"/>
                <w:lang w:val="es-ES" w:eastAsia="es-ES"/>
              </w:rPr>
              <w:t>Gestión Contractual:</w:t>
            </w:r>
            <w:r w:rsidRPr="006C2538">
              <w:rPr>
                <w:rFonts w:ascii="Times New Roman" w:hAnsi="Times New Roman"/>
                <w:lang w:val="es-ES" w:eastAsia="es-ES"/>
              </w:rPr>
              <w:t xml:space="preserve">  Durante el periodo evaluado julio 1° -</w:t>
            </w:r>
            <w:r w:rsidR="00621268">
              <w:rPr>
                <w:rFonts w:ascii="Times New Roman" w:hAnsi="Times New Roman"/>
                <w:lang w:val="es-ES" w:eastAsia="es-ES"/>
              </w:rPr>
              <w:t xml:space="preserve"> </w:t>
            </w:r>
            <w:r w:rsidRPr="006C2538">
              <w:rPr>
                <w:rFonts w:ascii="Times New Roman" w:hAnsi="Times New Roman"/>
                <w:lang w:val="es-ES" w:eastAsia="es-ES"/>
              </w:rPr>
              <w:t>diciembre 31 de 2016, en el marco del Plan de Desarrollo “Bogotá Mejor Para Todos”, y en cumplimiento del Plan de Contratación de la vigencia 2016, se observ</w:t>
            </w:r>
            <w:r w:rsidR="00836929">
              <w:rPr>
                <w:rFonts w:ascii="Times New Roman" w:hAnsi="Times New Roman"/>
                <w:lang w:val="es-ES" w:eastAsia="es-ES"/>
              </w:rPr>
              <w:t>ó que la contratación realizada</w:t>
            </w:r>
            <w:r w:rsidRPr="006C2538">
              <w:rPr>
                <w:rFonts w:ascii="Times New Roman" w:hAnsi="Times New Roman"/>
                <w:lang w:val="es-ES" w:eastAsia="es-ES"/>
              </w:rPr>
              <w:t xml:space="preserve"> </w:t>
            </w:r>
            <w:r w:rsidR="00836929">
              <w:rPr>
                <w:rFonts w:ascii="Times New Roman" w:hAnsi="Times New Roman"/>
                <w:lang w:val="es-ES" w:eastAsia="es-ES"/>
              </w:rPr>
              <w:t>para la ejecución de los P</w:t>
            </w:r>
            <w:r w:rsidRPr="006C2538">
              <w:rPr>
                <w:rFonts w:ascii="Times New Roman" w:hAnsi="Times New Roman"/>
                <w:lang w:val="es-ES" w:eastAsia="es-ES"/>
              </w:rPr>
              <w:t xml:space="preserve">royectos de </w:t>
            </w:r>
            <w:r w:rsidR="00836929">
              <w:rPr>
                <w:rFonts w:ascii="Times New Roman" w:hAnsi="Times New Roman"/>
                <w:lang w:val="es-ES" w:eastAsia="es-ES"/>
              </w:rPr>
              <w:t>I</w:t>
            </w:r>
            <w:r w:rsidRPr="006C2538">
              <w:rPr>
                <w:rFonts w:ascii="Times New Roman" w:hAnsi="Times New Roman"/>
                <w:lang w:val="es-ES" w:eastAsia="es-ES"/>
              </w:rPr>
              <w:t xml:space="preserve">nversión programados durante dicho periodo, corresponde al 99.98%.  </w:t>
            </w:r>
          </w:p>
          <w:p w:rsidR="00796CBE" w:rsidRDefault="00796CBE" w:rsidP="00796CBE">
            <w:pPr>
              <w:pStyle w:val="Prrafodelista"/>
              <w:tabs>
                <w:tab w:val="left" w:pos="9072"/>
              </w:tabs>
              <w:spacing w:after="0"/>
              <w:ind w:left="0"/>
              <w:jc w:val="both"/>
              <w:rPr>
                <w:rFonts w:ascii="Times New Roman" w:hAnsi="Times New Roman"/>
                <w:lang w:val="es-ES" w:eastAsia="es-ES"/>
              </w:rPr>
            </w:pPr>
          </w:p>
          <w:p w:rsidR="00796CBE" w:rsidRDefault="00796CBE" w:rsidP="00796CBE">
            <w:pPr>
              <w:pStyle w:val="Prrafodelista"/>
              <w:tabs>
                <w:tab w:val="left" w:pos="9072"/>
              </w:tabs>
              <w:spacing w:after="0"/>
              <w:ind w:left="0"/>
              <w:jc w:val="both"/>
              <w:rPr>
                <w:rFonts w:ascii="Times New Roman" w:hAnsi="Times New Roman"/>
                <w:lang w:val="es-ES" w:eastAsia="es-ES"/>
              </w:rPr>
            </w:pPr>
          </w:p>
          <w:p w:rsidR="00796CBE" w:rsidRDefault="00796CBE" w:rsidP="00796CBE">
            <w:pPr>
              <w:pStyle w:val="Prrafodelista"/>
              <w:tabs>
                <w:tab w:val="left" w:pos="9072"/>
              </w:tabs>
              <w:spacing w:after="0"/>
              <w:ind w:left="0"/>
              <w:jc w:val="both"/>
              <w:rPr>
                <w:rFonts w:ascii="Times New Roman" w:hAnsi="Times New Roman"/>
                <w:lang w:val="es-ES" w:eastAsia="es-ES"/>
              </w:rPr>
            </w:pPr>
          </w:p>
          <w:p w:rsidR="00796CBE" w:rsidRDefault="00CE5E13" w:rsidP="00796CBE">
            <w:pPr>
              <w:pStyle w:val="Prrafodelista"/>
              <w:tabs>
                <w:tab w:val="left" w:pos="9072"/>
              </w:tabs>
              <w:spacing w:after="0"/>
              <w:ind w:left="0"/>
              <w:jc w:val="both"/>
              <w:rPr>
                <w:rFonts w:ascii="Times New Roman" w:hAnsi="Times New Roman"/>
                <w:lang w:val="es-ES" w:eastAsia="es-ES"/>
              </w:rPr>
            </w:pPr>
            <w:r w:rsidRPr="006C2538">
              <w:rPr>
                <w:rFonts w:ascii="Times New Roman" w:hAnsi="Times New Roman"/>
                <w:lang w:val="es-ES" w:eastAsia="es-ES"/>
              </w:rPr>
              <w:lastRenderedPageBreak/>
              <w:t xml:space="preserve">Este porcentaje se considera satisfactorio, quedando solamente un 0.02% que corresponde a saldos de procesos contractuales que fueron adjudicados por menor valor a lo solicitado presupuestalmente. Dichos saldos fueron verificados en la Dirección de Gestión Financiera, encontrando que estos ya fueron liberados. </w:t>
            </w:r>
          </w:p>
          <w:p w:rsidR="00796CBE" w:rsidRDefault="00796CBE" w:rsidP="00796CBE">
            <w:pPr>
              <w:pStyle w:val="Prrafodelista"/>
              <w:tabs>
                <w:tab w:val="left" w:pos="9072"/>
              </w:tabs>
              <w:spacing w:after="0"/>
              <w:ind w:left="0"/>
              <w:jc w:val="both"/>
              <w:rPr>
                <w:rFonts w:ascii="Times New Roman" w:hAnsi="Times New Roman"/>
                <w:lang w:val="es-ES" w:eastAsia="es-ES"/>
              </w:rPr>
            </w:pPr>
          </w:p>
          <w:p w:rsidR="00796CBE" w:rsidRDefault="00CE5E13" w:rsidP="00796CBE">
            <w:pPr>
              <w:pStyle w:val="Prrafodelista"/>
              <w:tabs>
                <w:tab w:val="left" w:pos="9072"/>
              </w:tabs>
              <w:spacing w:after="0"/>
              <w:ind w:left="0"/>
              <w:jc w:val="both"/>
              <w:rPr>
                <w:rFonts w:ascii="Times New Roman" w:hAnsi="Times New Roman"/>
                <w:lang w:val="es-ES" w:eastAsia="es-ES"/>
              </w:rPr>
            </w:pPr>
            <w:r w:rsidRPr="00796CBE">
              <w:rPr>
                <w:rFonts w:ascii="Times New Roman" w:hAnsi="Times New Roman"/>
                <w:b/>
                <w:i/>
                <w:u w:val="single"/>
                <w:lang w:val="es-ES" w:eastAsia="es-ES"/>
              </w:rPr>
              <w:t>Gestión Presupuestal</w:t>
            </w:r>
            <w:r w:rsidRPr="00796CBE">
              <w:rPr>
                <w:rFonts w:ascii="Times New Roman" w:hAnsi="Times New Roman"/>
                <w:lang w:val="es-ES" w:eastAsia="es-ES"/>
              </w:rPr>
              <w:t>: Del total del presupuesto de inversión ($15.252 millones) se apropiaron recursos por $10.616 millones</w:t>
            </w:r>
            <w:r w:rsidR="00621268">
              <w:rPr>
                <w:rFonts w:ascii="Times New Roman" w:hAnsi="Times New Roman"/>
                <w:lang w:val="es-ES" w:eastAsia="es-ES"/>
              </w:rPr>
              <w:t xml:space="preserve"> para proyectos de Bogotá M</w:t>
            </w:r>
            <w:r w:rsidRPr="00796CBE">
              <w:rPr>
                <w:rFonts w:ascii="Times New Roman" w:hAnsi="Times New Roman"/>
                <w:lang w:val="es-ES" w:eastAsia="es-ES"/>
              </w:rPr>
              <w:t xml:space="preserve">ejor </w:t>
            </w:r>
            <w:r w:rsidR="00621268">
              <w:rPr>
                <w:rFonts w:ascii="Times New Roman" w:hAnsi="Times New Roman"/>
                <w:lang w:val="es-ES" w:eastAsia="es-ES"/>
              </w:rPr>
              <w:t>P</w:t>
            </w:r>
            <w:r w:rsidRPr="00796CBE">
              <w:rPr>
                <w:rFonts w:ascii="Times New Roman" w:hAnsi="Times New Roman"/>
                <w:lang w:val="es-ES" w:eastAsia="es-ES"/>
              </w:rPr>
              <w:t xml:space="preserve">ara </w:t>
            </w:r>
            <w:r w:rsidR="00621268">
              <w:rPr>
                <w:rFonts w:ascii="Times New Roman" w:hAnsi="Times New Roman"/>
                <w:lang w:val="es-ES" w:eastAsia="es-ES"/>
              </w:rPr>
              <w:t>T</w:t>
            </w:r>
            <w:r w:rsidRPr="00796CBE">
              <w:rPr>
                <w:rFonts w:ascii="Times New Roman" w:hAnsi="Times New Roman"/>
                <w:lang w:val="es-ES" w:eastAsia="es-ES"/>
              </w:rPr>
              <w:t>odos, lo cual representa un 70% del total presupuestado. De los recursos apropiados para los proyectos de inversión se constituyeron registros presupuestales por $10.574 millones lo cual indica una cobertura del 99.6% de ejecución respecto de la apropiación</w:t>
            </w:r>
            <w:r w:rsidR="00621268">
              <w:rPr>
                <w:rFonts w:ascii="Times New Roman" w:hAnsi="Times New Roman"/>
                <w:lang w:val="es-ES" w:eastAsia="es-ES"/>
              </w:rPr>
              <w:t xml:space="preserve">. </w:t>
            </w:r>
            <w:r w:rsidRPr="00796CBE">
              <w:rPr>
                <w:rFonts w:ascii="Times New Roman" w:hAnsi="Times New Roman"/>
                <w:lang w:val="es-ES" w:eastAsia="es-ES"/>
              </w:rPr>
              <w:t>A nivel global se puede observar que el avance en cuanto a la gestión presupuestal de los proyectos de inversión; esta en un nivel satisfactorio de adelanto, gracias a la gestión y compromiso de las áreas encargadas.</w:t>
            </w:r>
          </w:p>
          <w:p w:rsidR="00796CBE" w:rsidRDefault="00796CBE" w:rsidP="00796CBE">
            <w:pPr>
              <w:pStyle w:val="Prrafodelista"/>
              <w:tabs>
                <w:tab w:val="left" w:pos="9072"/>
              </w:tabs>
              <w:spacing w:after="0"/>
              <w:ind w:left="0"/>
              <w:jc w:val="both"/>
              <w:rPr>
                <w:rFonts w:ascii="Times New Roman" w:hAnsi="Times New Roman"/>
                <w:b/>
                <w:i/>
                <w:u w:val="single"/>
                <w:lang w:val="es-ES" w:eastAsia="es-ES"/>
              </w:rPr>
            </w:pPr>
          </w:p>
          <w:p w:rsidR="00CE5E13" w:rsidRDefault="00CE5E13" w:rsidP="00796CBE">
            <w:pPr>
              <w:pStyle w:val="Prrafodelista"/>
              <w:tabs>
                <w:tab w:val="left" w:pos="9072"/>
              </w:tabs>
              <w:spacing w:after="0"/>
              <w:ind w:left="0"/>
              <w:jc w:val="both"/>
              <w:rPr>
                <w:rFonts w:ascii="Times New Roman" w:hAnsi="Times New Roman"/>
                <w:b/>
                <w:lang w:val="es-ES" w:eastAsia="es-ES"/>
              </w:rPr>
            </w:pPr>
            <w:r w:rsidRPr="00796CBE">
              <w:rPr>
                <w:rFonts w:ascii="Times New Roman" w:hAnsi="Times New Roman"/>
                <w:b/>
                <w:i/>
                <w:u w:val="single"/>
                <w:lang w:val="es-ES" w:eastAsia="es-ES"/>
              </w:rPr>
              <w:t>Gestión Física:</w:t>
            </w:r>
            <w:r w:rsidRPr="00796CBE">
              <w:rPr>
                <w:rFonts w:ascii="Times New Roman" w:hAnsi="Times New Roman"/>
                <w:lang w:val="es-ES" w:eastAsia="es-ES"/>
              </w:rPr>
              <w:t xml:space="preserve"> Dada la formulación de los </w:t>
            </w:r>
            <w:r w:rsidR="00621268">
              <w:rPr>
                <w:rFonts w:ascii="Times New Roman" w:hAnsi="Times New Roman"/>
                <w:lang w:val="es-ES" w:eastAsia="es-ES"/>
              </w:rPr>
              <w:t>P</w:t>
            </w:r>
            <w:r w:rsidRPr="00796CBE">
              <w:rPr>
                <w:rFonts w:ascii="Times New Roman" w:hAnsi="Times New Roman"/>
                <w:lang w:val="es-ES" w:eastAsia="es-ES"/>
              </w:rPr>
              <w:t xml:space="preserve">royectos de </w:t>
            </w:r>
            <w:r w:rsidR="00621268">
              <w:rPr>
                <w:rFonts w:ascii="Times New Roman" w:hAnsi="Times New Roman"/>
                <w:lang w:val="es-ES" w:eastAsia="es-ES"/>
              </w:rPr>
              <w:t xml:space="preserve">Inversión, </w:t>
            </w:r>
            <w:r w:rsidRPr="00796CBE">
              <w:rPr>
                <w:rFonts w:ascii="Times New Roman" w:hAnsi="Times New Roman"/>
                <w:lang w:val="es-ES" w:eastAsia="es-ES"/>
              </w:rPr>
              <w:t>se observa que la recomendación que fue enunciada en informes anteriores, relacionada con la revisión de las metodologías para la construcción de objetivos, metas e indicadores brindadas desde el DNP, DAFP y la</w:t>
            </w:r>
            <w:r w:rsidR="00621268">
              <w:rPr>
                <w:rFonts w:ascii="Times New Roman" w:hAnsi="Times New Roman"/>
                <w:lang w:val="es-ES" w:eastAsia="es-ES"/>
              </w:rPr>
              <w:t xml:space="preserve">s líneas estratégicas de la SDP; </w:t>
            </w:r>
            <w:r w:rsidRPr="00796CBE">
              <w:rPr>
                <w:rFonts w:ascii="Times New Roman" w:hAnsi="Times New Roman"/>
                <w:lang w:val="es-ES" w:eastAsia="es-ES"/>
              </w:rPr>
              <w:t xml:space="preserve">fue acogida para el proceso de formulación y construcción del </w:t>
            </w:r>
            <w:r w:rsidR="00621268">
              <w:rPr>
                <w:rFonts w:ascii="Times New Roman" w:hAnsi="Times New Roman"/>
                <w:lang w:val="es-ES" w:eastAsia="es-ES"/>
              </w:rPr>
              <w:t>P</w:t>
            </w:r>
            <w:r w:rsidRPr="00796CBE">
              <w:rPr>
                <w:rFonts w:ascii="Times New Roman" w:hAnsi="Times New Roman"/>
                <w:lang w:val="es-ES" w:eastAsia="es-ES"/>
              </w:rPr>
              <w:t xml:space="preserve">lan </w:t>
            </w:r>
            <w:r w:rsidR="00621268">
              <w:rPr>
                <w:rFonts w:ascii="Times New Roman" w:hAnsi="Times New Roman"/>
                <w:lang w:val="es-ES" w:eastAsia="es-ES"/>
              </w:rPr>
              <w:t>E</w:t>
            </w:r>
            <w:r w:rsidRPr="00796CBE">
              <w:rPr>
                <w:rFonts w:ascii="Times New Roman" w:hAnsi="Times New Roman"/>
                <w:lang w:val="es-ES" w:eastAsia="es-ES"/>
              </w:rPr>
              <w:t>stratégico y los POA de las diferentes áreas</w:t>
            </w:r>
            <w:r w:rsidRPr="00796CBE">
              <w:rPr>
                <w:rFonts w:ascii="Times New Roman" w:hAnsi="Times New Roman"/>
                <w:b/>
                <w:lang w:val="es-ES" w:eastAsia="es-ES"/>
              </w:rPr>
              <w:t>.</w:t>
            </w:r>
          </w:p>
          <w:p w:rsidR="00796CBE" w:rsidRPr="00796CBE" w:rsidRDefault="00796CBE" w:rsidP="00796CBE">
            <w:pPr>
              <w:pStyle w:val="Prrafodelista"/>
              <w:tabs>
                <w:tab w:val="left" w:pos="9072"/>
              </w:tabs>
              <w:spacing w:after="0"/>
              <w:ind w:left="0" w:right="173"/>
              <w:jc w:val="both"/>
              <w:rPr>
                <w:rFonts w:ascii="Times New Roman" w:hAnsi="Times New Roman"/>
                <w:lang w:val="es-ES" w:eastAsia="es-ES"/>
              </w:rPr>
            </w:pPr>
          </w:p>
          <w:p w:rsidR="00CE5E13" w:rsidRPr="00796CBE" w:rsidRDefault="00796CBE" w:rsidP="00796CBE">
            <w:pPr>
              <w:ind w:right="-674"/>
              <w:jc w:val="both"/>
              <w:rPr>
                <w:rFonts w:ascii="Times New Roman" w:hAnsi="Times New Roman"/>
                <w:lang w:val="es-ES"/>
              </w:rPr>
            </w:pPr>
            <w:r>
              <w:rPr>
                <w:rFonts w:ascii="Times New Roman" w:hAnsi="Times New Roman"/>
                <w:lang w:val="es-ES"/>
              </w:rPr>
              <w:t>Así mismo</w:t>
            </w:r>
            <w:r w:rsidR="00CE5E13" w:rsidRPr="00796CBE">
              <w:rPr>
                <w:rFonts w:ascii="Times New Roman" w:hAnsi="Times New Roman"/>
                <w:lang w:val="es-ES"/>
              </w:rPr>
              <w:t xml:space="preserve">, se identificaron las siguientes </w:t>
            </w:r>
            <w:r w:rsidR="00CE5E13" w:rsidRPr="00796CBE">
              <w:rPr>
                <w:rFonts w:ascii="Times New Roman" w:hAnsi="Times New Roman"/>
                <w:b/>
                <w:i/>
                <w:lang w:val="es-ES"/>
              </w:rPr>
              <w:t>debilidades y recomendaciones</w:t>
            </w:r>
            <w:r w:rsidR="00CE5E13" w:rsidRPr="00796CBE">
              <w:rPr>
                <w:rFonts w:ascii="Times New Roman" w:hAnsi="Times New Roman"/>
                <w:lang w:val="es-ES"/>
              </w:rPr>
              <w:t xml:space="preserve">: </w:t>
            </w:r>
          </w:p>
          <w:p w:rsidR="00796CBE" w:rsidRPr="006C2538" w:rsidRDefault="00796CBE" w:rsidP="00796CBE">
            <w:pPr>
              <w:pStyle w:val="Prrafodelista"/>
              <w:spacing w:after="0" w:line="240" w:lineRule="auto"/>
              <w:ind w:left="263" w:right="-674"/>
              <w:jc w:val="both"/>
              <w:rPr>
                <w:rFonts w:ascii="Times New Roman" w:hAnsi="Times New Roman"/>
                <w:lang w:val="es-ES" w:eastAsia="es-ES"/>
              </w:rPr>
            </w:pPr>
          </w:p>
          <w:p w:rsidR="00CE5E13" w:rsidRPr="00621268" w:rsidRDefault="00CE5E13" w:rsidP="00491EF4">
            <w:pPr>
              <w:pStyle w:val="Prrafodelista"/>
              <w:numPr>
                <w:ilvl w:val="0"/>
                <w:numId w:val="15"/>
              </w:numPr>
              <w:spacing w:after="0"/>
              <w:jc w:val="both"/>
              <w:rPr>
                <w:rFonts w:ascii="Times New Roman" w:hAnsi="Times New Roman"/>
                <w:lang w:val="es-ES" w:eastAsia="es-ES"/>
              </w:rPr>
            </w:pPr>
            <w:r w:rsidRPr="00621268">
              <w:rPr>
                <w:rFonts w:ascii="Times New Roman" w:hAnsi="Times New Roman"/>
                <w:b/>
                <w:i/>
                <w:u w:val="single"/>
                <w:lang w:val="es-ES" w:eastAsia="es-ES"/>
              </w:rPr>
              <w:t>Gestión Presupuestal:</w:t>
            </w:r>
            <w:r w:rsidRPr="00621268">
              <w:rPr>
                <w:rFonts w:ascii="Times New Roman" w:hAnsi="Times New Roman"/>
                <w:lang w:val="es-ES" w:eastAsia="es-ES"/>
              </w:rPr>
              <w:t xml:space="preserve"> Se observa que, para los registros presupuestales efectuados, se desembolsaron recursos por $7.614 millones que representan el 72% de los registros presupuestados, lo cual puede denotar falta de planeación del presupuesto.</w:t>
            </w:r>
            <w:r w:rsidR="00621268">
              <w:rPr>
                <w:rFonts w:ascii="Times New Roman" w:hAnsi="Times New Roman"/>
                <w:lang w:val="es-ES" w:eastAsia="es-ES"/>
              </w:rPr>
              <w:t xml:space="preserve"> </w:t>
            </w:r>
            <w:r w:rsidRPr="00621268">
              <w:rPr>
                <w:rFonts w:ascii="Times New Roman" w:hAnsi="Times New Roman"/>
                <w:lang w:val="es-ES" w:eastAsia="es-ES"/>
              </w:rPr>
              <w:t>Al cierre de la vigencia se constituyeron reservas presupuestales para proyectos de inversión de la Bogotá Mejor para Todos por $2.960 millones que corresponden al 97% del total de estas; representando el 28% del valor total de los recursos presupuestados para inversión, en razón a la forma en que fueron contra</w:t>
            </w:r>
            <w:r w:rsidR="00DD7DB7">
              <w:rPr>
                <w:rFonts w:ascii="Times New Roman" w:hAnsi="Times New Roman"/>
                <w:lang w:val="es-ES" w:eastAsia="es-ES"/>
              </w:rPr>
              <w:t xml:space="preserve">tados cada uno de los proyectos; en este sentido, </w:t>
            </w:r>
            <w:r w:rsidRPr="00621268">
              <w:rPr>
                <w:rFonts w:ascii="Times New Roman" w:hAnsi="Times New Roman"/>
                <w:lang w:val="es-ES" w:eastAsia="es-ES"/>
              </w:rPr>
              <w:t>es necesario realizar el monitoreo correspondiente sobre la ejecución de las reservas.</w:t>
            </w:r>
          </w:p>
          <w:p w:rsidR="00CE5E13" w:rsidRPr="006C2538" w:rsidRDefault="00CE5E13" w:rsidP="00CE5E13">
            <w:pPr>
              <w:pStyle w:val="Prrafodelista"/>
              <w:spacing w:after="0"/>
              <w:ind w:left="263" w:right="173"/>
              <w:jc w:val="both"/>
              <w:rPr>
                <w:rFonts w:ascii="Times New Roman" w:hAnsi="Times New Roman"/>
                <w:lang w:val="es-ES" w:eastAsia="es-ES"/>
              </w:rPr>
            </w:pPr>
          </w:p>
          <w:p w:rsidR="00CE5E13" w:rsidRPr="006C2538" w:rsidRDefault="00CE5E13" w:rsidP="00491EF4">
            <w:pPr>
              <w:pStyle w:val="Prrafodelista"/>
              <w:numPr>
                <w:ilvl w:val="0"/>
                <w:numId w:val="15"/>
              </w:numPr>
              <w:spacing w:after="0"/>
              <w:jc w:val="both"/>
              <w:rPr>
                <w:rFonts w:ascii="Times New Roman" w:hAnsi="Times New Roman"/>
                <w:lang w:val="es-ES" w:eastAsia="es-ES"/>
              </w:rPr>
            </w:pPr>
            <w:r w:rsidRPr="006C2538">
              <w:rPr>
                <w:rFonts w:ascii="Times New Roman" w:hAnsi="Times New Roman"/>
                <w:b/>
                <w:i/>
                <w:u w:val="single"/>
                <w:lang w:val="es-ES" w:eastAsia="es-ES"/>
              </w:rPr>
              <w:t>Gestión Física</w:t>
            </w:r>
            <w:r w:rsidRPr="006C2538">
              <w:rPr>
                <w:rFonts w:ascii="Times New Roman" w:hAnsi="Times New Roman"/>
                <w:lang w:val="es-ES" w:eastAsia="es-ES"/>
              </w:rPr>
              <w:t xml:space="preserve">: Es importante llamar la atención sobre el adecuado ejercicio de planeación de metas y actividades en el marco del </w:t>
            </w:r>
            <w:r w:rsidR="00411B34">
              <w:rPr>
                <w:rFonts w:ascii="Times New Roman" w:hAnsi="Times New Roman"/>
                <w:lang w:val="es-ES" w:eastAsia="es-ES"/>
              </w:rPr>
              <w:t>P</w:t>
            </w:r>
            <w:r w:rsidRPr="006C2538">
              <w:rPr>
                <w:rFonts w:ascii="Times New Roman" w:hAnsi="Times New Roman"/>
                <w:lang w:val="es-ES" w:eastAsia="es-ES"/>
              </w:rPr>
              <w:t xml:space="preserve">lan </w:t>
            </w:r>
            <w:r w:rsidR="00411B34">
              <w:rPr>
                <w:rFonts w:ascii="Times New Roman" w:hAnsi="Times New Roman"/>
                <w:lang w:val="es-ES" w:eastAsia="es-ES"/>
              </w:rPr>
              <w:t>O</w:t>
            </w:r>
            <w:r w:rsidRPr="006C2538">
              <w:rPr>
                <w:rFonts w:ascii="Times New Roman" w:hAnsi="Times New Roman"/>
                <w:lang w:val="es-ES" w:eastAsia="es-ES"/>
              </w:rPr>
              <w:t xml:space="preserve">perativo </w:t>
            </w:r>
            <w:r w:rsidR="00411B34">
              <w:rPr>
                <w:rFonts w:ascii="Times New Roman" w:hAnsi="Times New Roman"/>
                <w:lang w:val="es-ES" w:eastAsia="es-ES"/>
              </w:rPr>
              <w:t>A</w:t>
            </w:r>
            <w:r w:rsidRPr="006C2538">
              <w:rPr>
                <w:rFonts w:ascii="Times New Roman" w:hAnsi="Times New Roman"/>
                <w:lang w:val="es-ES" w:eastAsia="es-ES"/>
              </w:rPr>
              <w:t xml:space="preserve">nual y </w:t>
            </w:r>
            <w:r w:rsidR="00DD7DB7">
              <w:rPr>
                <w:rFonts w:ascii="Times New Roman" w:hAnsi="Times New Roman"/>
                <w:lang w:val="es-ES" w:eastAsia="es-ES"/>
              </w:rPr>
              <w:t>en consecuencia</w:t>
            </w:r>
            <w:r w:rsidRPr="006C2538">
              <w:rPr>
                <w:rFonts w:ascii="Times New Roman" w:hAnsi="Times New Roman"/>
                <w:lang w:val="es-ES" w:eastAsia="es-ES"/>
              </w:rPr>
              <w:t xml:space="preserve"> se recomienda tener en cuenta que las actividades formuladas para  llevar a cabo la construcción de informes, diagnósticos, aná</w:t>
            </w:r>
            <w:r w:rsidR="00411B34">
              <w:rPr>
                <w:rFonts w:ascii="Times New Roman" w:hAnsi="Times New Roman"/>
                <w:lang w:val="es-ES" w:eastAsia="es-ES"/>
              </w:rPr>
              <w:t>lisis y todo tipo de documentos</w:t>
            </w:r>
            <w:r w:rsidRPr="006C2538">
              <w:rPr>
                <w:rFonts w:ascii="Times New Roman" w:hAnsi="Times New Roman"/>
                <w:lang w:val="es-ES" w:eastAsia="es-ES"/>
              </w:rPr>
              <w:t xml:space="preserve"> </w:t>
            </w:r>
            <w:r w:rsidR="00DD7DB7">
              <w:rPr>
                <w:rFonts w:ascii="Times New Roman" w:hAnsi="Times New Roman"/>
                <w:lang w:val="es-ES" w:eastAsia="es-ES"/>
              </w:rPr>
              <w:t>requiere</w:t>
            </w:r>
            <w:r w:rsidRPr="006C2538">
              <w:rPr>
                <w:rFonts w:ascii="Times New Roman" w:hAnsi="Times New Roman"/>
                <w:lang w:val="es-ES" w:eastAsia="es-ES"/>
              </w:rPr>
              <w:t xml:space="preserve"> tener en cuenta factor</w:t>
            </w:r>
            <w:r w:rsidR="00DD7DB7">
              <w:rPr>
                <w:rFonts w:ascii="Times New Roman" w:hAnsi="Times New Roman"/>
                <w:lang w:val="es-ES" w:eastAsia="es-ES"/>
              </w:rPr>
              <w:t>es relacionados con complejidad</w:t>
            </w:r>
            <w:r w:rsidRPr="006C2538">
              <w:rPr>
                <w:rFonts w:ascii="Times New Roman" w:hAnsi="Times New Roman"/>
                <w:lang w:val="es-ES" w:eastAsia="es-ES"/>
              </w:rPr>
              <w:t xml:space="preserve"> y alcance de los productos de las metas; partiendo de cronogramas específicos, de variables de gestión y/o de valoraciones históricas; para de este modo, formular un valor tentativo para cada periodo que muestre el avance en la construcción y/o validación de un documento dado en un periodo de tiempo determinado y a su vez sea posible contrarrestar el avance físico con la ejecución presupuestal y la programación contractual.</w:t>
            </w:r>
          </w:p>
          <w:p w:rsidR="00CE5E13" w:rsidRPr="006C2538" w:rsidRDefault="00CE5E13" w:rsidP="00CE5E13">
            <w:pPr>
              <w:pStyle w:val="Prrafodelista"/>
              <w:spacing w:after="0"/>
              <w:ind w:left="263" w:right="173"/>
              <w:jc w:val="both"/>
              <w:rPr>
                <w:rFonts w:ascii="Times New Roman" w:hAnsi="Times New Roman"/>
                <w:lang w:val="es-ES" w:eastAsia="es-ES"/>
              </w:rPr>
            </w:pPr>
          </w:p>
          <w:p w:rsidR="00621268" w:rsidRDefault="00621268" w:rsidP="00621268">
            <w:pPr>
              <w:pStyle w:val="Prrafodelista"/>
              <w:spacing w:after="0"/>
              <w:ind w:left="623" w:right="173"/>
              <w:jc w:val="both"/>
              <w:rPr>
                <w:rFonts w:ascii="Times New Roman" w:hAnsi="Times New Roman"/>
                <w:lang w:val="es-ES" w:eastAsia="es-ES"/>
              </w:rPr>
            </w:pPr>
          </w:p>
          <w:p w:rsidR="00621268" w:rsidRDefault="00621268" w:rsidP="00621268">
            <w:pPr>
              <w:pStyle w:val="Prrafodelista"/>
              <w:spacing w:after="0"/>
              <w:ind w:left="623" w:right="173"/>
              <w:jc w:val="both"/>
              <w:rPr>
                <w:rFonts w:ascii="Times New Roman" w:hAnsi="Times New Roman"/>
                <w:lang w:val="es-ES" w:eastAsia="es-ES"/>
              </w:rPr>
            </w:pPr>
          </w:p>
          <w:p w:rsidR="00621268" w:rsidRDefault="00621268" w:rsidP="00621268">
            <w:pPr>
              <w:pStyle w:val="Prrafodelista"/>
              <w:spacing w:after="0"/>
              <w:ind w:left="623" w:right="173"/>
              <w:jc w:val="both"/>
              <w:rPr>
                <w:rFonts w:ascii="Times New Roman" w:hAnsi="Times New Roman"/>
                <w:lang w:val="es-ES" w:eastAsia="es-ES"/>
              </w:rPr>
            </w:pPr>
          </w:p>
          <w:p w:rsidR="00621268" w:rsidRDefault="00621268" w:rsidP="00621268">
            <w:pPr>
              <w:pStyle w:val="Prrafodelista"/>
              <w:spacing w:after="0"/>
              <w:ind w:left="623" w:right="173"/>
              <w:jc w:val="both"/>
              <w:rPr>
                <w:rFonts w:ascii="Times New Roman" w:hAnsi="Times New Roman"/>
                <w:lang w:val="es-ES" w:eastAsia="es-ES"/>
              </w:rPr>
            </w:pPr>
          </w:p>
          <w:p w:rsidR="00CE5E13" w:rsidRPr="00621268" w:rsidRDefault="00CE5E13" w:rsidP="00621268">
            <w:pPr>
              <w:ind w:left="708"/>
              <w:jc w:val="both"/>
              <w:rPr>
                <w:rFonts w:ascii="Times New Roman" w:hAnsi="Times New Roman"/>
                <w:sz w:val="22"/>
                <w:szCs w:val="22"/>
              </w:rPr>
            </w:pPr>
            <w:r w:rsidRPr="00621268">
              <w:rPr>
                <w:rFonts w:ascii="Times New Roman" w:hAnsi="Times New Roman"/>
                <w:sz w:val="22"/>
                <w:szCs w:val="22"/>
              </w:rPr>
              <w:lastRenderedPageBreak/>
              <w:t>Para los proyectos de inversión No. 989, 984, 994 y 990 se evidencio que han venido avanzando en sus metas específicas de acuerdo con lo programado para el segundo semestre de 2016, sin embargo, es importante enunciar que se dejaron cuentas por pagar para la vigencia 2017; esto dado que se cuenta con el producto, pero para algunos de los contratos, se tiene un saldo a pagar durante el primer trimestre de 2017.</w:t>
            </w:r>
          </w:p>
          <w:p w:rsidR="00CE5E13" w:rsidRPr="00621268" w:rsidRDefault="00CE5E13" w:rsidP="00621268">
            <w:pPr>
              <w:ind w:left="708"/>
              <w:jc w:val="both"/>
              <w:rPr>
                <w:rFonts w:ascii="Times New Roman" w:hAnsi="Times New Roman"/>
                <w:sz w:val="22"/>
                <w:szCs w:val="22"/>
              </w:rPr>
            </w:pPr>
          </w:p>
          <w:p w:rsidR="00CE5E13" w:rsidRPr="00621268" w:rsidRDefault="00CE5E13" w:rsidP="00621268">
            <w:pPr>
              <w:ind w:left="708"/>
              <w:jc w:val="both"/>
              <w:rPr>
                <w:rFonts w:ascii="Times New Roman" w:hAnsi="Times New Roman"/>
                <w:sz w:val="22"/>
                <w:szCs w:val="22"/>
              </w:rPr>
            </w:pPr>
            <w:r w:rsidRPr="00621268">
              <w:rPr>
                <w:rFonts w:ascii="Times New Roman" w:hAnsi="Times New Roman"/>
                <w:sz w:val="22"/>
                <w:szCs w:val="22"/>
              </w:rPr>
              <w:t>En cuanto al proyecto 986 la metas No. 1, 3</w:t>
            </w:r>
            <w:r w:rsidR="00621268" w:rsidRPr="00621268">
              <w:rPr>
                <w:rFonts w:ascii="Times New Roman" w:hAnsi="Times New Roman"/>
                <w:sz w:val="22"/>
                <w:szCs w:val="22"/>
              </w:rPr>
              <w:t>, 4,</w:t>
            </w:r>
            <w:r w:rsidR="00621268">
              <w:rPr>
                <w:rFonts w:ascii="Times New Roman" w:hAnsi="Times New Roman"/>
                <w:sz w:val="22"/>
                <w:szCs w:val="22"/>
              </w:rPr>
              <w:t xml:space="preserve"> </w:t>
            </w:r>
            <w:r w:rsidR="00621268" w:rsidRPr="00621268">
              <w:rPr>
                <w:rFonts w:ascii="Times New Roman" w:hAnsi="Times New Roman"/>
                <w:sz w:val="22"/>
                <w:szCs w:val="22"/>
              </w:rPr>
              <w:t>5</w:t>
            </w:r>
            <w:r w:rsidRPr="00621268">
              <w:rPr>
                <w:rFonts w:ascii="Times New Roman" w:hAnsi="Times New Roman"/>
                <w:sz w:val="22"/>
                <w:szCs w:val="22"/>
              </w:rPr>
              <w:t xml:space="preserve"> y 6, se observa que no se cumplió con lo proyectado para la meta en cuanto a la gestión física, quedando en cuentas por pagar un saldo a cancelar proyectado para el primer trimestre de 2017.  Solamente la Meta No. 7 cumplió en un 100% con lo proyectado en su ejecución contractual, presupuestal y física. </w:t>
            </w:r>
          </w:p>
          <w:p w:rsidR="00CE5E13" w:rsidRDefault="00CE5E13" w:rsidP="00CE5E13">
            <w:pPr>
              <w:ind w:left="142"/>
              <w:jc w:val="both"/>
              <w:rPr>
                <w:rFonts w:ascii="Times New Roman" w:hAnsi="Times New Roman"/>
                <w:sz w:val="22"/>
                <w:szCs w:val="22"/>
              </w:rPr>
            </w:pPr>
          </w:p>
          <w:p w:rsidR="00CE5E13" w:rsidRPr="006C2538" w:rsidRDefault="00CE5E13" w:rsidP="00621268">
            <w:pPr>
              <w:jc w:val="both"/>
              <w:rPr>
                <w:rFonts w:ascii="Times New Roman" w:hAnsi="Times New Roman"/>
                <w:sz w:val="22"/>
                <w:szCs w:val="22"/>
              </w:rPr>
            </w:pPr>
            <w:r w:rsidRPr="006C2538">
              <w:rPr>
                <w:rFonts w:ascii="Times New Roman" w:hAnsi="Times New Roman"/>
                <w:sz w:val="22"/>
                <w:szCs w:val="22"/>
              </w:rPr>
              <w:t xml:space="preserve">Finalmente, se tuvo una dificultad relacionada con los datos e información que arrojaron los </w:t>
            </w:r>
            <w:r w:rsidR="00621268">
              <w:rPr>
                <w:rFonts w:ascii="Times New Roman" w:hAnsi="Times New Roman"/>
                <w:sz w:val="22"/>
                <w:szCs w:val="22"/>
              </w:rPr>
              <w:t>S</w:t>
            </w:r>
            <w:r w:rsidRPr="006C2538">
              <w:rPr>
                <w:rFonts w:ascii="Times New Roman" w:hAnsi="Times New Roman"/>
                <w:sz w:val="22"/>
                <w:szCs w:val="22"/>
              </w:rPr>
              <w:t xml:space="preserve">istemas de </w:t>
            </w:r>
            <w:r w:rsidR="00621268">
              <w:rPr>
                <w:rFonts w:ascii="Times New Roman" w:hAnsi="Times New Roman"/>
                <w:sz w:val="22"/>
                <w:szCs w:val="22"/>
              </w:rPr>
              <w:t>I</w:t>
            </w:r>
            <w:r w:rsidRPr="006C2538">
              <w:rPr>
                <w:rFonts w:ascii="Times New Roman" w:hAnsi="Times New Roman"/>
                <w:sz w:val="22"/>
                <w:szCs w:val="22"/>
              </w:rPr>
              <w:t>nformación para identificar la ejecución de cada una de las metas. Por ejemplo, para el proyecto No. 984 hubo diferencias entre lo reportado por la Dirección Financiera por la gestión presupuestal y lo consignado dentro de la herramienta SII</w:t>
            </w:r>
            <w:r w:rsidR="00621268">
              <w:rPr>
                <w:rFonts w:ascii="Times New Roman" w:hAnsi="Times New Roman"/>
                <w:sz w:val="22"/>
                <w:szCs w:val="22"/>
              </w:rPr>
              <w:t xml:space="preserve">P para la gestión contractual. </w:t>
            </w:r>
            <w:r w:rsidRPr="006C2538">
              <w:rPr>
                <w:rFonts w:ascii="Times New Roman" w:hAnsi="Times New Roman"/>
                <w:sz w:val="22"/>
                <w:szCs w:val="22"/>
              </w:rPr>
              <w:t>En este sentido se recomienda realizar la revisión pertinente para que los sistemas de información den los datos correctos y consistentes.</w:t>
            </w:r>
          </w:p>
          <w:p w:rsidR="00590066" w:rsidRPr="006C2538" w:rsidRDefault="00590066" w:rsidP="002A66C6">
            <w:pPr>
              <w:pStyle w:val="Prrafodelista1"/>
              <w:ind w:left="0" w:right="-674"/>
              <w:rPr>
                <w:rFonts w:ascii="Times New Roman" w:eastAsia="Times New Roman" w:hAnsi="Times New Roman"/>
                <w:sz w:val="22"/>
                <w:szCs w:val="22"/>
                <w:lang w:val="es-ES" w:eastAsia="es-ES"/>
              </w:rPr>
            </w:pPr>
          </w:p>
          <w:p w:rsidR="00E20473" w:rsidRPr="006C2538" w:rsidRDefault="00A87E64" w:rsidP="00621268">
            <w:pPr>
              <w:tabs>
                <w:tab w:val="left" w:pos="9923"/>
              </w:tabs>
              <w:ind w:right="33"/>
              <w:jc w:val="both"/>
              <w:rPr>
                <w:rFonts w:ascii="Times New Roman" w:hAnsi="Times New Roman"/>
                <w:bCs/>
                <w:sz w:val="22"/>
                <w:szCs w:val="22"/>
              </w:rPr>
            </w:pPr>
            <w:r w:rsidRPr="00621268">
              <w:rPr>
                <w:rFonts w:ascii="Times New Roman" w:hAnsi="Times New Roman"/>
                <w:b/>
                <w:sz w:val="22"/>
                <w:szCs w:val="22"/>
                <w:lang w:eastAsia="es-CO"/>
              </w:rPr>
              <w:t xml:space="preserve">Informe de seguimiento a la gestión de los </w:t>
            </w:r>
            <w:r w:rsidR="00621268">
              <w:rPr>
                <w:rFonts w:ascii="Times New Roman" w:hAnsi="Times New Roman"/>
                <w:b/>
                <w:sz w:val="22"/>
                <w:szCs w:val="22"/>
                <w:lang w:eastAsia="es-CO"/>
              </w:rPr>
              <w:t>P</w:t>
            </w:r>
            <w:r w:rsidRPr="00621268">
              <w:rPr>
                <w:rFonts w:ascii="Times New Roman" w:hAnsi="Times New Roman"/>
                <w:b/>
                <w:sz w:val="22"/>
                <w:szCs w:val="22"/>
                <w:lang w:eastAsia="es-CO"/>
              </w:rPr>
              <w:t xml:space="preserve">lanes de </w:t>
            </w:r>
            <w:r w:rsidR="00621268">
              <w:rPr>
                <w:rFonts w:ascii="Times New Roman" w:hAnsi="Times New Roman"/>
                <w:b/>
                <w:sz w:val="22"/>
                <w:szCs w:val="22"/>
                <w:lang w:eastAsia="es-CO"/>
              </w:rPr>
              <w:t>M</w:t>
            </w:r>
            <w:r w:rsidRPr="00621268">
              <w:rPr>
                <w:rFonts w:ascii="Times New Roman" w:hAnsi="Times New Roman"/>
                <w:b/>
                <w:sz w:val="22"/>
                <w:szCs w:val="22"/>
                <w:lang w:eastAsia="es-CO"/>
              </w:rPr>
              <w:t>ejoramiento con corte a 31-03-17</w:t>
            </w:r>
            <w:r w:rsidR="00621268" w:rsidRPr="00621268">
              <w:rPr>
                <w:rFonts w:ascii="Times New Roman" w:hAnsi="Times New Roman"/>
                <w:b/>
                <w:sz w:val="22"/>
                <w:szCs w:val="22"/>
                <w:lang w:eastAsia="es-CO"/>
              </w:rPr>
              <w:t>:</w:t>
            </w:r>
            <w:r w:rsidR="00621268" w:rsidRPr="00621268">
              <w:rPr>
                <w:rFonts w:ascii="Times New Roman" w:hAnsi="Times New Roman"/>
                <w:bCs/>
                <w:sz w:val="22"/>
                <w:szCs w:val="22"/>
              </w:rPr>
              <w:t xml:space="preserve"> Se</w:t>
            </w:r>
            <w:r w:rsidR="006C52EC" w:rsidRPr="006C2538">
              <w:rPr>
                <w:rFonts w:ascii="Times New Roman" w:hAnsi="Times New Roman"/>
                <w:bCs/>
                <w:sz w:val="22"/>
                <w:szCs w:val="22"/>
              </w:rPr>
              <w:t xml:space="preserve"> resalta</w:t>
            </w:r>
            <w:r w:rsidR="00E20473" w:rsidRPr="006C2538">
              <w:rPr>
                <w:rFonts w:ascii="Times New Roman" w:hAnsi="Times New Roman"/>
                <w:bCs/>
                <w:sz w:val="22"/>
                <w:szCs w:val="22"/>
              </w:rPr>
              <w:t xml:space="preserve"> la oportuna actividad de reporte de Planes de Mejoramiento por parte de los responsables. De igual forma, el acompañamiento de la Dirección de Planeación en su rol monitoreo a la gestión y tratamiento de planes de mejoramiento en la SDP.</w:t>
            </w:r>
            <w:r w:rsidR="006C52EC" w:rsidRPr="006C2538">
              <w:rPr>
                <w:rFonts w:ascii="Times New Roman" w:hAnsi="Times New Roman"/>
                <w:bCs/>
                <w:sz w:val="22"/>
                <w:szCs w:val="22"/>
              </w:rPr>
              <w:t xml:space="preserve"> Se concluye que. </w:t>
            </w:r>
          </w:p>
          <w:p w:rsidR="006C52EC" w:rsidRPr="006C2538" w:rsidRDefault="006C52EC" w:rsidP="002A66C6">
            <w:pPr>
              <w:tabs>
                <w:tab w:val="left" w:pos="9923"/>
              </w:tabs>
              <w:ind w:right="425"/>
              <w:jc w:val="both"/>
              <w:rPr>
                <w:rFonts w:ascii="Times New Roman" w:hAnsi="Times New Roman"/>
                <w:bCs/>
                <w:sz w:val="22"/>
                <w:szCs w:val="22"/>
              </w:rPr>
            </w:pPr>
          </w:p>
          <w:p w:rsidR="00E20473" w:rsidRPr="0062126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21268">
              <w:rPr>
                <w:rFonts w:ascii="Times New Roman" w:hAnsi="Times New Roman"/>
                <w:sz w:val="22"/>
                <w:szCs w:val="22"/>
                <w:lang w:val="es-CO" w:eastAsia="en-US"/>
              </w:rPr>
              <w:t>Frente a la eficacia, eficiencia y efectividad de los Planes de mejoramiento de la SDP, se encuentra lo siguiente:</w:t>
            </w:r>
          </w:p>
          <w:p w:rsidR="00E20473" w:rsidRPr="00CE5E13" w:rsidRDefault="00E20473" w:rsidP="00491EF4">
            <w:pPr>
              <w:pStyle w:val="Prrafodelista"/>
              <w:numPr>
                <w:ilvl w:val="0"/>
                <w:numId w:val="7"/>
              </w:numPr>
              <w:tabs>
                <w:tab w:val="left" w:pos="9923"/>
              </w:tabs>
              <w:ind w:right="33"/>
              <w:jc w:val="both"/>
              <w:rPr>
                <w:rFonts w:ascii="Times New Roman" w:hAnsi="Times New Roman"/>
                <w:bCs/>
              </w:rPr>
            </w:pPr>
            <w:r w:rsidRPr="00CE5E13">
              <w:rPr>
                <w:rFonts w:ascii="Times New Roman" w:hAnsi="Times New Roman"/>
                <w:bCs/>
              </w:rPr>
              <w:t>A nivel interno,  se gestionaron al 100%, 59 de 61 planes de mejoramiento.</w:t>
            </w:r>
          </w:p>
          <w:p w:rsidR="00E20473" w:rsidRPr="00CE5E13" w:rsidRDefault="00E20473" w:rsidP="00491EF4">
            <w:pPr>
              <w:pStyle w:val="Prrafodelista"/>
              <w:numPr>
                <w:ilvl w:val="0"/>
                <w:numId w:val="7"/>
              </w:numPr>
              <w:tabs>
                <w:tab w:val="left" w:pos="9923"/>
              </w:tabs>
              <w:ind w:right="33"/>
              <w:jc w:val="both"/>
              <w:rPr>
                <w:rFonts w:ascii="Times New Roman" w:hAnsi="Times New Roman"/>
                <w:bCs/>
              </w:rPr>
            </w:pPr>
            <w:r w:rsidRPr="00CE5E13">
              <w:rPr>
                <w:rFonts w:ascii="Times New Roman" w:hAnsi="Times New Roman"/>
                <w:bCs/>
              </w:rPr>
              <w:t>De la Contraloría de Bogotá, se gestionaron 14 de 14 planes de mejoramiento.</w:t>
            </w:r>
          </w:p>
          <w:p w:rsidR="00E20473" w:rsidRPr="00CE5E13" w:rsidRDefault="00E20473" w:rsidP="00491EF4">
            <w:pPr>
              <w:pStyle w:val="Prrafodelista"/>
              <w:numPr>
                <w:ilvl w:val="0"/>
                <w:numId w:val="7"/>
              </w:numPr>
              <w:tabs>
                <w:tab w:val="left" w:pos="9923"/>
              </w:tabs>
              <w:ind w:right="33"/>
              <w:jc w:val="both"/>
              <w:rPr>
                <w:rFonts w:ascii="Times New Roman" w:hAnsi="Times New Roman"/>
                <w:bCs/>
              </w:rPr>
            </w:pPr>
            <w:r w:rsidRPr="00CE5E13">
              <w:rPr>
                <w:rFonts w:ascii="Times New Roman" w:hAnsi="Times New Roman"/>
                <w:bCs/>
              </w:rPr>
              <w:t xml:space="preserve">Frente a la Contraloría General de la República, los 4 Planes de mejoramiento se encuentran en normal desarrollo. </w:t>
            </w:r>
          </w:p>
          <w:p w:rsidR="00E20473" w:rsidRPr="0062126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21268">
              <w:rPr>
                <w:rFonts w:ascii="Times New Roman" w:hAnsi="Times New Roman"/>
                <w:sz w:val="22"/>
                <w:szCs w:val="22"/>
                <w:lang w:val="es-CO" w:eastAsia="en-US"/>
              </w:rPr>
              <w:t xml:space="preserve">En consecuencia,  se concluye que a </w:t>
            </w:r>
            <w:r w:rsidR="006C52EC" w:rsidRPr="00621268">
              <w:rPr>
                <w:rFonts w:ascii="Times New Roman" w:hAnsi="Times New Roman"/>
                <w:sz w:val="22"/>
                <w:szCs w:val="22"/>
                <w:lang w:val="es-CO" w:eastAsia="en-US"/>
              </w:rPr>
              <w:t>31</w:t>
            </w:r>
            <w:r w:rsidRPr="00621268">
              <w:rPr>
                <w:rFonts w:ascii="Times New Roman" w:hAnsi="Times New Roman"/>
                <w:sz w:val="22"/>
                <w:szCs w:val="22"/>
                <w:lang w:val="es-CO" w:eastAsia="en-US"/>
              </w:rPr>
              <w:t>/03/2017</w:t>
            </w:r>
            <w:r w:rsidR="006C52EC" w:rsidRPr="00621268">
              <w:rPr>
                <w:rFonts w:ascii="Times New Roman" w:hAnsi="Times New Roman"/>
                <w:sz w:val="22"/>
                <w:szCs w:val="22"/>
                <w:lang w:val="es-CO" w:eastAsia="en-US"/>
              </w:rPr>
              <w:t>,</w:t>
            </w:r>
            <w:r w:rsidRPr="00621268">
              <w:rPr>
                <w:rFonts w:ascii="Times New Roman" w:hAnsi="Times New Roman"/>
                <w:sz w:val="22"/>
                <w:szCs w:val="22"/>
                <w:lang w:val="es-CO" w:eastAsia="en-US"/>
              </w:rPr>
              <w:t xml:space="preserve"> </w:t>
            </w:r>
            <w:r w:rsidR="006C52EC" w:rsidRPr="00621268">
              <w:rPr>
                <w:rFonts w:ascii="Times New Roman" w:hAnsi="Times New Roman"/>
                <w:sz w:val="22"/>
                <w:szCs w:val="22"/>
                <w:lang w:val="es-CO" w:eastAsia="en-US"/>
              </w:rPr>
              <w:t xml:space="preserve"> se </w:t>
            </w:r>
            <w:r w:rsidRPr="00621268">
              <w:rPr>
                <w:rFonts w:ascii="Times New Roman" w:hAnsi="Times New Roman"/>
                <w:sz w:val="22"/>
                <w:szCs w:val="22"/>
                <w:lang w:val="es-CO" w:eastAsia="en-US"/>
              </w:rPr>
              <w:t xml:space="preserve">cierra con un  97.3% de EFICACIA  en la gestión del  Plan de Mejoramiento Institucional. </w:t>
            </w:r>
          </w:p>
          <w:p w:rsidR="00E20473" w:rsidRPr="006C2538" w:rsidRDefault="00E20473" w:rsidP="002A66C6">
            <w:pPr>
              <w:tabs>
                <w:tab w:val="left" w:pos="9923"/>
              </w:tabs>
              <w:ind w:left="993" w:right="425"/>
              <w:jc w:val="both"/>
              <w:rPr>
                <w:rFonts w:ascii="Times New Roman" w:hAnsi="Times New Roman"/>
                <w:bCs/>
                <w:sz w:val="22"/>
                <w:szCs w:val="22"/>
                <w:lang w:val="es-CO" w:eastAsia="en-US"/>
              </w:rPr>
            </w:pPr>
          </w:p>
          <w:p w:rsidR="00CE5E13" w:rsidRPr="00CE5E13" w:rsidRDefault="00E20473" w:rsidP="00CE5E13">
            <w:pPr>
              <w:tabs>
                <w:tab w:val="left" w:pos="9923"/>
              </w:tabs>
              <w:ind w:left="720" w:right="425"/>
              <w:jc w:val="both"/>
              <w:rPr>
                <w:rFonts w:ascii="Times New Roman" w:hAnsi="Times New Roman"/>
                <w:bCs/>
              </w:rPr>
            </w:pPr>
            <w:r w:rsidRPr="006C2538">
              <w:object w:dxaOrig="8070" w:dyaOrig="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92.75pt" o:ole="">
                  <v:imagedata r:id="rId8" o:title=""/>
                </v:shape>
                <o:OLEObject Type="Embed" ProgID="PBrush" ShapeID="_x0000_i1025" DrawAspect="Content" ObjectID="_1574756176" r:id="rId9"/>
              </w:object>
            </w:r>
          </w:p>
          <w:p w:rsidR="00E20473" w:rsidRPr="006C2538" w:rsidRDefault="00E20473" w:rsidP="002A66C6">
            <w:pPr>
              <w:tabs>
                <w:tab w:val="left" w:pos="9923"/>
              </w:tabs>
              <w:ind w:left="993" w:right="425"/>
              <w:jc w:val="both"/>
              <w:rPr>
                <w:rFonts w:ascii="Times New Roman" w:hAnsi="Times New Roman"/>
                <w:bCs/>
                <w:sz w:val="22"/>
                <w:szCs w:val="22"/>
                <w:lang w:val="es-CO" w:eastAsia="en-US"/>
              </w:rPr>
            </w:pPr>
          </w:p>
          <w:p w:rsidR="00621268" w:rsidRDefault="00621268" w:rsidP="00621268">
            <w:pPr>
              <w:tabs>
                <w:tab w:val="left" w:pos="9923"/>
              </w:tabs>
              <w:ind w:left="720" w:right="425"/>
              <w:contextualSpacing/>
              <w:jc w:val="both"/>
              <w:rPr>
                <w:rFonts w:ascii="Times New Roman" w:hAnsi="Times New Roman"/>
                <w:sz w:val="22"/>
                <w:szCs w:val="22"/>
                <w:lang w:val="es-CO" w:eastAsia="en-US"/>
              </w:rPr>
            </w:pPr>
          </w:p>
          <w:p w:rsidR="00621268" w:rsidRDefault="00621268" w:rsidP="00621268">
            <w:pPr>
              <w:tabs>
                <w:tab w:val="left" w:pos="9923"/>
              </w:tabs>
              <w:ind w:left="720"/>
              <w:contextualSpacing/>
              <w:jc w:val="both"/>
              <w:rPr>
                <w:rFonts w:ascii="Times New Roman" w:hAnsi="Times New Roman"/>
                <w:sz w:val="22"/>
                <w:szCs w:val="22"/>
                <w:lang w:val="es-CO" w:eastAsia="en-US"/>
              </w:rPr>
            </w:pPr>
          </w:p>
          <w:p w:rsidR="00E20473" w:rsidRPr="0062126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21268">
              <w:rPr>
                <w:rFonts w:ascii="Times New Roman" w:hAnsi="Times New Roman"/>
                <w:sz w:val="22"/>
                <w:szCs w:val="22"/>
                <w:lang w:val="es-CO" w:eastAsia="en-US"/>
              </w:rPr>
              <w:t xml:space="preserve">Frente a los últimos 3 trimestres de la vigencia 2016,  la eficacia en la gestión de los </w:t>
            </w:r>
            <w:r w:rsidR="00621268">
              <w:rPr>
                <w:rFonts w:ascii="Times New Roman" w:hAnsi="Times New Roman"/>
                <w:sz w:val="22"/>
                <w:szCs w:val="22"/>
                <w:lang w:val="es-CO" w:eastAsia="en-US"/>
              </w:rPr>
              <w:t>P</w:t>
            </w:r>
            <w:r w:rsidRPr="00621268">
              <w:rPr>
                <w:rFonts w:ascii="Times New Roman" w:hAnsi="Times New Roman"/>
                <w:sz w:val="22"/>
                <w:szCs w:val="22"/>
                <w:lang w:val="es-CO" w:eastAsia="en-US"/>
              </w:rPr>
              <w:t xml:space="preserve">lanes de </w:t>
            </w:r>
            <w:r w:rsidR="00621268">
              <w:rPr>
                <w:rFonts w:ascii="Times New Roman" w:hAnsi="Times New Roman"/>
                <w:sz w:val="22"/>
                <w:szCs w:val="22"/>
                <w:lang w:val="es-CO" w:eastAsia="en-US"/>
              </w:rPr>
              <w:t>M</w:t>
            </w:r>
            <w:r w:rsidRPr="00621268">
              <w:rPr>
                <w:rFonts w:ascii="Times New Roman" w:hAnsi="Times New Roman"/>
                <w:sz w:val="22"/>
                <w:szCs w:val="22"/>
                <w:lang w:val="es-CO" w:eastAsia="en-US"/>
              </w:rPr>
              <w:t>ejoramiento observa un promedio del 96.6%, con un pico superior durante el período octubr</w:t>
            </w:r>
            <w:r w:rsidR="00411B34">
              <w:rPr>
                <w:rFonts w:ascii="Times New Roman" w:hAnsi="Times New Roman"/>
                <w:sz w:val="22"/>
                <w:szCs w:val="22"/>
                <w:lang w:val="es-CO" w:eastAsia="en-US"/>
              </w:rPr>
              <w:t xml:space="preserve">e y diciembre de la anualidad, </w:t>
            </w:r>
            <w:r w:rsidRPr="00621268">
              <w:rPr>
                <w:rFonts w:ascii="Times New Roman" w:hAnsi="Times New Roman"/>
                <w:sz w:val="22"/>
                <w:szCs w:val="22"/>
                <w:lang w:val="es-CO" w:eastAsia="en-US"/>
              </w:rPr>
              <w:t xml:space="preserve">debido a que la mayoría de </w:t>
            </w:r>
            <w:r w:rsidR="00411B34">
              <w:rPr>
                <w:rFonts w:ascii="Times New Roman" w:hAnsi="Times New Roman"/>
                <w:sz w:val="22"/>
                <w:szCs w:val="22"/>
                <w:lang w:val="es-CO" w:eastAsia="en-US"/>
              </w:rPr>
              <w:t>las acciones son programadas</w:t>
            </w:r>
            <w:r w:rsidRPr="00621268">
              <w:rPr>
                <w:rFonts w:ascii="Times New Roman" w:hAnsi="Times New Roman"/>
                <w:sz w:val="22"/>
                <w:szCs w:val="22"/>
                <w:lang w:val="es-CO" w:eastAsia="en-US"/>
              </w:rPr>
              <w:t xml:space="preserve"> para finalizar en estas fechas. De igual forma, se analiza que en la vigencia 2017 se obtiene un porcentaje de eficacia 97%, el cual responde positivamente a los resultados esperados.</w:t>
            </w:r>
          </w:p>
          <w:p w:rsidR="00E20473" w:rsidRPr="006C253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 xml:space="preserve">Se otorga el </w:t>
            </w:r>
            <w:r w:rsidRPr="006C2538">
              <w:rPr>
                <w:rFonts w:ascii="Times New Roman" w:hAnsi="Times New Roman"/>
                <w:b/>
                <w:sz w:val="22"/>
                <w:szCs w:val="22"/>
                <w:lang w:val="es-CO" w:eastAsia="en-US"/>
              </w:rPr>
              <w:t xml:space="preserve">CIERRE </w:t>
            </w:r>
            <w:r w:rsidRPr="006C2538">
              <w:rPr>
                <w:rFonts w:ascii="Times New Roman" w:hAnsi="Times New Roman"/>
                <w:sz w:val="22"/>
                <w:szCs w:val="22"/>
                <w:lang w:val="es-CO" w:eastAsia="en-US"/>
              </w:rPr>
              <w:t>a 4 acciones culminadas con anticipación.</w:t>
            </w:r>
          </w:p>
          <w:p w:rsidR="00E20473" w:rsidRPr="006C253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 xml:space="preserve">Se califican como </w:t>
            </w:r>
            <w:r w:rsidRPr="006C2538">
              <w:rPr>
                <w:rFonts w:ascii="Times New Roman" w:hAnsi="Times New Roman"/>
                <w:b/>
                <w:sz w:val="22"/>
                <w:szCs w:val="22"/>
                <w:lang w:val="es-CO" w:eastAsia="en-US"/>
              </w:rPr>
              <w:t xml:space="preserve">cumplidas </w:t>
            </w:r>
            <w:r w:rsidRPr="006C2538">
              <w:rPr>
                <w:rFonts w:ascii="Times New Roman" w:hAnsi="Times New Roman"/>
                <w:sz w:val="22"/>
                <w:szCs w:val="22"/>
                <w:lang w:val="es-CO" w:eastAsia="en-US"/>
              </w:rPr>
              <w:t>y</w:t>
            </w:r>
            <w:r w:rsidRPr="006C2538">
              <w:rPr>
                <w:rFonts w:ascii="Times New Roman" w:hAnsi="Times New Roman"/>
                <w:b/>
                <w:sz w:val="22"/>
                <w:szCs w:val="22"/>
                <w:lang w:val="es-CO" w:eastAsia="en-US"/>
              </w:rPr>
              <w:t xml:space="preserve"> en seguimiento, </w:t>
            </w:r>
            <w:r w:rsidRPr="006C2538">
              <w:rPr>
                <w:rFonts w:ascii="Times New Roman" w:hAnsi="Times New Roman"/>
                <w:sz w:val="22"/>
                <w:szCs w:val="22"/>
                <w:lang w:val="es-CO" w:eastAsia="en-US"/>
              </w:rPr>
              <w:t>13 acciones, que si bien se cumplieron en un 100%, la OCI seguirá monitoreando las mismas durante un periodo prudencial con el fin de asegurar la efectividad.</w:t>
            </w:r>
          </w:p>
          <w:p w:rsidR="00E20473" w:rsidRPr="006C253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Se vienen atendiendo las 2 recomendaciones de la Oficina de Control Interno, consignadas en el informe de Planes de Mejoramiento corte 31/12/2016.</w:t>
            </w:r>
          </w:p>
          <w:p w:rsidR="006C52EC" w:rsidRPr="006C2538" w:rsidRDefault="00E20473" w:rsidP="00491EF4">
            <w:pPr>
              <w:numPr>
                <w:ilvl w:val="0"/>
                <w:numId w:val="8"/>
              </w:numPr>
              <w:tabs>
                <w:tab w:val="left" w:pos="9923"/>
              </w:tabs>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No se registran reincidencias en las situaciones críticas y/o hallazgos; lo cual indica,  que los Planes de Mejoramiento formulados, han sido efectivos frente a la mitigación de las causas que dieron origen a los respectivos hallazgos.</w:t>
            </w:r>
          </w:p>
          <w:p w:rsidR="006C52EC" w:rsidRPr="006C2538" w:rsidRDefault="006C52EC" w:rsidP="00491EF4">
            <w:pPr>
              <w:numPr>
                <w:ilvl w:val="0"/>
                <w:numId w:val="8"/>
              </w:numPr>
              <w:tabs>
                <w:tab w:val="left" w:pos="9923"/>
              </w:tabs>
              <w:contextualSpacing/>
              <w:jc w:val="both"/>
              <w:rPr>
                <w:rFonts w:ascii="Times New Roman" w:hAnsi="Times New Roman"/>
                <w:sz w:val="22"/>
                <w:szCs w:val="22"/>
                <w:lang w:val="es-CO" w:eastAsia="en-US"/>
              </w:rPr>
            </w:pPr>
            <w:r w:rsidRPr="006C2538">
              <w:rPr>
                <w:rFonts w:ascii="Times New Roman" w:hAnsi="Times New Roman"/>
                <w:sz w:val="22"/>
                <w:szCs w:val="22"/>
              </w:rPr>
              <w:t>Se registran 2 acciones en estado de vencimiento (</w:t>
            </w:r>
            <w:r w:rsidR="00621268">
              <w:rPr>
                <w:rFonts w:ascii="Times New Roman" w:hAnsi="Times New Roman"/>
                <w:sz w:val="22"/>
                <w:szCs w:val="22"/>
              </w:rPr>
              <w:t>ID</w:t>
            </w:r>
            <w:r w:rsidRPr="006C2538">
              <w:rPr>
                <w:rFonts w:ascii="Times New Roman" w:hAnsi="Times New Roman"/>
                <w:sz w:val="22"/>
                <w:szCs w:val="22"/>
              </w:rPr>
              <w:t xml:space="preserve"> </w:t>
            </w:r>
            <w:r w:rsidRPr="006C2538">
              <w:rPr>
                <w:rFonts w:ascii="Times New Roman" w:hAnsi="Times New Roman"/>
                <w:bCs/>
                <w:sz w:val="22"/>
                <w:szCs w:val="22"/>
              </w:rPr>
              <w:t xml:space="preserve">1519 y 1520), las cuales fueron programadas para finalizar en el mes de Diciembre de la vigencia 2016. Aunque de estas acciones se reportaron avances, es preciso que los responsables de las mismas, atiendan de manera prioritaria estos compromisos de acuerdo con los lineamientos establecidos en el procedimiento </w:t>
            </w:r>
            <w:r w:rsidRPr="006C2538">
              <w:rPr>
                <w:rFonts w:ascii="Times New Roman" w:hAnsi="Times New Roman"/>
                <w:sz w:val="22"/>
                <w:szCs w:val="22"/>
              </w:rPr>
              <w:t>“S-PD-005  Gestión del Plan de Mejoramiento”</w:t>
            </w:r>
            <w:r w:rsidRPr="006C2538">
              <w:rPr>
                <w:rFonts w:ascii="Times New Roman" w:hAnsi="Times New Roman"/>
                <w:bCs/>
                <w:sz w:val="22"/>
                <w:szCs w:val="22"/>
              </w:rPr>
              <w:t>.</w:t>
            </w:r>
          </w:p>
          <w:p w:rsidR="006C52EC" w:rsidRPr="006C2538" w:rsidRDefault="006C52EC" w:rsidP="002A66C6">
            <w:pPr>
              <w:tabs>
                <w:tab w:val="left" w:pos="9923"/>
              </w:tabs>
              <w:ind w:left="927" w:right="425"/>
              <w:contextualSpacing/>
              <w:jc w:val="both"/>
              <w:rPr>
                <w:rFonts w:ascii="Times New Roman" w:hAnsi="Times New Roman"/>
                <w:sz w:val="22"/>
                <w:szCs w:val="22"/>
                <w:lang w:val="es-CO" w:eastAsia="en-US"/>
              </w:rPr>
            </w:pPr>
          </w:p>
          <w:p w:rsidR="00E20473" w:rsidRPr="00726A09" w:rsidRDefault="00411B34" w:rsidP="00726A09">
            <w:pPr>
              <w:tabs>
                <w:tab w:val="left" w:pos="7560"/>
              </w:tabs>
              <w:jc w:val="both"/>
              <w:rPr>
                <w:rFonts w:ascii="Times New Roman" w:hAnsi="Times New Roman"/>
                <w:sz w:val="22"/>
                <w:szCs w:val="22"/>
                <w:lang w:val="es-CO" w:eastAsia="es-CO"/>
              </w:rPr>
            </w:pPr>
            <w:r w:rsidRPr="00726A09">
              <w:rPr>
                <w:rFonts w:ascii="Times New Roman" w:hAnsi="Times New Roman"/>
                <w:b/>
                <w:sz w:val="22"/>
                <w:szCs w:val="22"/>
                <w:lang w:val="es-CO" w:eastAsia="es-CO"/>
              </w:rPr>
              <w:t>Informe de C</w:t>
            </w:r>
            <w:r w:rsidR="00E20473" w:rsidRPr="00726A09">
              <w:rPr>
                <w:rFonts w:ascii="Times New Roman" w:hAnsi="Times New Roman"/>
                <w:b/>
                <w:sz w:val="22"/>
                <w:szCs w:val="22"/>
                <w:lang w:val="es-CO" w:eastAsia="es-CO"/>
              </w:rPr>
              <w:t>omunicaciones SIPA</w:t>
            </w:r>
            <w:r w:rsidRPr="00726A09">
              <w:rPr>
                <w:rFonts w:ascii="Times New Roman" w:hAnsi="Times New Roman"/>
                <w:b/>
                <w:sz w:val="22"/>
                <w:szCs w:val="22"/>
                <w:lang w:val="es-CO" w:eastAsia="es-CO"/>
              </w:rPr>
              <w:t xml:space="preserve"> periodo</w:t>
            </w:r>
            <w:r w:rsidR="00E20473" w:rsidRPr="00726A09">
              <w:rPr>
                <w:rFonts w:ascii="Times New Roman" w:hAnsi="Times New Roman"/>
                <w:b/>
                <w:sz w:val="22"/>
                <w:szCs w:val="22"/>
                <w:lang w:val="es-CO" w:eastAsia="es-CO"/>
              </w:rPr>
              <w:t xml:space="preserve"> enero-marzo de 2017: </w:t>
            </w:r>
            <w:r w:rsidR="00D3394C" w:rsidRPr="00726A09">
              <w:rPr>
                <w:rFonts w:ascii="Times New Roman" w:hAnsi="Times New Roman"/>
                <w:sz w:val="22"/>
                <w:szCs w:val="22"/>
                <w:lang w:val="es-CO" w:eastAsia="es-CO"/>
              </w:rPr>
              <w:t xml:space="preserve">Para el periodo en seguimiento se </w:t>
            </w:r>
            <w:r w:rsidR="00E20473" w:rsidRPr="00726A09">
              <w:rPr>
                <w:rFonts w:ascii="Times New Roman" w:hAnsi="Times New Roman"/>
                <w:sz w:val="22"/>
                <w:szCs w:val="22"/>
                <w:lang w:val="es-CO" w:eastAsia="es-CO"/>
              </w:rPr>
              <w:t>presentaron 20. 104 registros</w:t>
            </w:r>
            <w:r w:rsidR="00D3394C" w:rsidRPr="00726A09">
              <w:rPr>
                <w:rFonts w:ascii="Times New Roman" w:hAnsi="Times New Roman"/>
                <w:sz w:val="22"/>
                <w:szCs w:val="22"/>
                <w:lang w:val="es-CO" w:eastAsia="es-CO"/>
              </w:rPr>
              <w:t xml:space="preserve"> de los cuales</w:t>
            </w:r>
            <w:r w:rsidRPr="00726A09">
              <w:rPr>
                <w:rFonts w:ascii="Times New Roman" w:hAnsi="Times New Roman"/>
                <w:sz w:val="22"/>
                <w:szCs w:val="22"/>
                <w:lang w:val="es-CO" w:eastAsia="es-CO"/>
              </w:rPr>
              <w:t>:</w:t>
            </w:r>
            <w:r w:rsidR="00E20473" w:rsidRPr="00726A09">
              <w:rPr>
                <w:rFonts w:ascii="Times New Roman" w:hAnsi="Times New Roman"/>
                <w:sz w:val="22"/>
                <w:szCs w:val="22"/>
                <w:lang w:val="es-CO" w:eastAsia="es-CO"/>
              </w:rPr>
              <w:t xml:space="preserve"> </w:t>
            </w:r>
            <w:r w:rsidR="00D3394C" w:rsidRPr="00726A09">
              <w:rPr>
                <w:rFonts w:ascii="Times New Roman" w:hAnsi="Times New Roman"/>
                <w:sz w:val="22"/>
                <w:szCs w:val="22"/>
                <w:lang w:val="es-CO" w:eastAsia="es-CO"/>
              </w:rPr>
              <w:t xml:space="preserve">17.264 </w:t>
            </w:r>
            <w:r w:rsidR="00E20473" w:rsidRPr="00726A09">
              <w:rPr>
                <w:rFonts w:ascii="Times New Roman" w:hAnsi="Times New Roman"/>
                <w:sz w:val="22"/>
                <w:szCs w:val="22"/>
                <w:lang w:val="es-CO" w:eastAsia="es-CO"/>
              </w:rPr>
              <w:t>finalizaron a</w:t>
            </w:r>
            <w:r w:rsidR="00D3394C" w:rsidRPr="00726A09">
              <w:rPr>
                <w:rFonts w:ascii="Times New Roman" w:hAnsi="Times New Roman"/>
                <w:sz w:val="22"/>
                <w:szCs w:val="22"/>
                <w:lang w:val="es-CO" w:eastAsia="es-CO"/>
              </w:rPr>
              <w:t xml:space="preserve">  tiempo (98.3%)</w:t>
            </w:r>
            <w:r w:rsidR="00E20473" w:rsidRPr="00726A09">
              <w:rPr>
                <w:rFonts w:ascii="Times New Roman" w:hAnsi="Times New Roman"/>
                <w:sz w:val="22"/>
                <w:szCs w:val="22"/>
                <w:lang w:val="es-CO" w:eastAsia="es-CO"/>
              </w:rPr>
              <w:t xml:space="preserve">, 152 fuera del tiempo establecido </w:t>
            </w:r>
            <w:r w:rsidR="00D3394C" w:rsidRPr="00726A09">
              <w:rPr>
                <w:rFonts w:ascii="Times New Roman" w:hAnsi="Times New Roman"/>
                <w:sz w:val="22"/>
                <w:szCs w:val="22"/>
                <w:lang w:val="es-CO" w:eastAsia="es-CO"/>
              </w:rPr>
              <w:t>(0.87</w:t>
            </w:r>
            <w:r w:rsidR="00E20473" w:rsidRPr="00726A09">
              <w:rPr>
                <w:rFonts w:ascii="Times New Roman" w:hAnsi="Times New Roman"/>
                <w:sz w:val="22"/>
                <w:szCs w:val="22"/>
                <w:lang w:val="es-CO" w:eastAsia="es-CO"/>
              </w:rPr>
              <w:t xml:space="preserve">%) y 143 en estado de vencidos </w:t>
            </w:r>
            <w:r w:rsidR="00D3394C" w:rsidRPr="00726A09">
              <w:rPr>
                <w:rFonts w:ascii="Times New Roman" w:hAnsi="Times New Roman"/>
                <w:sz w:val="22"/>
                <w:szCs w:val="22"/>
                <w:lang w:val="es-CO" w:eastAsia="es-CO"/>
              </w:rPr>
              <w:t>(0.81</w:t>
            </w:r>
            <w:r w:rsidR="00E20473" w:rsidRPr="00726A09">
              <w:rPr>
                <w:rFonts w:ascii="Times New Roman" w:hAnsi="Times New Roman"/>
                <w:sz w:val="22"/>
                <w:szCs w:val="22"/>
                <w:lang w:val="es-CO" w:eastAsia="es-CO"/>
              </w:rPr>
              <w:t>%). Se identifica como causa de los atrasos la inestabilidad temporal de la planta de temporal con ocasión de la convocatoria 323, por concurso de méritos, para proveer vacantes. Se reconoce de igual manera, la importancia del sistema SIPA, instrumento que permite revisar y monitorear en tiempo real la gestión de la comunicaciones en la entidad; herramienta, a la que tienen acceso todos los servidores, lo cual permite aplicar oportunamente los controles.</w:t>
            </w:r>
          </w:p>
          <w:p w:rsidR="00CE5E13" w:rsidRPr="006C2538" w:rsidRDefault="00CE5E13" w:rsidP="002A66C6">
            <w:pPr>
              <w:spacing w:line="276" w:lineRule="auto"/>
              <w:jc w:val="both"/>
              <w:rPr>
                <w:rFonts w:ascii="Times New Roman" w:hAnsi="Times New Roman"/>
                <w:sz w:val="22"/>
                <w:szCs w:val="22"/>
                <w:lang w:val="es-CO" w:eastAsia="es-CO"/>
              </w:rPr>
            </w:pPr>
          </w:p>
          <w:p w:rsidR="006C52EC" w:rsidRPr="006C2538" w:rsidRDefault="006C52EC" w:rsidP="002A66C6">
            <w:pPr>
              <w:tabs>
                <w:tab w:val="left" w:pos="7560"/>
              </w:tabs>
              <w:jc w:val="both"/>
              <w:rPr>
                <w:rFonts w:ascii="Times New Roman" w:hAnsi="Times New Roman"/>
                <w:sz w:val="22"/>
                <w:szCs w:val="22"/>
                <w:lang w:val="es-CO" w:eastAsia="en-US"/>
              </w:rPr>
            </w:pPr>
            <w:r w:rsidRPr="00D3394C">
              <w:rPr>
                <w:rFonts w:ascii="Times New Roman" w:hAnsi="Times New Roman"/>
                <w:b/>
                <w:sz w:val="22"/>
                <w:szCs w:val="22"/>
                <w:lang w:val="es-CO" w:eastAsia="es-CO"/>
              </w:rPr>
              <w:t xml:space="preserve">Informe de Evaluación y cumplimiento de los lineamientos definidos para la </w:t>
            </w:r>
            <w:r w:rsidR="00D3394C">
              <w:rPr>
                <w:rFonts w:ascii="Times New Roman" w:hAnsi="Times New Roman"/>
                <w:b/>
                <w:sz w:val="22"/>
                <w:szCs w:val="22"/>
                <w:lang w:val="es-CO" w:eastAsia="es-CO"/>
              </w:rPr>
              <w:t>A</w:t>
            </w:r>
            <w:r w:rsidRPr="00D3394C">
              <w:rPr>
                <w:rFonts w:ascii="Times New Roman" w:hAnsi="Times New Roman"/>
                <w:b/>
                <w:sz w:val="22"/>
                <w:szCs w:val="22"/>
                <w:lang w:val="es-CO" w:eastAsia="es-CO"/>
              </w:rPr>
              <w:t xml:space="preserve">usteridad del Gasto Público </w:t>
            </w:r>
            <w:r w:rsidR="00D3394C">
              <w:rPr>
                <w:rFonts w:ascii="Times New Roman" w:hAnsi="Times New Roman"/>
                <w:b/>
                <w:sz w:val="22"/>
                <w:szCs w:val="22"/>
                <w:lang w:val="es-CO" w:eastAsia="es-CO"/>
              </w:rPr>
              <w:t>periodo e</w:t>
            </w:r>
            <w:r w:rsidRPr="00D3394C">
              <w:rPr>
                <w:rFonts w:ascii="Times New Roman" w:hAnsi="Times New Roman"/>
                <w:b/>
                <w:sz w:val="22"/>
                <w:szCs w:val="22"/>
                <w:lang w:val="es-CO" w:eastAsia="es-CO"/>
              </w:rPr>
              <w:t>nero</w:t>
            </w:r>
            <w:r w:rsidR="00D3394C">
              <w:rPr>
                <w:rFonts w:ascii="Times New Roman" w:hAnsi="Times New Roman"/>
                <w:b/>
                <w:sz w:val="22"/>
                <w:szCs w:val="22"/>
                <w:lang w:val="es-CO" w:eastAsia="es-CO"/>
              </w:rPr>
              <w:t xml:space="preserve"> </w:t>
            </w:r>
            <w:r w:rsidRPr="00D3394C">
              <w:rPr>
                <w:rFonts w:ascii="Times New Roman" w:hAnsi="Times New Roman"/>
                <w:b/>
                <w:sz w:val="22"/>
                <w:szCs w:val="22"/>
                <w:lang w:val="es-CO" w:eastAsia="es-CO"/>
              </w:rPr>
              <w:t>-</w:t>
            </w:r>
            <w:r w:rsidR="00D3394C">
              <w:rPr>
                <w:rFonts w:ascii="Times New Roman" w:hAnsi="Times New Roman"/>
                <w:b/>
                <w:sz w:val="22"/>
                <w:szCs w:val="22"/>
                <w:lang w:val="es-CO" w:eastAsia="es-CO"/>
              </w:rPr>
              <w:t xml:space="preserve"> m</w:t>
            </w:r>
            <w:r w:rsidRPr="00D3394C">
              <w:rPr>
                <w:rFonts w:ascii="Times New Roman" w:hAnsi="Times New Roman"/>
                <w:b/>
                <w:sz w:val="22"/>
                <w:szCs w:val="22"/>
                <w:lang w:val="es-CO" w:eastAsia="es-CO"/>
              </w:rPr>
              <w:t>arzo de 2017:</w:t>
            </w:r>
            <w:r w:rsidRPr="006C2538">
              <w:rPr>
                <w:rFonts w:ascii="Times New Roman" w:hAnsi="Times New Roman"/>
                <w:sz w:val="22"/>
                <w:szCs w:val="22"/>
                <w:lang w:val="es-CO" w:eastAsia="en-US"/>
              </w:rPr>
              <w:t xml:space="preserve"> </w:t>
            </w:r>
            <w:r w:rsidR="00D3394C">
              <w:rPr>
                <w:rFonts w:ascii="Times New Roman" w:hAnsi="Times New Roman"/>
                <w:sz w:val="22"/>
                <w:szCs w:val="22"/>
                <w:lang w:val="es-CO" w:eastAsia="en-US"/>
              </w:rPr>
              <w:t xml:space="preserve">Los resultados permiten concluir </w:t>
            </w:r>
            <w:r w:rsidRPr="006C2538">
              <w:rPr>
                <w:rFonts w:ascii="Times New Roman" w:hAnsi="Times New Roman"/>
                <w:sz w:val="22"/>
                <w:szCs w:val="22"/>
                <w:lang w:val="es-CO" w:eastAsia="en-US"/>
              </w:rPr>
              <w:t>que durante el pr</w:t>
            </w:r>
            <w:r w:rsidR="00D3394C">
              <w:rPr>
                <w:rFonts w:ascii="Times New Roman" w:hAnsi="Times New Roman"/>
                <w:sz w:val="22"/>
                <w:szCs w:val="22"/>
                <w:lang w:val="es-CO" w:eastAsia="en-US"/>
              </w:rPr>
              <w:t xml:space="preserve">imer trimestre del presente año se registra, en términos generales, un </w:t>
            </w:r>
            <w:r w:rsidRPr="006C2538">
              <w:rPr>
                <w:rFonts w:ascii="Times New Roman" w:hAnsi="Times New Roman"/>
                <w:sz w:val="22"/>
                <w:szCs w:val="22"/>
                <w:lang w:val="es-CO" w:eastAsia="en-US"/>
              </w:rPr>
              <w:t xml:space="preserve">adecuado cumplimiento en materia </w:t>
            </w:r>
            <w:r w:rsidR="00D3394C">
              <w:rPr>
                <w:rFonts w:ascii="Times New Roman" w:hAnsi="Times New Roman"/>
                <w:sz w:val="22"/>
                <w:szCs w:val="22"/>
                <w:lang w:val="es-CO" w:eastAsia="en-US"/>
              </w:rPr>
              <w:t>A</w:t>
            </w:r>
            <w:r w:rsidRPr="006C2538">
              <w:rPr>
                <w:rFonts w:ascii="Times New Roman" w:hAnsi="Times New Roman"/>
                <w:sz w:val="22"/>
                <w:szCs w:val="22"/>
                <w:lang w:val="es-CO" w:eastAsia="en-US"/>
              </w:rPr>
              <w:t xml:space="preserve">usteridad del </w:t>
            </w:r>
            <w:r w:rsidR="00D3394C">
              <w:rPr>
                <w:rFonts w:ascii="Times New Roman" w:hAnsi="Times New Roman"/>
                <w:sz w:val="22"/>
                <w:szCs w:val="22"/>
                <w:lang w:val="es-CO" w:eastAsia="en-US"/>
              </w:rPr>
              <w:t>G</w:t>
            </w:r>
            <w:r w:rsidRPr="006C2538">
              <w:rPr>
                <w:rFonts w:ascii="Times New Roman" w:hAnsi="Times New Roman"/>
                <w:sz w:val="22"/>
                <w:szCs w:val="22"/>
                <w:lang w:val="es-CO" w:eastAsia="en-US"/>
              </w:rPr>
              <w:t xml:space="preserve">asto </w:t>
            </w:r>
            <w:r w:rsidR="00D3394C">
              <w:rPr>
                <w:rFonts w:ascii="Times New Roman" w:hAnsi="Times New Roman"/>
                <w:sz w:val="22"/>
                <w:szCs w:val="22"/>
                <w:lang w:val="es-CO" w:eastAsia="en-US"/>
              </w:rPr>
              <w:t>P</w:t>
            </w:r>
            <w:r w:rsidRPr="006C2538">
              <w:rPr>
                <w:rFonts w:ascii="Times New Roman" w:hAnsi="Times New Roman"/>
                <w:sz w:val="22"/>
                <w:szCs w:val="22"/>
                <w:lang w:val="es-CO" w:eastAsia="en-US"/>
              </w:rPr>
              <w:t>úblico por parte de la SPD, observando las disposiciones legales generales y la reg</w:t>
            </w:r>
            <w:r w:rsidR="00D3394C">
              <w:rPr>
                <w:rFonts w:ascii="Times New Roman" w:hAnsi="Times New Roman"/>
                <w:sz w:val="22"/>
                <w:szCs w:val="22"/>
                <w:lang w:val="es-CO" w:eastAsia="en-US"/>
              </w:rPr>
              <w:t>lamentación interna al respecto.</w:t>
            </w:r>
            <w:r w:rsidRPr="006C2538">
              <w:rPr>
                <w:rFonts w:ascii="Times New Roman" w:hAnsi="Times New Roman"/>
                <w:sz w:val="22"/>
                <w:szCs w:val="22"/>
                <w:lang w:val="es-CO" w:eastAsia="en-US"/>
              </w:rPr>
              <w:t xml:space="preserve"> </w:t>
            </w:r>
            <w:r w:rsidR="00D3394C">
              <w:rPr>
                <w:rFonts w:ascii="Times New Roman" w:hAnsi="Times New Roman"/>
                <w:sz w:val="22"/>
                <w:szCs w:val="22"/>
                <w:lang w:val="es-CO" w:eastAsia="en-US"/>
              </w:rPr>
              <w:t xml:space="preserve">Los gastos, en sus diferentes rubros, </w:t>
            </w:r>
            <w:r w:rsidRPr="006C2538">
              <w:rPr>
                <w:rFonts w:ascii="Times New Roman" w:hAnsi="Times New Roman"/>
                <w:sz w:val="22"/>
                <w:szCs w:val="22"/>
                <w:lang w:val="es-CO" w:eastAsia="en-US"/>
              </w:rPr>
              <w:t>se encuentran debidamente justificados y ejecutados de conformidad a las necesidades propias del funcionamient</w:t>
            </w:r>
            <w:r w:rsidR="00D3394C">
              <w:rPr>
                <w:rFonts w:ascii="Times New Roman" w:hAnsi="Times New Roman"/>
                <w:sz w:val="22"/>
                <w:szCs w:val="22"/>
                <w:lang w:val="es-CO" w:eastAsia="en-US"/>
              </w:rPr>
              <w:t>o y prestación del servicio, y van</w:t>
            </w:r>
            <w:r w:rsidRPr="006C2538">
              <w:rPr>
                <w:rFonts w:ascii="Times New Roman" w:hAnsi="Times New Roman"/>
                <w:sz w:val="22"/>
                <w:szCs w:val="22"/>
                <w:lang w:val="es-CO" w:eastAsia="en-US"/>
              </w:rPr>
              <w:t xml:space="preserve"> acorde a las asignaciones presupuestales autorizadas para la vigencia.</w:t>
            </w:r>
          </w:p>
          <w:p w:rsidR="00DA7ED0" w:rsidRDefault="006C52EC" w:rsidP="002A66C6">
            <w:pPr>
              <w:autoSpaceDE w:val="0"/>
              <w:autoSpaceDN w:val="0"/>
              <w:adjustRightInd w:val="0"/>
              <w:jc w:val="both"/>
              <w:rPr>
                <w:rFonts w:ascii="Times New Roman" w:hAnsi="Times New Roman"/>
                <w:sz w:val="22"/>
                <w:szCs w:val="22"/>
                <w:lang w:val="es-CO" w:eastAsia="en-US"/>
              </w:rPr>
            </w:pPr>
            <w:r w:rsidRPr="006C2538">
              <w:rPr>
                <w:rFonts w:ascii="Times New Roman" w:hAnsi="Times New Roman"/>
                <w:sz w:val="22"/>
                <w:szCs w:val="22"/>
                <w:lang w:val="es-CO" w:eastAsia="en-US"/>
              </w:rPr>
              <w:t>En términos generales las variaciones presentadas se soportan en l</w:t>
            </w:r>
            <w:r w:rsidR="00D3394C">
              <w:rPr>
                <w:rFonts w:ascii="Times New Roman" w:hAnsi="Times New Roman"/>
                <w:sz w:val="22"/>
                <w:szCs w:val="22"/>
                <w:lang w:val="es-CO" w:eastAsia="en-US"/>
              </w:rPr>
              <w:t>a dinámica propia de la entidad</w:t>
            </w:r>
            <w:r w:rsidRPr="006C2538">
              <w:rPr>
                <w:rFonts w:ascii="Times New Roman" w:hAnsi="Times New Roman"/>
                <w:sz w:val="22"/>
                <w:szCs w:val="22"/>
                <w:lang w:val="es-CO" w:eastAsia="en-US"/>
              </w:rPr>
              <w:t xml:space="preserve"> y aseguran el ejercicio de l</w:t>
            </w:r>
            <w:r w:rsidR="00D3394C">
              <w:rPr>
                <w:rFonts w:ascii="Times New Roman" w:hAnsi="Times New Roman"/>
                <w:sz w:val="22"/>
                <w:szCs w:val="22"/>
                <w:lang w:val="es-CO" w:eastAsia="en-US"/>
              </w:rPr>
              <w:t xml:space="preserve">a función pública. No obstante, </w:t>
            </w:r>
            <w:r w:rsidRPr="006C2538">
              <w:rPr>
                <w:rFonts w:ascii="Times New Roman" w:hAnsi="Times New Roman"/>
                <w:sz w:val="22"/>
                <w:szCs w:val="22"/>
                <w:lang w:val="es-CO" w:eastAsia="en-US"/>
              </w:rPr>
              <w:t>se identifican aspectos ya presentados en anteriores informes que es preciso revisar ya que fortalecen el cumplimiento de las me</w:t>
            </w:r>
            <w:r w:rsidR="00D3394C">
              <w:rPr>
                <w:rFonts w:ascii="Times New Roman" w:hAnsi="Times New Roman"/>
                <w:sz w:val="22"/>
                <w:szCs w:val="22"/>
                <w:lang w:val="es-CO" w:eastAsia="en-US"/>
              </w:rPr>
              <w:t xml:space="preserve">tas y política de austeridad, y, por otra parte, </w:t>
            </w:r>
            <w:r w:rsidRPr="006C2538">
              <w:rPr>
                <w:rFonts w:ascii="Times New Roman" w:hAnsi="Times New Roman"/>
                <w:sz w:val="22"/>
                <w:szCs w:val="22"/>
                <w:lang w:val="es-CO" w:eastAsia="en-US"/>
              </w:rPr>
              <w:t>ofrecen mayores beneficios en términos de funcionamiento y resulta</w:t>
            </w:r>
            <w:r w:rsidR="00DA7ED0" w:rsidRPr="006C2538">
              <w:rPr>
                <w:rFonts w:ascii="Times New Roman" w:hAnsi="Times New Roman"/>
                <w:sz w:val="22"/>
                <w:szCs w:val="22"/>
                <w:lang w:val="es-CO" w:eastAsia="en-US"/>
              </w:rPr>
              <w:t>dos.</w:t>
            </w:r>
          </w:p>
          <w:p w:rsidR="00CE5E13" w:rsidRPr="006C2538" w:rsidRDefault="00CE5E13" w:rsidP="002A66C6">
            <w:pPr>
              <w:autoSpaceDE w:val="0"/>
              <w:autoSpaceDN w:val="0"/>
              <w:adjustRightInd w:val="0"/>
              <w:jc w:val="both"/>
              <w:rPr>
                <w:rFonts w:ascii="Times New Roman" w:hAnsi="Times New Roman"/>
                <w:sz w:val="22"/>
                <w:szCs w:val="22"/>
                <w:lang w:val="es-CO" w:eastAsia="en-US"/>
              </w:rPr>
            </w:pPr>
          </w:p>
          <w:p w:rsidR="00726A09" w:rsidRDefault="00DA7ED0" w:rsidP="002A66C6">
            <w:pPr>
              <w:autoSpaceDE w:val="0"/>
              <w:autoSpaceDN w:val="0"/>
              <w:adjustRightInd w:val="0"/>
              <w:jc w:val="both"/>
              <w:rPr>
                <w:rFonts w:ascii="Times New Roman" w:hAnsi="Times New Roman"/>
                <w:iCs/>
                <w:noProof/>
                <w:sz w:val="22"/>
                <w:szCs w:val="22"/>
                <w:lang w:val="es-ES" w:eastAsia="es-CO"/>
              </w:rPr>
            </w:pPr>
            <w:r w:rsidRPr="00726A09">
              <w:rPr>
                <w:rFonts w:ascii="Times New Roman" w:hAnsi="Times New Roman"/>
                <w:b/>
                <w:sz w:val="22"/>
                <w:szCs w:val="22"/>
                <w:lang w:val="es-CO" w:eastAsia="en-US"/>
              </w:rPr>
              <w:t xml:space="preserve">Informe de Auditoría al Sistema de </w:t>
            </w:r>
            <w:r w:rsidR="00726A09">
              <w:rPr>
                <w:rFonts w:ascii="Times New Roman" w:hAnsi="Times New Roman"/>
                <w:b/>
                <w:sz w:val="22"/>
                <w:szCs w:val="22"/>
                <w:lang w:val="es-CO" w:eastAsia="en-US"/>
              </w:rPr>
              <w:t>G</w:t>
            </w:r>
            <w:r w:rsidRPr="00726A09">
              <w:rPr>
                <w:rFonts w:ascii="Times New Roman" w:hAnsi="Times New Roman"/>
                <w:b/>
                <w:sz w:val="22"/>
                <w:szCs w:val="22"/>
                <w:lang w:val="es-CO" w:eastAsia="en-US"/>
              </w:rPr>
              <w:t xml:space="preserve">estión de </w:t>
            </w:r>
            <w:r w:rsidR="00726A09">
              <w:rPr>
                <w:rFonts w:ascii="Times New Roman" w:hAnsi="Times New Roman"/>
                <w:b/>
                <w:sz w:val="22"/>
                <w:szCs w:val="22"/>
                <w:lang w:val="es-CO" w:eastAsia="en-US"/>
              </w:rPr>
              <w:t>C</w:t>
            </w:r>
            <w:r w:rsidRPr="00726A09">
              <w:rPr>
                <w:rFonts w:ascii="Times New Roman" w:hAnsi="Times New Roman"/>
                <w:b/>
                <w:sz w:val="22"/>
                <w:szCs w:val="22"/>
                <w:lang w:val="es-CO" w:eastAsia="en-US"/>
              </w:rPr>
              <w:t xml:space="preserve">alidad, componentes NTCGP 2009 y MECI 2014- Vigencia 2017: </w:t>
            </w:r>
            <w:r w:rsidR="00872A76" w:rsidRPr="006C2538">
              <w:rPr>
                <w:rFonts w:ascii="Times New Roman" w:hAnsi="Times New Roman"/>
                <w:bCs/>
                <w:sz w:val="22"/>
                <w:szCs w:val="22"/>
                <w:lang w:val="es-CO" w:eastAsia="en-US"/>
              </w:rPr>
              <w:t xml:space="preserve">Se </w:t>
            </w:r>
            <w:r w:rsidR="00872A76" w:rsidRPr="006C2538">
              <w:rPr>
                <w:rFonts w:ascii="Times New Roman" w:hAnsi="Times New Roman"/>
                <w:iCs/>
                <w:noProof/>
                <w:sz w:val="22"/>
                <w:szCs w:val="22"/>
                <w:lang w:val="es-ES" w:eastAsia="es-CO"/>
              </w:rPr>
              <w:t xml:space="preserve">registra conformidad en cuanto a la implementación del NTCGP y MECI, cuyo liderazgo ha sido  manejado por los responsables de los procesos de manera adecuada y con un alto grado de compromiso frente a la sostenibilidad del Sistema; </w:t>
            </w:r>
            <w:r w:rsidR="00A0156F" w:rsidRPr="006C2538">
              <w:rPr>
                <w:rFonts w:ascii="Times New Roman" w:hAnsi="Times New Roman"/>
                <w:iCs/>
                <w:noProof/>
                <w:sz w:val="22"/>
                <w:szCs w:val="22"/>
                <w:lang w:val="es-ES" w:eastAsia="es-CO"/>
              </w:rPr>
              <w:t xml:space="preserve">se identifican las siguientes fortalezas en </w:t>
            </w:r>
            <w:r w:rsidR="00726A09">
              <w:rPr>
                <w:rFonts w:ascii="Times New Roman" w:hAnsi="Times New Roman"/>
                <w:iCs/>
                <w:noProof/>
                <w:sz w:val="22"/>
                <w:szCs w:val="22"/>
                <w:lang w:val="es-ES" w:eastAsia="es-CO"/>
              </w:rPr>
              <w:t xml:space="preserve">el </w:t>
            </w:r>
            <w:r w:rsidR="00A0156F" w:rsidRPr="006C2538">
              <w:rPr>
                <w:rFonts w:ascii="Times New Roman" w:hAnsi="Times New Roman"/>
                <w:iCs/>
                <w:noProof/>
                <w:sz w:val="22"/>
                <w:szCs w:val="22"/>
                <w:lang w:val="es-ES" w:eastAsia="es-CO"/>
              </w:rPr>
              <w:t xml:space="preserve">proceso de </w:t>
            </w:r>
            <w:r w:rsidR="00726A09">
              <w:rPr>
                <w:rFonts w:ascii="Times New Roman" w:hAnsi="Times New Roman"/>
                <w:iCs/>
                <w:noProof/>
                <w:sz w:val="22"/>
                <w:szCs w:val="22"/>
                <w:lang w:val="es-ES" w:eastAsia="es-CO"/>
              </w:rPr>
              <w:t xml:space="preserve">Auditoria </w:t>
            </w:r>
            <w:r w:rsidR="00A0156F" w:rsidRPr="006C2538">
              <w:rPr>
                <w:rFonts w:ascii="Times New Roman" w:hAnsi="Times New Roman"/>
                <w:iCs/>
                <w:noProof/>
                <w:sz w:val="22"/>
                <w:szCs w:val="22"/>
                <w:lang w:val="es-ES" w:eastAsia="es-CO"/>
              </w:rPr>
              <w:t xml:space="preserve">: </w:t>
            </w:r>
          </w:p>
          <w:p w:rsidR="00726A09" w:rsidRDefault="00726A09" w:rsidP="002A66C6">
            <w:pPr>
              <w:autoSpaceDE w:val="0"/>
              <w:autoSpaceDN w:val="0"/>
              <w:adjustRightInd w:val="0"/>
              <w:jc w:val="both"/>
              <w:rPr>
                <w:rFonts w:ascii="Times New Roman" w:hAnsi="Times New Roman"/>
                <w:iCs/>
                <w:noProof/>
                <w:sz w:val="22"/>
                <w:szCs w:val="22"/>
                <w:lang w:val="es-ES" w:eastAsia="es-CO"/>
              </w:rPr>
            </w:pPr>
          </w:p>
          <w:p w:rsidR="00726A09" w:rsidRDefault="00726A09" w:rsidP="002A66C6">
            <w:pPr>
              <w:autoSpaceDE w:val="0"/>
              <w:autoSpaceDN w:val="0"/>
              <w:adjustRightInd w:val="0"/>
              <w:jc w:val="both"/>
              <w:rPr>
                <w:rFonts w:ascii="Times New Roman" w:hAnsi="Times New Roman"/>
                <w:iCs/>
                <w:noProof/>
                <w:sz w:val="22"/>
                <w:szCs w:val="22"/>
                <w:lang w:val="es-ES" w:eastAsia="es-CO"/>
              </w:rPr>
            </w:pPr>
          </w:p>
          <w:p w:rsidR="00726A09" w:rsidRDefault="00A0156F" w:rsidP="002A66C6">
            <w:pPr>
              <w:autoSpaceDE w:val="0"/>
              <w:autoSpaceDN w:val="0"/>
              <w:adjustRightInd w:val="0"/>
              <w:jc w:val="both"/>
              <w:rPr>
                <w:rFonts w:ascii="Times New Roman" w:hAnsi="Times New Roman"/>
                <w:sz w:val="22"/>
                <w:szCs w:val="22"/>
                <w:lang w:val="es-ES" w:eastAsia="en-US"/>
              </w:rPr>
            </w:pPr>
            <w:r w:rsidRPr="00726A09">
              <w:rPr>
                <w:rFonts w:ascii="Times New Roman" w:hAnsi="Times New Roman"/>
                <w:b/>
                <w:iCs/>
                <w:noProof/>
                <w:sz w:val="22"/>
                <w:szCs w:val="22"/>
                <w:lang w:val="es-ES" w:eastAsia="es-CO"/>
              </w:rPr>
              <w:t>1)</w:t>
            </w:r>
            <w:r w:rsidR="00726A09">
              <w:rPr>
                <w:rFonts w:ascii="Times New Roman" w:hAnsi="Times New Roman"/>
                <w:iCs/>
                <w:noProof/>
                <w:sz w:val="22"/>
                <w:szCs w:val="22"/>
                <w:lang w:val="es-ES" w:eastAsia="es-CO"/>
              </w:rPr>
              <w:t xml:space="preserve"> </w:t>
            </w:r>
            <w:r w:rsidRPr="006C2538">
              <w:rPr>
                <w:rFonts w:ascii="Times New Roman" w:hAnsi="Times New Roman"/>
                <w:sz w:val="22"/>
                <w:szCs w:val="22"/>
                <w:lang w:val="es-CO" w:eastAsia="en-US"/>
              </w:rPr>
              <w:t>L</w:t>
            </w:r>
            <w:r w:rsidRPr="006C2538">
              <w:rPr>
                <w:rFonts w:ascii="Times New Roman" w:hAnsi="Times New Roman"/>
                <w:sz w:val="22"/>
                <w:szCs w:val="22"/>
                <w:lang w:val="es-ES" w:eastAsia="en-US"/>
              </w:rPr>
              <w:t xml:space="preserve">a </w:t>
            </w:r>
            <w:r w:rsidR="00726A09">
              <w:rPr>
                <w:rFonts w:ascii="Times New Roman" w:hAnsi="Times New Roman"/>
                <w:sz w:val="22"/>
                <w:szCs w:val="22"/>
                <w:lang w:val="es-ES" w:eastAsia="en-US"/>
              </w:rPr>
              <w:t>A</w:t>
            </w:r>
            <w:r w:rsidRPr="006C2538">
              <w:rPr>
                <w:rFonts w:ascii="Times New Roman" w:hAnsi="Times New Roman"/>
                <w:sz w:val="22"/>
                <w:szCs w:val="22"/>
                <w:lang w:val="es-ES" w:eastAsia="en-US"/>
              </w:rPr>
              <w:t>uditoría al SGC se realizó dentro de los términos establecidos, encontrando conformidad en cuanto a la implementación de las Normas NTGP1000:2009  y MECI</w:t>
            </w:r>
            <w:r w:rsidR="003D6AE0" w:rsidRPr="006C2538">
              <w:rPr>
                <w:rFonts w:ascii="Times New Roman" w:hAnsi="Times New Roman"/>
                <w:sz w:val="22"/>
                <w:szCs w:val="22"/>
                <w:lang w:val="es-ES" w:eastAsia="en-US"/>
              </w:rPr>
              <w:t>: 2014</w:t>
            </w:r>
            <w:r w:rsidRPr="006C2538">
              <w:rPr>
                <w:rFonts w:ascii="Times New Roman" w:hAnsi="Times New Roman"/>
                <w:sz w:val="22"/>
                <w:szCs w:val="22"/>
                <w:lang w:val="es-ES" w:eastAsia="en-US"/>
              </w:rPr>
              <w:t xml:space="preserve">. </w:t>
            </w:r>
          </w:p>
          <w:p w:rsidR="003D6AE0" w:rsidRDefault="003D6AE0" w:rsidP="002A66C6">
            <w:pPr>
              <w:autoSpaceDE w:val="0"/>
              <w:autoSpaceDN w:val="0"/>
              <w:adjustRightInd w:val="0"/>
              <w:jc w:val="both"/>
              <w:rPr>
                <w:rFonts w:ascii="Times New Roman" w:hAnsi="Times New Roman"/>
                <w:b/>
                <w:sz w:val="22"/>
                <w:szCs w:val="22"/>
                <w:lang w:val="es-ES" w:eastAsia="en-US"/>
              </w:rPr>
            </w:pPr>
          </w:p>
          <w:p w:rsidR="00726A09" w:rsidRDefault="00A0156F" w:rsidP="002A66C6">
            <w:pPr>
              <w:autoSpaceDE w:val="0"/>
              <w:autoSpaceDN w:val="0"/>
              <w:adjustRightInd w:val="0"/>
              <w:jc w:val="both"/>
              <w:rPr>
                <w:rFonts w:ascii="Times New Roman" w:hAnsi="Times New Roman"/>
                <w:bCs/>
                <w:sz w:val="22"/>
                <w:szCs w:val="22"/>
                <w:lang w:val="es-CO" w:eastAsia="en-US"/>
              </w:rPr>
            </w:pPr>
            <w:r w:rsidRPr="00726A09">
              <w:rPr>
                <w:rFonts w:ascii="Times New Roman" w:hAnsi="Times New Roman"/>
                <w:b/>
                <w:sz w:val="22"/>
                <w:szCs w:val="22"/>
                <w:lang w:val="es-ES" w:eastAsia="en-US"/>
              </w:rPr>
              <w:t>2)</w:t>
            </w:r>
            <w:r w:rsidRPr="006C2538">
              <w:rPr>
                <w:rFonts w:ascii="Times New Roman" w:hAnsi="Times New Roman"/>
                <w:sz w:val="22"/>
                <w:szCs w:val="22"/>
                <w:lang w:val="es-ES" w:eastAsia="en-US"/>
              </w:rPr>
              <w:t xml:space="preserve"> La </w:t>
            </w:r>
            <w:r w:rsidR="003D6AE0">
              <w:rPr>
                <w:rFonts w:ascii="Times New Roman" w:hAnsi="Times New Roman"/>
                <w:sz w:val="22"/>
                <w:szCs w:val="22"/>
                <w:lang w:val="es-ES" w:eastAsia="en-US"/>
              </w:rPr>
              <w:t>claridad en los l</w:t>
            </w:r>
            <w:r w:rsidRPr="006C2538">
              <w:rPr>
                <w:rFonts w:ascii="Times New Roman" w:hAnsi="Times New Roman"/>
                <w:sz w:val="22"/>
                <w:szCs w:val="22"/>
                <w:lang w:val="es-ES" w:eastAsia="en-US"/>
              </w:rPr>
              <w:t>ineamientos impartidos para el ejercicio de la auditoría por parte del Subsistema de Gestión de Calidad / Dirección de Planeación, fueron de suma importanc</w:t>
            </w:r>
            <w:r w:rsidR="003D6AE0">
              <w:rPr>
                <w:rFonts w:ascii="Times New Roman" w:hAnsi="Times New Roman"/>
                <w:sz w:val="22"/>
                <w:szCs w:val="22"/>
                <w:lang w:val="es-ES" w:eastAsia="en-US"/>
              </w:rPr>
              <w:t>ia en el desarrollo del proceso</w:t>
            </w:r>
            <w:r w:rsidRPr="006C2538">
              <w:rPr>
                <w:rFonts w:ascii="Times New Roman" w:hAnsi="Times New Roman"/>
                <w:sz w:val="22"/>
                <w:szCs w:val="22"/>
                <w:lang w:val="es-ES" w:eastAsia="en-US"/>
              </w:rPr>
              <w:t xml:space="preserve"> ya que permitieron realizar una actividad que fue más allá de la simple identificación del cumplimiento de requisitos, enfocándose al sostenimiento y mejoramiento continuo de los procesos.</w:t>
            </w:r>
            <w:r w:rsidRPr="006C2538">
              <w:rPr>
                <w:rFonts w:ascii="Times New Roman" w:hAnsi="Times New Roman"/>
                <w:bCs/>
                <w:sz w:val="22"/>
                <w:szCs w:val="22"/>
                <w:lang w:val="es-CO" w:eastAsia="en-US"/>
              </w:rPr>
              <w:t xml:space="preserve"> </w:t>
            </w:r>
          </w:p>
          <w:p w:rsidR="003D6AE0" w:rsidRDefault="003D6AE0" w:rsidP="002A66C6">
            <w:pPr>
              <w:autoSpaceDE w:val="0"/>
              <w:autoSpaceDN w:val="0"/>
              <w:adjustRightInd w:val="0"/>
              <w:jc w:val="both"/>
              <w:rPr>
                <w:rFonts w:ascii="Times New Roman" w:hAnsi="Times New Roman"/>
                <w:b/>
                <w:bCs/>
                <w:sz w:val="22"/>
                <w:szCs w:val="22"/>
                <w:lang w:val="es-CO" w:eastAsia="en-US"/>
              </w:rPr>
            </w:pPr>
          </w:p>
          <w:p w:rsidR="00726A09" w:rsidRDefault="00A0156F" w:rsidP="002A66C6">
            <w:pPr>
              <w:autoSpaceDE w:val="0"/>
              <w:autoSpaceDN w:val="0"/>
              <w:adjustRightInd w:val="0"/>
              <w:jc w:val="both"/>
              <w:rPr>
                <w:rFonts w:ascii="Times New Roman" w:hAnsi="Times New Roman"/>
                <w:bCs/>
                <w:sz w:val="22"/>
                <w:szCs w:val="22"/>
                <w:lang w:val="es-CO" w:eastAsia="en-US"/>
              </w:rPr>
            </w:pPr>
            <w:r w:rsidRPr="00726A09">
              <w:rPr>
                <w:rFonts w:ascii="Times New Roman" w:hAnsi="Times New Roman"/>
                <w:b/>
                <w:bCs/>
                <w:sz w:val="22"/>
                <w:szCs w:val="22"/>
                <w:lang w:val="es-CO" w:eastAsia="en-US"/>
              </w:rPr>
              <w:t>3)</w:t>
            </w:r>
            <w:r w:rsidRPr="006C2538">
              <w:rPr>
                <w:rFonts w:ascii="Times New Roman" w:hAnsi="Times New Roman"/>
                <w:bCs/>
                <w:sz w:val="22"/>
                <w:szCs w:val="22"/>
                <w:lang w:val="es-CO" w:eastAsia="en-US"/>
              </w:rPr>
              <w:t xml:space="preserve"> </w:t>
            </w:r>
            <w:r w:rsidRPr="006C2538">
              <w:rPr>
                <w:rFonts w:ascii="Times New Roman" w:hAnsi="Times New Roman"/>
                <w:sz w:val="22"/>
                <w:szCs w:val="22"/>
                <w:lang w:val="es-ES" w:eastAsia="en-US"/>
              </w:rPr>
              <w:t>Se observó liderazgo por parte de los responsables de procesos y directivos frente a la contribución permanentemente qu</w:t>
            </w:r>
            <w:r w:rsidR="003D6AE0">
              <w:rPr>
                <w:rFonts w:ascii="Times New Roman" w:hAnsi="Times New Roman"/>
                <w:sz w:val="22"/>
                <w:szCs w:val="22"/>
                <w:lang w:val="es-ES" w:eastAsia="en-US"/>
              </w:rPr>
              <w:t xml:space="preserve">e realizan para la madurez del </w:t>
            </w:r>
            <w:r w:rsidRPr="006C2538">
              <w:rPr>
                <w:rFonts w:ascii="Times New Roman" w:hAnsi="Times New Roman"/>
                <w:sz w:val="22"/>
                <w:szCs w:val="22"/>
                <w:lang w:val="es-ES" w:eastAsia="en-US"/>
              </w:rPr>
              <w:t>Sistema de Gestión de Calidad y al Sistema Integrado de Gestión. De igual forma, el compromiso por parte de los equipos</w:t>
            </w:r>
            <w:r w:rsidR="003D6AE0">
              <w:rPr>
                <w:rFonts w:ascii="Times New Roman" w:hAnsi="Times New Roman"/>
                <w:sz w:val="22"/>
                <w:szCs w:val="22"/>
                <w:lang w:val="es-ES" w:eastAsia="en-US"/>
              </w:rPr>
              <w:t xml:space="preserve"> de trabajo de los 15 procesos, </w:t>
            </w:r>
            <w:r w:rsidRPr="006C2538">
              <w:rPr>
                <w:rFonts w:ascii="Times New Roman" w:hAnsi="Times New Roman"/>
                <w:sz w:val="22"/>
                <w:szCs w:val="22"/>
                <w:lang w:val="es-ES" w:eastAsia="en-US"/>
              </w:rPr>
              <w:t>ha permitido la apropiación del sistema.</w:t>
            </w:r>
            <w:r w:rsidRPr="006C2538">
              <w:rPr>
                <w:rFonts w:ascii="Times New Roman" w:hAnsi="Times New Roman"/>
                <w:bCs/>
                <w:sz w:val="22"/>
                <w:szCs w:val="22"/>
                <w:lang w:val="es-CO" w:eastAsia="en-US"/>
              </w:rPr>
              <w:t xml:space="preserve"> </w:t>
            </w:r>
          </w:p>
          <w:p w:rsidR="003D6AE0" w:rsidRDefault="003D6AE0" w:rsidP="002A66C6">
            <w:pPr>
              <w:autoSpaceDE w:val="0"/>
              <w:autoSpaceDN w:val="0"/>
              <w:adjustRightInd w:val="0"/>
              <w:jc w:val="both"/>
              <w:rPr>
                <w:rFonts w:ascii="Times New Roman" w:hAnsi="Times New Roman"/>
                <w:b/>
                <w:bCs/>
                <w:sz w:val="22"/>
                <w:szCs w:val="22"/>
                <w:lang w:val="es-CO" w:eastAsia="en-US"/>
              </w:rPr>
            </w:pPr>
          </w:p>
          <w:p w:rsidR="00726A09" w:rsidRDefault="00A0156F" w:rsidP="002A66C6">
            <w:pPr>
              <w:autoSpaceDE w:val="0"/>
              <w:autoSpaceDN w:val="0"/>
              <w:adjustRightInd w:val="0"/>
              <w:jc w:val="both"/>
              <w:rPr>
                <w:rFonts w:ascii="Times New Roman" w:hAnsi="Times New Roman"/>
                <w:bCs/>
                <w:sz w:val="22"/>
                <w:szCs w:val="22"/>
                <w:lang w:val="es-CO" w:eastAsia="en-US"/>
              </w:rPr>
            </w:pPr>
            <w:r w:rsidRPr="00726A09">
              <w:rPr>
                <w:rFonts w:ascii="Times New Roman" w:hAnsi="Times New Roman"/>
                <w:b/>
                <w:bCs/>
                <w:sz w:val="22"/>
                <w:szCs w:val="22"/>
                <w:lang w:val="es-CO" w:eastAsia="en-US"/>
              </w:rPr>
              <w:t>4)</w:t>
            </w:r>
            <w:r w:rsidRPr="006C2538">
              <w:rPr>
                <w:rFonts w:ascii="Times New Roman" w:hAnsi="Times New Roman"/>
                <w:bCs/>
                <w:sz w:val="22"/>
                <w:szCs w:val="22"/>
                <w:lang w:val="es-CO" w:eastAsia="en-US"/>
              </w:rPr>
              <w:t xml:space="preserve"> </w:t>
            </w:r>
            <w:r w:rsidR="003D6AE0">
              <w:rPr>
                <w:rFonts w:ascii="Times New Roman" w:hAnsi="Times New Roman"/>
                <w:sz w:val="22"/>
                <w:szCs w:val="22"/>
                <w:lang w:val="es-ES" w:eastAsia="en-US"/>
              </w:rPr>
              <w:t>Los p</w:t>
            </w:r>
            <w:r w:rsidRPr="006C2538">
              <w:rPr>
                <w:rFonts w:ascii="Times New Roman" w:hAnsi="Times New Roman"/>
                <w:sz w:val="22"/>
                <w:szCs w:val="22"/>
                <w:lang w:val="es-ES" w:eastAsia="en-US"/>
              </w:rPr>
              <w:t>rocesos atendieron y ge</w:t>
            </w:r>
            <w:r w:rsidR="003D6AE0">
              <w:rPr>
                <w:rFonts w:ascii="Times New Roman" w:hAnsi="Times New Roman"/>
                <w:sz w:val="22"/>
                <w:szCs w:val="22"/>
                <w:lang w:val="es-ES" w:eastAsia="en-US"/>
              </w:rPr>
              <w:t>stionaron oportunamente las No C</w:t>
            </w:r>
            <w:r w:rsidRPr="006C2538">
              <w:rPr>
                <w:rFonts w:ascii="Times New Roman" w:hAnsi="Times New Roman"/>
                <w:sz w:val="22"/>
                <w:szCs w:val="22"/>
                <w:lang w:val="es-ES" w:eastAsia="en-US"/>
              </w:rPr>
              <w:t xml:space="preserve">onformidades y </w:t>
            </w:r>
            <w:r w:rsidR="003D6AE0">
              <w:rPr>
                <w:rFonts w:ascii="Times New Roman" w:hAnsi="Times New Roman"/>
                <w:sz w:val="22"/>
                <w:szCs w:val="22"/>
                <w:lang w:val="es-ES" w:eastAsia="en-US"/>
              </w:rPr>
              <w:t>O</w:t>
            </w:r>
            <w:r w:rsidRPr="006C2538">
              <w:rPr>
                <w:rFonts w:ascii="Times New Roman" w:hAnsi="Times New Roman"/>
                <w:sz w:val="22"/>
                <w:szCs w:val="22"/>
                <w:lang w:val="es-ES" w:eastAsia="en-US"/>
              </w:rPr>
              <w:t xml:space="preserve">bservaciones del informe de auditoría al Sistema de </w:t>
            </w:r>
            <w:r w:rsidR="003D6AE0">
              <w:rPr>
                <w:rFonts w:ascii="Times New Roman" w:hAnsi="Times New Roman"/>
                <w:sz w:val="22"/>
                <w:szCs w:val="22"/>
                <w:lang w:val="es-ES" w:eastAsia="en-US"/>
              </w:rPr>
              <w:t>G</w:t>
            </w:r>
            <w:r w:rsidRPr="006C2538">
              <w:rPr>
                <w:rFonts w:ascii="Times New Roman" w:hAnsi="Times New Roman"/>
                <w:sz w:val="22"/>
                <w:szCs w:val="22"/>
                <w:lang w:val="es-ES" w:eastAsia="en-US"/>
              </w:rPr>
              <w:t xml:space="preserve">estión de </w:t>
            </w:r>
            <w:r w:rsidR="003D6AE0">
              <w:rPr>
                <w:rFonts w:ascii="Times New Roman" w:hAnsi="Times New Roman"/>
                <w:sz w:val="22"/>
                <w:szCs w:val="22"/>
                <w:lang w:val="es-ES" w:eastAsia="en-US"/>
              </w:rPr>
              <w:t>C</w:t>
            </w:r>
            <w:r w:rsidRPr="006C2538">
              <w:rPr>
                <w:rFonts w:ascii="Times New Roman" w:hAnsi="Times New Roman"/>
                <w:sz w:val="22"/>
                <w:szCs w:val="22"/>
                <w:lang w:val="es-ES" w:eastAsia="en-US"/>
              </w:rPr>
              <w:t xml:space="preserve">alidad </w:t>
            </w:r>
            <w:r w:rsidR="003D6AE0">
              <w:rPr>
                <w:rFonts w:ascii="Times New Roman" w:hAnsi="Times New Roman"/>
                <w:sz w:val="22"/>
                <w:szCs w:val="22"/>
                <w:lang w:val="es-ES" w:eastAsia="en-US"/>
              </w:rPr>
              <w:t xml:space="preserve">de la vigencia </w:t>
            </w:r>
            <w:r w:rsidRPr="006C2538">
              <w:rPr>
                <w:rFonts w:ascii="Times New Roman" w:hAnsi="Times New Roman"/>
                <w:sz w:val="22"/>
                <w:szCs w:val="22"/>
                <w:lang w:val="es-ES" w:eastAsia="en-US"/>
              </w:rPr>
              <w:t>2016.</w:t>
            </w:r>
            <w:r w:rsidRPr="006C2538">
              <w:rPr>
                <w:rFonts w:ascii="Times New Roman" w:hAnsi="Times New Roman"/>
                <w:bCs/>
                <w:sz w:val="22"/>
                <w:szCs w:val="22"/>
                <w:lang w:val="es-CO" w:eastAsia="en-US"/>
              </w:rPr>
              <w:t xml:space="preserve"> </w:t>
            </w:r>
          </w:p>
          <w:p w:rsidR="003D6AE0" w:rsidRDefault="003D6AE0" w:rsidP="002A66C6">
            <w:pPr>
              <w:autoSpaceDE w:val="0"/>
              <w:autoSpaceDN w:val="0"/>
              <w:adjustRightInd w:val="0"/>
              <w:jc w:val="both"/>
              <w:rPr>
                <w:rFonts w:ascii="Times New Roman" w:hAnsi="Times New Roman"/>
                <w:b/>
                <w:bCs/>
                <w:sz w:val="22"/>
                <w:szCs w:val="22"/>
                <w:lang w:val="es-CO" w:eastAsia="en-US"/>
              </w:rPr>
            </w:pPr>
          </w:p>
          <w:p w:rsidR="00726A09" w:rsidRDefault="00A0156F" w:rsidP="002A66C6">
            <w:pPr>
              <w:autoSpaceDE w:val="0"/>
              <w:autoSpaceDN w:val="0"/>
              <w:adjustRightInd w:val="0"/>
              <w:jc w:val="both"/>
              <w:rPr>
                <w:rFonts w:ascii="Times New Roman" w:hAnsi="Times New Roman"/>
                <w:bCs/>
                <w:sz w:val="22"/>
                <w:szCs w:val="22"/>
                <w:lang w:val="es-CO" w:eastAsia="en-US"/>
              </w:rPr>
            </w:pPr>
            <w:r w:rsidRPr="00726A09">
              <w:rPr>
                <w:rFonts w:ascii="Times New Roman" w:hAnsi="Times New Roman"/>
                <w:b/>
                <w:bCs/>
                <w:sz w:val="22"/>
                <w:szCs w:val="22"/>
                <w:lang w:val="es-CO" w:eastAsia="en-US"/>
              </w:rPr>
              <w:t>5)</w:t>
            </w:r>
            <w:r w:rsidRPr="006C2538">
              <w:rPr>
                <w:rFonts w:ascii="Times New Roman" w:hAnsi="Times New Roman"/>
                <w:bCs/>
                <w:sz w:val="22"/>
                <w:szCs w:val="22"/>
                <w:lang w:val="es-CO" w:eastAsia="en-US"/>
              </w:rPr>
              <w:t xml:space="preserve"> </w:t>
            </w:r>
            <w:r w:rsidR="003D6AE0">
              <w:rPr>
                <w:rFonts w:ascii="Times New Roman" w:hAnsi="Times New Roman"/>
                <w:sz w:val="22"/>
                <w:szCs w:val="22"/>
                <w:lang w:val="es-ES" w:eastAsia="en-US"/>
              </w:rPr>
              <w:t>Los procesos misionales</w:t>
            </w:r>
            <w:r w:rsidRPr="006C2538">
              <w:rPr>
                <w:rFonts w:ascii="Times New Roman" w:hAnsi="Times New Roman"/>
                <w:sz w:val="22"/>
                <w:szCs w:val="22"/>
                <w:lang w:val="es-ES" w:eastAsia="en-US"/>
              </w:rPr>
              <w:t xml:space="preserve"> evidencian compromiso frente al mejoramiento continuo para el servicio a los usuarios.</w:t>
            </w:r>
            <w:r w:rsidRPr="006C2538">
              <w:rPr>
                <w:rFonts w:ascii="Times New Roman" w:hAnsi="Times New Roman"/>
                <w:bCs/>
                <w:sz w:val="22"/>
                <w:szCs w:val="22"/>
                <w:lang w:val="es-CO" w:eastAsia="en-US"/>
              </w:rPr>
              <w:t xml:space="preserve"> </w:t>
            </w:r>
          </w:p>
          <w:p w:rsidR="003D6AE0" w:rsidRDefault="003D6AE0" w:rsidP="002A66C6">
            <w:pPr>
              <w:autoSpaceDE w:val="0"/>
              <w:autoSpaceDN w:val="0"/>
              <w:adjustRightInd w:val="0"/>
              <w:jc w:val="both"/>
              <w:rPr>
                <w:rFonts w:ascii="Times New Roman" w:hAnsi="Times New Roman"/>
                <w:bCs/>
                <w:sz w:val="22"/>
                <w:szCs w:val="22"/>
                <w:lang w:val="es-CO" w:eastAsia="en-US"/>
              </w:rPr>
            </w:pPr>
          </w:p>
          <w:p w:rsidR="00726A09" w:rsidRDefault="003D6AE0" w:rsidP="002A66C6">
            <w:pPr>
              <w:autoSpaceDE w:val="0"/>
              <w:autoSpaceDN w:val="0"/>
              <w:adjustRightInd w:val="0"/>
              <w:jc w:val="both"/>
              <w:rPr>
                <w:rFonts w:ascii="Times New Roman" w:hAnsi="Times New Roman"/>
                <w:iCs/>
                <w:noProof/>
                <w:sz w:val="22"/>
                <w:szCs w:val="22"/>
                <w:lang w:val="es-ES" w:eastAsia="es-CO"/>
              </w:rPr>
            </w:pPr>
            <w:r>
              <w:rPr>
                <w:rFonts w:ascii="Times New Roman" w:hAnsi="Times New Roman"/>
                <w:bCs/>
                <w:sz w:val="22"/>
                <w:szCs w:val="22"/>
                <w:lang w:val="es-CO" w:eastAsia="en-US"/>
              </w:rPr>
              <w:t xml:space="preserve">Así mismo </w:t>
            </w:r>
            <w:r w:rsidR="00872A76" w:rsidRPr="006C2538">
              <w:rPr>
                <w:rFonts w:ascii="Times New Roman" w:hAnsi="Times New Roman"/>
                <w:iCs/>
                <w:noProof/>
                <w:sz w:val="22"/>
                <w:szCs w:val="22"/>
                <w:lang w:val="es-ES" w:eastAsia="es-CO"/>
              </w:rPr>
              <w:t xml:space="preserve">recomienda que: </w:t>
            </w:r>
            <w:r w:rsidR="00A0156F" w:rsidRPr="006C2538">
              <w:rPr>
                <w:rFonts w:ascii="Times New Roman" w:hAnsi="Times New Roman"/>
                <w:iCs/>
                <w:noProof/>
                <w:sz w:val="22"/>
                <w:szCs w:val="22"/>
                <w:lang w:val="es-ES" w:eastAsia="es-CO"/>
              </w:rPr>
              <w:t xml:space="preserve"> </w:t>
            </w:r>
          </w:p>
          <w:p w:rsidR="003D6AE0" w:rsidRPr="003D6AE0" w:rsidRDefault="00872A76" w:rsidP="00491EF4">
            <w:pPr>
              <w:pStyle w:val="Prrafodelista"/>
              <w:numPr>
                <w:ilvl w:val="0"/>
                <w:numId w:val="16"/>
              </w:numPr>
              <w:autoSpaceDE w:val="0"/>
              <w:autoSpaceDN w:val="0"/>
              <w:adjustRightInd w:val="0"/>
              <w:spacing w:after="0"/>
              <w:jc w:val="both"/>
              <w:rPr>
                <w:rFonts w:ascii="Times New Roman" w:hAnsi="Times New Roman"/>
                <w:iCs/>
                <w:noProof/>
                <w:lang w:val="es-ES" w:eastAsia="es-CO"/>
              </w:rPr>
            </w:pPr>
            <w:r w:rsidRPr="003D6AE0">
              <w:rPr>
                <w:rFonts w:ascii="Times New Roman" w:hAnsi="Times New Roman"/>
              </w:rPr>
              <w:t>De acuerdo con el procedimiento, deben generarse pla</w:t>
            </w:r>
            <w:r w:rsidR="003D6AE0">
              <w:rPr>
                <w:rFonts w:ascii="Times New Roman" w:hAnsi="Times New Roman"/>
              </w:rPr>
              <w:t xml:space="preserve">nes de mejoramiento a las (19) </w:t>
            </w:r>
            <w:r w:rsidRPr="003D6AE0">
              <w:rPr>
                <w:rFonts w:ascii="Times New Roman" w:hAnsi="Times New Roman"/>
              </w:rPr>
              <w:t>N</w:t>
            </w:r>
            <w:r w:rsidR="003D6AE0">
              <w:rPr>
                <w:rFonts w:ascii="Times New Roman" w:hAnsi="Times New Roman"/>
              </w:rPr>
              <w:t>o</w:t>
            </w:r>
            <w:r w:rsidRPr="003D6AE0">
              <w:rPr>
                <w:rFonts w:ascii="Times New Roman" w:hAnsi="Times New Roman"/>
              </w:rPr>
              <w:t xml:space="preserve"> </w:t>
            </w:r>
            <w:r w:rsidR="003D6AE0">
              <w:rPr>
                <w:rFonts w:ascii="Times New Roman" w:hAnsi="Times New Roman"/>
              </w:rPr>
              <w:t xml:space="preserve">Conformidades </w:t>
            </w:r>
            <w:r w:rsidRPr="003D6AE0">
              <w:rPr>
                <w:rFonts w:ascii="Times New Roman" w:hAnsi="Times New Roman"/>
              </w:rPr>
              <w:t>por parte de los responsables de los procesos identificados en el numeral 4.3.1.</w:t>
            </w:r>
            <w:r w:rsidR="00A0156F" w:rsidRPr="003D6AE0">
              <w:rPr>
                <w:rFonts w:ascii="Times New Roman" w:hAnsi="Times New Roman"/>
              </w:rPr>
              <w:t xml:space="preserve"> </w:t>
            </w:r>
          </w:p>
          <w:p w:rsidR="003D6AE0" w:rsidRDefault="003D6AE0" w:rsidP="00491EF4">
            <w:pPr>
              <w:pStyle w:val="Prrafodelista"/>
              <w:numPr>
                <w:ilvl w:val="0"/>
                <w:numId w:val="16"/>
              </w:numPr>
              <w:autoSpaceDE w:val="0"/>
              <w:autoSpaceDN w:val="0"/>
              <w:adjustRightInd w:val="0"/>
              <w:spacing w:after="0"/>
              <w:jc w:val="both"/>
              <w:rPr>
                <w:rFonts w:ascii="Times New Roman" w:hAnsi="Times New Roman"/>
                <w:iCs/>
                <w:noProof/>
                <w:lang w:val="es-ES" w:eastAsia="es-CO"/>
              </w:rPr>
            </w:pPr>
            <w:r>
              <w:rPr>
                <w:rFonts w:ascii="Times New Roman" w:hAnsi="Times New Roman"/>
              </w:rPr>
              <w:t>Las (49) O</w:t>
            </w:r>
            <w:r w:rsidR="00872A76" w:rsidRPr="003D6AE0">
              <w:rPr>
                <w:rFonts w:ascii="Times New Roman" w:hAnsi="Times New Roman"/>
              </w:rPr>
              <w:t>bservaciones identificadas en el nume</w:t>
            </w:r>
            <w:r>
              <w:rPr>
                <w:rFonts w:ascii="Times New Roman" w:hAnsi="Times New Roman"/>
              </w:rPr>
              <w:t>ral 4.3.2, si</w:t>
            </w:r>
            <w:r w:rsidR="00872A76" w:rsidRPr="003D6AE0">
              <w:rPr>
                <w:rFonts w:ascii="Times New Roman" w:hAnsi="Times New Roman"/>
              </w:rPr>
              <w:t xml:space="preserve"> bien no son objeto de </w:t>
            </w:r>
            <w:r>
              <w:rPr>
                <w:rFonts w:ascii="Times New Roman" w:hAnsi="Times New Roman"/>
              </w:rPr>
              <w:t>P</w:t>
            </w:r>
            <w:r w:rsidR="00872A76" w:rsidRPr="003D6AE0">
              <w:rPr>
                <w:rFonts w:ascii="Times New Roman" w:hAnsi="Times New Roman"/>
              </w:rPr>
              <w:t xml:space="preserve">lan de </w:t>
            </w:r>
            <w:r>
              <w:rPr>
                <w:rFonts w:ascii="Times New Roman" w:hAnsi="Times New Roman"/>
              </w:rPr>
              <w:t>M</w:t>
            </w:r>
            <w:r w:rsidR="00872A76" w:rsidRPr="003D6AE0">
              <w:rPr>
                <w:rFonts w:ascii="Times New Roman" w:hAnsi="Times New Roman"/>
              </w:rPr>
              <w:t>ejoramiento, deben ser gestionadas mediante acciones propias de las áreas con el objeto de subsanar las mismas</w:t>
            </w:r>
            <w:r w:rsidR="00726A09" w:rsidRPr="003D6AE0">
              <w:rPr>
                <w:rFonts w:ascii="Times New Roman" w:hAnsi="Times New Roman"/>
                <w:iCs/>
                <w:noProof/>
                <w:lang w:val="es-ES" w:eastAsia="es-CO"/>
              </w:rPr>
              <w:t>.</w:t>
            </w:r>
            <w:r w:rsidR="00A0156F" w:rsidRPr="003D6AE0">
              <w:rPr>
                <w:rFonts w:ascii="Times New Roman" w:hAnsi="Times New Roman"/>
                <w:iCs/>
                <w:noProof/>
                <w:lang w:val="es-ES" w:eastAsia="es-CO"/>
              </w:rPr>
              <w:t xml:space="preserve"> </w:t>
            </w:r>
          </w:p>
          <w:p w:rsidR="003D6AE0" w:rsidRPr="003D6AE0" w:rsidRDefault="00872A76" w:rsidP="00491EF4">
            <w:pPr>
              <w:pStyle w:val="Prrafodelista"/>
              <w:numPr>
                <w:ilvl w:val="0"/>
                <w:numId w:val="16"/>
              </w:numPr>
              <w:autoSpaceDE w:val="0"/>
              <w:autoSpaceDN w:val="0"/>
              <w:adjustRightInd w:val="0"/>
              <w:spacing w:after="0"/>
              <w:jc w:val="both"/>
              <w:rPr>
                <w:rFonts w:ascii="Times New Roman" w:hAnsi="Times New Roman"/>
                <w:iCs/>
                <w:noProof/>
                <w:lang w:val="es-ES" w:eastAsia="es-CO"/>
              </w:rPr>
            </w:pPr>
            <w:r w:rsidRPr="003D6AE0">
              <w:rPr>
                <w:rFonts w:ascii="Times New Roman" w:hAnsi="Times New Roman"/>
              </w:rPr>
              <w:t>La Situación Transversal podrá ser abordada por el proceso de Direccionamiento Estratégico, seg</w:t>
            </w:r>
            <w:r w:rsidR="003D6AE0">
              <w:rPr>
                <w:rFonts w:ascii="Times New Roman" w:hAnsi="Times New Roman"/>
              </w:rPr>
              <w:t>ún consideración del S</w:t>
            </w:r>
            <w:r w:rsidRPr="003D6AE0">
              <w:rPr>
                <w:rFonts w:ascii="Times New Roman" w:hAnsi="Times New Roman"/>
              </w:rPr>
              <w:t>ubsistem</w:t>
            </w:r>
            <w:r w:rsidR="003D6AE0">
              <w:rPr>
                <w:rFonts w:ascii="Times New Roman" w:hAnsi="Times New Roman"/>
              </w:rPr>
              <w:t xml:space="preserve">a de Gestión de Calidad; esto, </w:t>
            </w:r>
            <w:r w:rsidRPr="003D6AE0">
              <w:rPr>
                <w:rFonts w:ascii="Times New Roman" w:hAnsi="Times New Roman"/>
              </w:rPr>
              <w:t xml:space="preserve">teniendo en cuenta que se vienen adelantando acciones para su mitigación, recogidas </w:t>
            </w:r>
            <w:r w:rsidR="003D6AE0">
              <w:rPr>
                <w:rFonts w:ascii="Times New Roman" w:hAnsi="Times New Roman"/>
              </w:rPr>
              <w:t>en  los POA de los procesos, lo cual debe ser revisado</w:t>
            </w:r>
            <w:r w:rsidRPr="003D6AE0">
              <w:rPr>
                <w:rFonts w:ascii="Times New Roman" w:hAnsi="Times New Roman"/>
              </w:rPr>
              <w:t xml:space="preserve"> para no ocasionar dispersión en los tratamientos de mejora continu</w:t>
            </w:r>
            <w:r w:rsidR="00726A09" w:rsidRPr="003D6AE0">
              <w:rPr>
                <w:rFonts w:ascii="Times New Roman" w:hAnsi="Times New Roman"/>
              </w:rPr>
              <w:t>a</w:t>
            </w:r>
          </w:p>
          <w:p w:rsidR="00A0156F" w:rsidRPr="003D6AE0" w:rsidRDefault="003D6AE0" w:rsidP="00491EF4">
            <w:pPr>
              <w:pStyle w:val="Prrafodelista"/>
              <w:numPr>
                <w:ilvl w:val="0"/>
                <w:numId w:val="16"/>
              </w:numPr>
              <w:autoSpaceDE w:val="0"/>
              <w:autoSpaceDN w:val="0"/>
              <w:adjustRightInd w:val="0"/>
              <w:spacing w:after="0"/>
              <w:jc w:val="both"/>
              <w:rPr>
                <w:rFonts w:ascii="Times New Roman" w:hAnsi="Times New Roman"/>
                <w:iCs/>
                <w:noProof/>
                <w:lang w:val="es-ES" w:eastAsia="es-CO"/>
              </w:rPr>
            </w:pPr>
            <w:r>
              <w:rPr>
                <w:rFonts w:ascii="Times New Roman" w:hAnsi="Times New Roman"/>
                <w:bCs/>
              </w:rPr>
              <w:t xml:space="preserve">Se recomienda </w:t>
            </w:r>
            <w:r w:rsidR="00A0156F" w:rsidRPr="003D6AE0">
              <w:rPr>
                <w:rFonts w:ascii="Times New Roman" w:hAnsi="Times New Roman"/>
                <w:bCs/>
              </w:rPr>
              <w:t xml:space="preserve">de manera prioritaria la </w:t>
            </w:r>
            <w:r w:rsidR="00A0156F" w:rsidRPr="003D6AE0">
              <w:rPr>
                <w:rFonts w:ascii="Times New Roman" w:hAnsi="Times New Roman"/>
                <w:b/>
                <w:lang w:val="es-ES"/>
              </w:rPr>
              <w:t xml:space="preserve">capacitación y actualización al equipo auditor del Sistema de </w:t>
            </w:r>
            <w:r>
              <w:rPr>
                <w:rFonts w:ascii="Times New Roman" w:hAnsi="Times New Roman"/>
                <w:b/>
                <w:lang w:val="es-ES"/>
              </w:rPr>
              <w:t>G</w:t>
            </w:r>
            <w:r w:rsidR="00A0156F" w:rsidRPr="003D6AE0">
              <w:rPr>
                <w:rFonts w:ascii="Times New Roman" w:hAnsi="Times New Roman"/>
                <w:b/>
                <w:lang w:val="es-ES"/>
              </w:rPr>
              <w:t xml:space="preserve">estión de </w:t>
            </w:r>
            <w:r>
              <w:rPr>
                <w:rFonts w:ascii="Times New Roman" w:hAnsi="Times New Roman"/>
                <w:b/>
                <w:lang w:val="es-ES"/>
              </w:rPr>
              <w:t>C</w:t>
            </w:r>
            <w:r w:rsidR="00A0156F" w:rsidRPr="003D6AE0">
              <w:rPr>
                <w:rFonts w:ascii="Times New Roman" w:hAnsi="Times New Roman"/>
                <w:b/>
                <w:lang w:val="es-ES"/>
              </w:rPr>
              <w:t>alidad</w:t>
            </w:r>
            <w:r w:rsidR="00A0156F" w:rsidRPr="003D6AE0">
              <w:rPr>
                <w:lang w:val="es-ES"/>
              </w:rPr>
              <w:t xml:space="preserve">. </w:t>
            </w:r>
            <w:r w:rsidR="00A0156F" w:rsidRPr="003D6AE0">
              <w:rPr>
                <w:rFonts w:ascii="Times New Roman" w:hAnsi="Times New Roman"/>
                <w:lang w:val="es-ES"/>
              </w:rPr>
              <w:t xml:space="preserve">Teniendo en cuenta que la </w:t>
            </w:r>
            <w:r w:rsidR="00726A09" w:rsidRPr="003D6AE0">
              <w:rPr>
                <w:rFonts w:ascii="Times New Roman" w:hAnsi="Times New Roman"/>
                <w:lang w:val="es-ES"/>
              </w:rPr>
              <w:t>última</w:t>
            </w:r>
            <w:r>
              <w:rPr>
                <w:rFonts w:ascii="Times New Roman" w:hAnsi="Times New Roman"/>
                <w:lang w:val="es-ES"/>
              </w:rPr>
              <w:t xml:space="preserve"> capaci</w:t>
            </w:r>
            <w:r w:rsidR="00A0156F" w:rsidRPr="003D6AE0">
              <w:rPr>
                <w:rFonts w:ascii="Times New Roman" w:hAnsi="Times New Roman"/>
                <w:lang w:val="es-ES"/>
              </w:rPr>
              <w:t>tación se realizó en la vigencia 2012, la OCI hace un llamado al Subsistema correspondiente para que tenga en cuenta la inclusión de actividades encaminadas a fortalecer el equipo auditor y establecer medios para que el compromiso en estas actividades sean primadas al momento de que la SDP convoque a la ejecución de este proceso.</w:t>
            </w:r>
          </w:p>
          <w:p w:rsidR="00CE5E13" w:rsidRPr="006C2538" w:rsidRDefault="00CE5E13" w:rsidP="002A66C6">
            <w:pPr>
              <w:autoSpaceDE w:val="0"/>
              <w:autoSpaceDN w:val="0"/>
              <w:adjustRightInd w:val="0"/>
              <w:jc w:val="both"/>
              <w:rPr>
                <w:rFonts w:ascii="Times New Roman" w:hAnsi="Times New Roman"/>
                <w:sz w:val="22"/>
                <w:szCs w:val="22"/>
                <w:lang w:val="es-ES"/>
              </w:rPr>
            </w:pPr>
          </w:p>
          <w:p w:rsidR="0066026F" w:rsidRDefault="00A0156F" w:rsidP="002A66C6">
            <w:pPr>
              <w:autoSpaceDE w:val="0"/>
              <w:autoSpaceDN w:val="0"/>
              <w:adjustRightInd w:val="0"/>
              <w:jc w:val="both"/>
              <w:rPr>
                <w:rFonts w:ascii="Times New Roman" w:hAnsi="Times New Roman"/>
                <w:sz w:val="22"/>
                <w:szCs w:val="22"/>
                <w:lang w:val="es-ES"/>
              </w:rPr>
            </w:pPr>
            <w:r w:rsidRPr="003D6AE0">
              <w:rPr>
                <w:rFonts w:ascii="Times New Roman" w:hAnsi="Times New Roman"/>
                <w:b/>
                <w:sz w:val="22"/>
                <w:szCs w:val="22"/>
                <w:lang w:val="es-ES"/>
              </w:rPr>
              <w:t xml:space="preserve">Informe de </w:t>
            </w:r>
            <w:r w:rsidR="003D6AE0">
              <w:rPr>
                <w:rFonts w:ascii="Times New Roman" w:hAnsi="Times New Roman"/>
                <w:b/>
                <w:sz w:val="22"/>
                <w:szCs w:val="22"/>
                <w:lang w:val="es-ES"/>
              </w:rPr>
              <w:t>c</w:t>
            </w:r>
            <w:r w:rsidRPr="003D6AE0">
              <w:rPr>
                <w:rFonts w:ascii="Times New Roman" w:hAnsi="Times New Roman"/>
                <w:b/>
                <w:sz w:val="22"/>
                <w:szCs w:val="22"/>
                <w:lang w:val="es-ES"/>
              </w:rPr>
              <w:t>umplimiento de la Directiva 03 de 2013 de la Alcaldía Mayor:</w:t>
            </w:r>
            <w:r w:rsidR="008C7A66" w:rsidRPr="006C2538">
              <w:rPr>
                <w:rFonts w:ascii="Times New Roman" w:hAnsi="Times New Roman"/>
                <w:sz w:val="22"/>
                <w:szCs w:val="22"/>
                <w:lang w:val="es-ES"/>
              </w:rPr>
              <w:t xml:space="preserve"> </w:t>
            </w:r>
            <w:r w:rsidR="003D6AE0">
              <w:rPr>
                <w:rFonts w:ascii="Times New Roman" w:hAnsi="Times New Roman"/>
                <w:sz w:val="22"/>
                <w:szCs w:val="22"/>
                <w:lang w:val="es-ES"/>
              </w:rPr>
              <w:t>E</w:t>
            </w:r>
            <w:r w:rsidR="008C7A66" w:rsidRPr="006C2538">
              <w:rPr>
                <w:rFonts w:ascii="Times New Roman" w:hAnsi="Times New Roman"/>
                <w:sz w:val="22"/>
                <w:szCs w:val="22"/>
                <w:lang w:val="es-ES"/>
              </w:rPr>
              <w:t>n</w:t>
            </w:r>
            <w:r w:rsidR="0066026F">
              <w:rPr>
                <w:rFonts w:ascii="Times New Roman" w:hAnsi="Times New Roman"/>
                <w:sz w:val="22"/>
                <w:szCs w:val="22"/>
                <w:lang w:val="es-ES"/>
              </w:rPr>
              <w:t xml:space="preserve"> conjunto </w:t>
            </w:r>
            <w:r w:rsidR="008C7A66" w:rsidRPr="006C2538">
              <w:rPr>
                <w:rFonts w:ascii="Times New Roman" w:hAnsi="Times New Roman"/>
                <w:sz w:val="22"/>
                <w:szCs w:val="22"/>
                <w:lang w:val="es-ES"/>
              </w:rPr>
              <w:t xml:space="preserve">con la Oficina de </w:t>
            </w:r>
            <w:r w:rsidR="003D6AE0">
              <w:rPr>
                <w:rFonts w:ascii="Times New Roman" w:hAnsi="Times New Roman"/>
                <w:sz w:val="22"/>
                <w:szCs w:val="22"/>
                <w:lang w:val="es-ES"/>
              </w:rPr>
              <w:t>Control Interno Disciplinario</w:t>
            </w:r>
            <w:r w:rsidR="0066026F">
              <w:rPr>
                <w:rFonts w:ascii="Times New Roman" w:hAnsi="Times New Roman"/>
                <w:sz w:val="22"/>
                <w:szCs w:val="22"/>
                <w:lang w:val="es-ES"/>
              </w:rPr>
              <w:t xml:space="preserve"> se evaluó el cumplimiento </w:t>
            </w:r>
            <w:r w:rsidR="008C7A66" w:rsidRPr="006C2538">
              <w:rPr>
                <w:rFonts w:ascii="Times New Roman" w:hAnsi="Times New Roman"/>
                <w:sz w:val="22"/>
                <w:szCs w:val="22"/>
                <w:lang w:val="es-ES"/>
              </w:rPr>
              <w:t>de las disposici</w:t>
            </w:r>
            <w:r w:rsidR="0066026F">
              <w:rPr>
                <w:rFonts w:ascii="Times New Roman" w:hAnsi="Times New Roman"/>
                <w:sz w:val="22"/>
                <w:szCs w:val="22"/>
                <w:lang w:val="es-ES"/>
              </w:rPr>
              <w:t>ones contenidas en la directiva</w:t>
            </w:r>
            <w:r w:rsidR="008C7A66" w:rsidRPr="006C2538">
              <w:rPr>
                <w:rFonts w:ascii="Times New Roman" w:hAnsi="Times New Roman"/>
                <w:sz w:val="22"/>
                <w:szCs w:val="22"/>
                <w:lang w:val="es-ES"/>
              </w:rPr>
              <w:t>, conducentes ellas a</w:t>
            </w:r>
            <w:r w:rsidR="0066026F">
              <w:rPr>
                <w:rFonts w:ascii="Times New Roman" w:hAnsi="Times New Roman"/>
                <w:sz w:val="22"/>
                <w:szCs w:val="22"/>
                <w:lang w:val="es-ES"/>
              </w:rPr>
              <w:t xml:space="preserve"> prevenir conductas irregulares</w:t>
            </w:r>
            <w:r w:rsidR="008C7A66" w:rsidRPr="006C2538">
              <w:rPr>
                <w:rFonts w:ascii="Times New Roman" w:hAnsi="Times New Roman"/>
                <w:sz w:val="22"/>
                <w:szCs w:val="22"/>
                <w:lang w:val="es-ES"/>
              </w:rPr>
              <w:t xml:space="preserve"> relacionadas con el cumplimiento de los manuale</w:t>
            </w:r>
            <w:r w:rsidR="0066026F">
              <w:rPr>
                <w:rFonts w:ascii="Times New Roman" w:hAnsi="Times New Roman"/>
                <w:sz w:val="22"/>
                <w:szCs w:val="22"/>
                <w:lang w:val="es-ES"/>
              </w:rPr>
              <w:t>s de funciones y procedimientos</w:t>
            </w:r>
            <w:r w:rsidR="008C7A66" w:rsidRPr="006C2538">
              <w:rPr>
                <w:rFonts w:ascii="Times New Roman" w:hAnsi="Times New Roman"/>
                <w:sz w:val="22"/>
                <w:szCs w:val="22"/>
                <w:lang w:val="es-ES"/>
              </w:rPr>
              <w:t xml:space="preserve">, perdida de elementos y documentos públicos. </w:t>
            </w:r>
          </w:p>
          <w:p w:rsidR="00A0156F" w:rsidRDefault="0066026F" w:rsidP="002A66C6">
            <w:pPr>
              <w:autoSpaceDE w:val="0"/>
              <w:autoSpaceDN w:val="0"/>
              <w:adjustRightInd w:val="0"/>
              <w:jc w:val="both"/>
              <w:rPr>
                <w:rFonts w:ascii="Times New Roman" w:hAnsi="Times New Roman"/>
                <w:sz w:val="22"/>
                <w:szCs w:val="22"/>
                <w:lang w:val="es-ES"/>
              </w:rPr>
            </w:pPr>
            <w:r>
              <w:rPr>
                <w:rFonts w:ascii="Times New Roman" w:hAnsi="Times New Roman"/>
                <w:sz w:val="22"/>
                <w:szCs w:val="22"/>
                <w:lang w:val="es-ES"/>
              </w:rPr>
              <w:t>En tal sentido se verificó</w:t>
            </w:r>
            <w:r w:rsidR="008C7A66" w:rsidRPr="006C2538">
              <w:rPr>
                <w:rFonts w:ascii="Times New Roman" w:hAnsi="Times New Roman"/>
                <w:sz w:val="22"/>
                <w:szCs w:val="22"/>
                <w:lang w:val="es-ES"/>
              </w:rPr>
              <w:t xml:space="preserve"> la permanente promoción y socialización de campañas para fortalecer la conducta de los </w:t>
            </w:r>
            <w:r w:rsidR="003D6AE0" w:rsidRPr="006C2538">
              <w:rPr>
                <w:rFonts w:ascii="Times New Roman" w:hAnsi="Times New Roman"/>
                <w:sz w:val="22"/>
                <w:szCs w:val="22"/>
                <w:lang w:val="es-ES"/>
              </w:rPr>
              <w:t>servidores,</w:t>
            </w:r>
            <w:r w:rsidR="008C7A66" w:rsidRPr="006C2538">
              <w:rPr>
                <w:rFonts w:ascii="Times New Roman" w:hAnsi="Times New Roman"/>
                <w:sz w:val="22"/>
                <w:szCs w:val="22"/>
                <w:lang w:val="es-ES"/>
              </w:rPr>
              <w:t xml:space="preserve"> tales </w:t>
            </w:r>
            <w:r w:rsidR="003D6AE0" w:rsidRPr="006C2538">
              <w:rPr>
                <w:rFonts w:ascii="Times New Roman" w:hAnsi="Times New Roman"/>
                <w:sz w:val="22"/>
                <w:szCs w:val="22"/>
                <w:lang w:val="es-ES"/>
              </w:rPr>
              <w:t>como:</w:t>
            </w:r>
            <w:r w:rsidR="008C7A66" w:rsidRPr="006C2538">
              <w:rPr>
                <w:rFonts w:ascii="Times New Roman" w:hAnsi="Times New Roman"/>
                <w:sz w:val="22"/>
                <w:szCs w:val="22"/>
                <w:lang w:val="es-ES"/>
              </w:rPr>
              <w:t xml:space="preserve"> </w:t>
            </w:r>
            <w:r w:rsidR="003D6AE0" w:rsidRPr="0066026F">
              <w:rPr>
                <w:rFonts w:ascii="Times New Roman" w:hAnsi="Times New Roman"/>
                <w:i/>
                <w:sz w:val="22"/>
                <w:szCs w:val="22"/>
                <w:lang w:val="es-ES"/>
              </w:rPr>
              <w:t>Infórmate,</w:t>
            </w:r>
            <w:r w:rsidR="008C7A66" w:rsidRPr="0066026F">
              <w:rPr>
                <w:rFonts w:ascii="Times New Roman" w:hAnsi="Times New Roman"/>
                <w:i/>
                <w:sz w:val="22"/>
                <w:szCs w:val="22"/>
                <w:lang w:val="es-ES"/>
              </w:rPr>
              <w:t xml:space="preserve"> comprende y aplica</w:t>
            </w:r>
            <w:r>
              <w:rPr>
                <w:rFonts w:ascii="Times New Roman" w:hAnsi="Times New Roman"/>
                <w:sz w:val="22"/>
                <w:szCs w:val="22"/>
                <w:lang w:val="es-ES"/>
              </w:rPr>
              <w:t xml:space="preserve">: </w:t>
            </w:r>
            <w:r w:rsidR="008C7A66" w:rsidRPr="006C2538">
              <w:rPr>
                <w:rFonts w:ascii="Times New Roman" w:hAnsi="Times New Roman"/>
                <w:sz w:val="22"/>
                <w:szCs w:val="22"/>
                <w:lang w:val="es-ES"/>
              </w:rPr>
              <w:t xml:space="preserve">cumplimiento de </w:t>
            </w:r>
            <w:r w:rsidR="003D6AE0" w:rsidRPr="006C2538">
              <w:rPr>
                <w:rFonts w:ascii="Times New Roman" w:hAnsi="Times New Roman"/>
                <w:sz w:val="22"/>
                <w:szCs w:val="22"/>
                <w:lang w:val="es-ES"/>
              </w:rPr>
              <w:t>reglamentos,</w:t>
            </w:r>
            <w:r w:rsidR="008C7A66" w:rsidRPr="006C2538">
              <w:rPr>
                <w:rFonts w:ascii="Times New Roman" w:hAnsi="Times New Roman"/>
                <w:sz w:val="22"/>
                <w:szCs w:val="22"/>
                <w:lang w:val="es-ES"/>
              </w:rPr>
              <w:t xml:space="preserve"> manuales de funciones y procedimie</w:t>
            </w:r>
            <w:r>
              <w:rPr>
                <w:rFonts w:ascii="Times New Roman" w:hAnsi="Times New Roman"/>
                <w:sz w:val="22"/>
                <w:szCs w:val="22"/>
                <w:lang w:val="es-ES"/>
              </w:rPr>
              <w:t>ntos de la SDP. De igual manera</w:t>
            </w:r>
            <w:r w:rsidR="008C7A66" w:rsidRPr="006C2538">
              <w:rPr>
                <w:rFonts w:ascii="Times New Roman" w:hAnsi="Times New Roman"/>
                <w:sz w:val="22"/>
                <w:szCs w:val="22"/>
                <w:lang w:val="es-ES"/>
              </w:rPr>
              <w:t xml:space="preserve"> se registra gestión frente a la prevención para la pérdida de </w:t>
            </w:r>
            <w:r w:rsidR="003D6AE0" w:rsidRPr="006C2538">
              <w:rPr>
                <w:rFonts w:ascii="Times New Roman" w:hAnsi="Times New Roman"/>
                <w:sz w:val="22"/>
                <w:szCs w:val="22"/>
                <w:lang w:val="es-ES"/>
              </w:rPr>
              <w:t>elementos,</w:t>
            </w:r>
            <w:r w:rsidR="008C7A66" w:rsidRPr="006C2538">
              <w:rPr>
                <w:rFonts w:ascii="Times New Roman" w:hAnsi="Times New Roman"/>
                <w:sz w:val="22"/>
                <w:szCs w:val="22"/>
                <w:lang w:val="es-ES"/>
              </w:rPr>
              <w:t xml:space="preserve"> apoyos informáticos para </w:t>
            </w:r>
            <w:r>
              <w:rPr>
                <w:rFonts w:ascii="Times New Roman" w:hAnsi="Times New Roman"/>
                <w:sz w:val="22"/>
                <w:szCs w:val="22"/>
                <w:lang w:val="es-ES"/>
              </w:rPr>
              <w:t xml:space="preserve">la administración de los bienes, </w:t>
            </w:r>
            <w:r w:rsidR="008C7A66" w:rsidRPr="006C2538">
              <w:rPr>
                <w:rFonts w:ascii="Times New Roman" w:hAnsi="Times New Roman"/>
                <w:sz w:val="22"/>
                <w:szCs w:val="22"/>
                <w:lang w:val="es-ES"/>
              </w:rPr>
              <w:t xml:space="preserve">instancias de vigilancia como el </w:t>
            </w:r>
            <w:r>
              <w:rPr>
                <w:rFonts w:ascii="Times New Roman" w:hAnsi="Times New Roman"/>
                <w:sz w:val="22"/>
                <w:szCs w:val="22"/>
                <w:lang w:val="es-ES"/>
              </w:rPr>
              <w:t>C</w:t>
            </w:r>
            <w:r w:rsidR="008C7A66" w:rsidRPr="006C2538">
              <w:rPr>
                <w:rFonts w:ascii="Times New Roman" w:hAnsi="Times New Roman"/>
                <w:sz w:val="22"/>
                <w:szCs w:val="22"/>
                <w:lang w:val="es-ES"/>
              </w:rPr>
              <w:t xml:space="preserve">omité de </w:t>
            </w:r>
            <w:r>
              <w:rPr>
                <w:rFonts w:ascii="Times New Roman" w:hAnsi="Times New Roman"/>
                <w:sz w:val="22"/>
                <w:szCs w:val="22"/>
                <w:lang w:val="es-ES"/>
              </w:rPr>
              <w:t>I</w:t>
            </w:r>
            <w:r w:rsidR="008C7A66" w:rsidRPr="006C2538">
              <w:rPr>
                <w:rFonts w:ascii="Times New Roman" w:hAnsi="Times New Roman"/>
                <w:sz w:val="22"/>
                <w:szCs w:val="22"/>
                <w:lang w:val="es-ES"/>
              </w:rPr>
              <w:t>nventa</w:t>
            </w:r>
            <w:r w:rsidR="00740DAB" w:rsidRPr="006C2538">
              <w:rPr>
                <w:rFonts w:ascii="Times New Roman" w:hAnsi="Times New Roman"/>
                <w:sz w:val="22"/>
                <w:szCs w:val="22"/>
                <w:lang w:val="es-ES"/>
              </w:rPr>
              <w:t xml:space="preserve">rios y </w:t>
            </w:r>
            <w:r>
              <w:rPr>
                <w:rFonts w:ascii="Times New Roman" w:hAnsi="Times New Roman"/>
                <w:sz w:val="22"/>
                <w:szCs w:val="22"/>
                <w:lang w:val="es-ES"/>
              </w:rPr>
              <w:t>C</w:t>
            </w:r>
            <w:r w:rsidR="00740DAB" w:rsidRPr="006C2538">
              <w:rPr>
                <w:rFonts w:ascii="Times New Roman" w:hAnsi="Times New Roman"/>
                <w:sz w:val="22"/>
                <w:szCs w:val="22"/>
                <w:lang w:val="es-ES"/>
              </w:rPr>
              <w:t xml:space="preserve">omité de </w:t>
            </w:r>
            <w:r>
              <w:rPr>
                <w:rFonts w:ascii="Times New Roman" w:hAnsi="Times New Roman"/>
                <w:sz w:val="22"/>
                <w:szCs w:val="22"/>
                <w:lang w:val="es-ES"/>
              </w:rPr>
              <w:t>A</w:t>
            </w:r>
            <w:r w:rsidR="00740DAB" w:rsidRPr="006C2538">
              <w:rPr>
                <w:rFonts w:ascii="Times New Roman" w:hAnsi="Times New Roman"/>
                <w:sz w:val="22"/>
                <w:szCs w:val="22"/>
                <w:lang w:val="es-ES"/>
              </w:rPr>
              <w:t>r</w:t>
            </w:r>
            <w:r>
              <w:rPr>
                <w:rFonts w:ascii="Times New Roman" w:hAnsi="Times New Roman"/>
                <w:sz w:val="22"/>
                <w:szCs w:val="22"/>
                <w:lang w:val="es-ES"/>
              </w:rPr>
              <w:t>chivo,</w:t>
            </w:r>
            <w:r w:rsidR="00740DAB" w:rsidRPr="006C2538">
              <w:rPr>
                <w:rFonts w:ascii="Times New Roman" w:hAnsi="Times New Roman"/>
                <w:sz w:val="22"/>
                <w:szCs w:val="22"/>
                <w:lang w:val="es-ES"/>
              </w:rPr>
              <w:t xml:space="preserve"> contra</w:t>
            </w:r>
            <w:r>
              <w:rPr>
                <w:rFonts w:ascii="Times New Roman" w:hAnsi="Times New Roman"/>
                <w:sz w:val="22"/>
                <w:szCs w:val="22"/>
                <w:lang w:val="es-ES"/>
              </w:rPr>
              <w:t xml:space="preserve">to de seguridad y vigilancia, </w:t>
            </w:r>
            <w:r w:rsidR="00740DAB" w:rsidRPr="006C2538">
              <w:rPr>
                <w:rFonts w:ascii="Times New Roman" w:hAnsi="Times New Roman"/>
                <w:sz w:val="22"/>
                <w:szCs w:val="22"/>
                <w:lang w:val="es-ES"/>
              </w:rPr>
              <w:t xml:space="preserve">y la adopción de medidas para evitar la pérdida de </w:t>
            </w:r>
            <w:r w:rsidR="003D6AE0" w:rsidRPr="006C2538">
              <w:rPr>
                <w:rFonts w:ascii="Times New Roman" w:hAnsi="Times New Roman"/>
                <w:sz w:val="22"/>
                <w:szCs w:val="22"/>
                <w:lang w:val="es-ES"/>
              </w:rPr>
              <w:t>documentos.</w:t>
            </w:r>
          </w:p>
          <w:p w:rsidR="00CE5E13" w:rsidRDefault="00CE5E13" w:rsidP="002A66C6">
            <w:pPr>
              <w:autoSpaceDE w:val="0"/>
              <w:autoSpaceDN w:val="0"/>
              <w:adjustRightInd w:val="0"/>
              <w:jc w:val="both"/>
              <w:rPr>
                <w:rFonts w:ascii="Times New Roman" w:hAnsi="Times New Roman"/>
                <w:sz w:val="22"/>
                <w:szCs w:val="22"/>
                <w:lang w:val="es-ES"/>
              </w:rPr>
            </w:pPr>
          </w:p>
          <w:p w:rsidR="00F75C52" w:rsidRDefault="00F75C52" w:rsidP="002A66C6">
            <w:pPr>
              <w:autoSpaceDE w:val="0"/>
              <w:autoSpaceDN w:val="0"/>
              <w:adjustRightInd w:val="0"/>
              <w:jc w:val="both"/>
              <w:rPr>
                <w:rFonts w:ascii="Times New Roman" w:hAnsi="Times New Roman"/>
                <w:b/>
                <w:i/>
                <w:sz w:val="22"/>
                <w:szCs w:val="22"/>
                <w:lang w:val="es-ES"/>
              </w:rPr>
            </w:pPr>
          </w:p>
          <w:p w:rsidR="00740DAB" w:rsidRDefault="00740DAB" w:rsidP="002A66C6">
            <w:pPr>
              <w:autoSpaceDE w:val="0"/>
              <w:autoSpaceDN w:val="0"/>
              <w:adjustRightInd w:val="0"/>
              <w:jc w:val="both"/>
              <w:rPr>
                <w:rFonts w:ascii="Times New Roman" w:hAnsi="Times New Roman"/>
                <w:sz w:val="22"/>
                <w:szCs w:val="22"/>
                <w:lang w:val="es-ES"/>
              </w:rPr>
            </w:pPr>
            <w:r w:rsidRPr="00F75C52">
              <w:rPr>
                <w:rFonts w:ascii="Times New Roman" w:hAnsi="Times New Roman"/>
                <w:b/>
                <w:sz w:val="22"/>
                <w:szCs w:val="22"/>
                <w:lang w:val="es-ES"/>
              </w:rPr>
              <w:t xml:space="preserve"> Informe de Auditoría al proceso de Contratación de Bienes y Servicios- 2017:</w:t>
            </w:r>
            <w:r w:rsidRPr="006C2538">
              <w:rPr>
                <w:rFonts w:ascii="Times New Roman" w:hAnsi="Times New Roman"/>
                <w:b/>
                <w:i/>
                <w:sz w:val="22"/>
                <w:szCs w:val="22"/>
                <w:lang w:val="es-ES"/>
              </w:rPr>
              <w:t xml:space="preserve"> </w:t>
            </w:r>
            <w:r w:rsidR="00F75C52">
              <w:rPr>
                <w:rFonts w:ascii="Times New Roman" w:hAnsi="Times New Roman"/>
                <w:sz w:val="22"/>
                <w:szCs w:val="22"/>
                <w:lang w:val="es-ES"/>
              </w:rPr>
              <w:t>E</w:t>
            </w:r>
            <w:r w:rsidRPr="006C2538">
              <w:rPr>
                <w:rFonts w:ascii="Times New Roman" w:hAnsi="Times New Roman"/>
                <w:sz w:val="22"/>
                <w:szCs w:val="22"/>
                <w:lang w:val="es-ES"/>
              </w:rPr>
              <w:t xml:space="preserve">ste informe concluyó que: </w:t>
            </w:r>
          </w:p>
          <w:p w:rsidR="002709DB" w:rsidRPr="006C2538" w:rsidRDefault="002709DB" w:rsidP="002A66C6">
            <w:pPr>
              <w:autoSpaceDE w:val="0"/>
              <w:autoSpaceDN w:val="0"/>
              <w:adjustRightInd w:val="0"/>
              <w:jc w:val="both"/>
              <w:rPr>
                <w:rFonts w:ascii="Times New Roman" w:hAnsi="Times New Roman"/>
                <w:sz w:val="22"/>
                <w:szCs w:val="22"/>
                <w:lang w:val="es-CO" w:eastAsia="en-US"/>
              </w:rPr>
            </w:pPr>
          </w:p>
          <w:p w:rsidR="00740DAB" w:rsidRPr="006C2538" w:rsidRDefault="00F75C52" w:rsidP="00491EF4">
            <w:pPr>
              <w:pStyle w:val="Prrafodelista"/>
              <w:numPr>
                <w:ilvl w:val="0"/>
                <w:numId w:val="9"/>
              </w:numPr>
              <w:spacing w:after="0" w:line="240" w:lineRule="auto"/>
              <w:ind w:left="360"/>
              <w:jc w:val="both"/>
              <w:rPr>
                <w:rFonts w:ascii="Times New Roman" w:hAnsi="Times New Roman"/>
              </w:rPr>
            </w:pPr>
            <w:r>
              <w:rPr>
                <w:rFonts w:ascii="Times New Roman" w:hAnsi="Times New Roman"/>
              </w:rPr>
              <w:lastRenderedPageBreak/>
              <w:t xml:space="preserve">Salvo lo registrado en las </w:t>
            </w:r>
            <w:r w:rsidR="00740DAB" w:rsidRPr="006C2538">
              <w:rPr>
                <w:rFonts w:ascii="Times New Roman" w:hAnsi="Times New Roman"/>
              </w:rPr>
              <w:t>Situaciones</w:t>
            </w:r>
            <w:r w:rsidR="002709DB">
              <w:rPr>
                <w:rFonts w:ascii="Times New Roman" w:hAnsi="Times New Roman"/>
              </w:rPr>
              <w:t xml:space="preserve"> Críticas, la Dirección </w:t>
            </w:r>
            <w:r w:rsidR="00740DAB" w:rsidRPr="006C2538">
              <w:rPr>
                <w:rFonts w:ascii="Times New Roman" w:hAnsi="Times New Roman"/>
              </w:rPr>
              <w:t>de Gestión Contractual dio cumplimiento a la normatividad  que</w:t>
            </w:r>
            <w:r w:rsidR="002709DB">
              <w:rPr>
                <w:rFonts w:ascii="Times New Roman" w:hAnsi="Times New Roman"/>
              </w:rPr>
              <w:t xml:space="preserve"> rige el proceso contractual y </w:t>
            </w:r>
            <w:r w:rsidR="00740DAB" w:rsidRPr="006C2538">
              <w:rPr>
                <w:rFonts w:ascii="Times New Roman" w:hAnsi="Times New Roman"/>
              </w:rPr>
              <w:t>a las disposiciones internas en cada una de sus etapas, mediante la ejecución de los procedimientos, aplicación de los formatos internos q</w:t>
            </w:r>
            <w:r>
              <w:rPr>
                <w:rFonts w:ascii="Times New Roman" w:hAnsi="Times New Roman"/>
              </w:rPr>
              <w:t xml:space="preserve">ue controlan </w:t>
            </w:r>
            <w:r w:rsidR="00740DAB" w:rsidRPr="006C2538">
              <w:rPr>
                <w:rFonts w:ascii="Times New Roman" w:hAnsi="Times New Roman"/>
              </w:rPr>
              <w:t xml:space="preserve">la </w:t>
            </w:r>
            <w:r w:rsidRPr="006C2538">
              <w:rPr>
                <w:rFonts w:ascii="Times New Roman" w:hAnsi="Times New Roman"/>
              </w:rPr>
              <w:t>actividad,</w:t>
            </w:r>
            <w:r>
              <w:rPr>
                <w:rFonts w:ascii="Times New Roman" w:hAnsi="Times New Roman"/>
              </w:rPr>
              <w:t xml:space="preserve"> y </w:t>
            </w:r>
            <w:r w:rsidR="00740DAB" w:rsidRPr="006C2538">
              <w:rPr>
                <w:rFonts w:ascii="Times New Roman" w:hAnsi="Times New Roman"/>
              </w:rPr>
              <w:t xml:space="preserve">la </w:t>
            </w:r>
            <w:r w:rsidRPr="006C2538">
              <w:rPr>
                <w:rFonts w:ascii="Times New Roman" w:hAnsi="Times New Roman"/>
              </w:rPr>
              <w:t>verificación,</w:t>
            </w:r>
            <w:r w:rsidR="00740DAB" w:rsidRPr="006C2538">
              <w:rPr>
                <w:rFonts w:ascii="Times New Roman" w:hAnsi="Times New Roman"/>
              </w:rPr>
              <w:t xml:space="preserve"> seguimiento y acompañamiento que aseguran la eficacia del poyo en la obtención de los productos misionales en la SDP.</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rPr>
              <w:t xml:space="preserve">En la etapa precontractual, el responsable del proceso cumplió con todos los requerimientos exigidos por la ley para desarrollar un proceso contractual acorde a las necesidades de la entidad, verificando los formatos con las solicitudes para contratar prestación de servicios profesionales y prestación de servicios, revisión de los estudios previos, modalidad de selección, respaldo presupuestal, entre otros temas. </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rPr>
              <w:t xml:space="preserve">En la etapa </w:t>
            </w:r>
            <w:r w:rsidR="00F75C52" w:rsidRPr="006C2538">
              <w:rPr>
                <w:rFonts w:ascii="Times New Roman" w:hAnsi="Times New Roman"/>
              </w:rPr>
              <w:t>contractual,</w:t>
            </w:r>
            <w:r w:rsidRPr="006C2538">
              <w:rPr>
                <w:rFonts w:ascii="Times New Roman" w:hAnsi="Times New Roman"/>
              </w:rPr>
              <w:t xml:space="preserve"> verificó que se cumplió a cabalidad con la expedición y aprobación de garantías, acorde con lo estipulado tanto en los documentos y estudios previos del contrato como en la minuta contractual.</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rPr>
              <w:t>De igual forma, la Dirección de Gestión Fina</w:t>
            </w:r>
            <w:r w:rsidR="002709DB">
              <w:rPr>
                <w:rFonts w:ascii="Times New Roman" w:hAnsi="Times New Roman"/>
              </w:rPr>
              <w:t>nciera avanzó considerablemente</w:t>
            </w:r>
            <w:r w:rsidRPr="006C2538">
              <w:rPr>
                <w:rFonts w:ascii="Times New Roman" w:hAnsi="Times New Roman"/>
              </w:rPr>
              <w:t xml:space="preserve"> en la aplicación de los controles y la exigencia al contratista de presentar los exámenes preocupacionales y la actualización de la hoja de vida en el aplicativo Sideap, como requisito para la realización del segundo pago al contratista. </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lang w:val="es-ES"/>
              </w:rPr>
              <w:t xml:space="preserve">Con la </w:t>
            </w:r>
            <w:r w:rsidRPr="006C2538">
              <w:rPr>
                <w:rFonts w:ascii="Times New Roman" w:hAnsi="Times New Roman"/>
                <w:i/>
                <w:lang w:val="es-ES"/>
              </w:rPr>
              <w:t>Acción Correctiva</w:t>
            </w:r>
            <w:r w:rsidRPr="006C2538">
              <w:rPr>
                <w:rFonts w:ascii="Times New Roman" w:hAnsi="Times New Roman"/>
                <w:lang w:val="es-ES"/>
              </w:rPr>
              <w:t xml:space="preserve"> adoptada dentro del proceso de Contratación de Bienes y Servicios por la Dirección de Gestión Financiera, respecto de la realización y aporte tanto de los exámenes médicos preocupaciones  como de la inclusión de la hoja de vida del contratista en el Sideap, se observó que la debilidad presentada ha sido corregida en forma satisfactoria. </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rPr>
              <w:t xml:space="preserve">Se dio cumplimiento a lo ordenado en cuanto a la aplicación </w:t>
            </w:r>
            <w:r w:rsidR="002709DB">
              <w:rPr>
                <w:rFonts w:ascii="Times New Roman" w:hAnsi="Times New Roman"/>
              </w:rPr>
              <w:t>del Decreto</w:t>
            </w:r>
            <w:r w:rsidRPr="006C2538">
              <w:rPr>
                <w:rFonts w:ascii="Times New Roman" w:hAnsi="Times New Roman"/>
              </w:rPr>
              <w:t xml:space="preserve"> </w:t>
            </w:r>
            <w:r w:rsidRPr="006C2538">
              <w:rPr>
                <w:rFonts w:ascii="Times New Roman" w:hAnsi="Times New Roman"/>
                <w:bCs/>
                <w:iCs/>
                <w:lang w:val="es-ES"/>
              </w:rPr>
              <w:t>371 de 2010, al ajustar y actualizar sus formatos; al realizar, conforme lo ordena la ley, el proceso de convocatoria pública para conocimiento de los procesos contractuales de la entidad por la ciudadanía en general; al cumplimi</w:t>
            </w:r>
            <w:r w:rsidR="002709DB">
              <w:rPr>
                <w:rFonts w:ascii="Times New Roman" w:hAnsi="Times New Roman"/>
                <w:bCs/>
                <w:iCs/>
                <w:lang w:val="es-ES"/>
              </w:rPr>
              <w:t xml:space="preserve">ento, por parte de los responsables, </w:t>
            </w:r>
            <w:r w:rsidRPr="006C2538">
              <w:rPr>
                <w:rFonts w:ascii="Times New Roman" w:hAnsi="Times New Roman"/>
                <w:bCs/>
                <w:iCs/>
                <w:lang w:val="es-ES"/>
              </w:rPr>
              <w:t>con el lleno de formalidades en los estudios de oportunidad, conveniencia y mercado; a la</w:t>
            </w:r>
            <w:r w:rsidR="002709DB">
              <w:rPr>
                <w:rFonts w:ascii="Times New Roman" w:hAnsi="Times New Roman"/>
                <w:bCs/>
                <w:iCs/>
                <w:lang w:val="es-ES"/>
              </w:rPr>
              <w:t xml:space="preserve"> </w:t>
            </w:r>
            <w:r w:rsidRPr="006C2538">
              <w:rPr>
                <w:rFonts w:ascii="Times New Roman" w:hAnsi="Times New Roman"/>
                <w:bCs/>
                <w:iCs/>
                <w:lang w:val="es-ES"/>
              </w:rPr>
              <w:t xml:space="preserve">realización de las audiencias de riesgos previsibles; al nombramiento de un comité evaluador en los casos que lo requiere; y, a las asesorías que prestan los diferentes funcionarios de la Dirección de Gestión Contractual.  </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bCs/>
                <w:iCs/>
                <w:lang w:val="es-ES"/>
              </w:rPr>
              <w:t xml:space="preserve">Así mismo, en relación con la Ley 1474 de 2011, se dio cumplimiento al seguimiento trimestral de la supervisión y la suscripción de las respectivas adendas en los casos que lo requirieron. Igualmente, en cuanto al Decreto 019 de 2012. </w:t>
            </w:r>
          </w:p>
          <w:p w:rsidR="00740DAB" w:rsidRPr="006C2538" w:rsidRDefault="00740DAB" w:rsidP="00491EF4">
            <w:pPr>
              <w:pStyle w:val="Prrafodelista"/>
              <w:numPr>
                <w:ilvl w:val="0"/>
                <w:numId w:val="9"/>
              </w:numPr>
              <w:spacing w:after="0" w:line="240" w:lineRule="auto"/>
              <w:ind w:left="360"/>
              <w:jc w:val="both"/>
              <w:rPr>
                <w:rFonts w:ascii="Times New Roman" w:hAnsi="Times New Roman"/>
              </w:rPr>
            </w:pPr>
            <w:r w:rsidRPr="006C2538">
              <w:rPr>
                <w:rFonts w:ascii="Times New Roman" w:hAnsi="Times New Roman"/>
                <w:bCs/>
                <w:iCs/>
                <w:lang w:val="es-ES"/>
              </w:rPr>
              <w:t>Adicionalmente, dentro del proceso de Transparencia establecido en la Ley 1712 de 2014, el proceso de Contratación de Bienes y Servicios en el ámbito de las actividades propuestas en la fase contractual, realizó las respectivas publicaciones en el SECOP y SIIP del mapa de procesos de la entidad, del Plan de Contratación y la publicación de los contratos celebrados mes a mes en la SDP.</w:t>
            </w:r>
          </w:p>
          <w:p w:rsidR="00740DAB" w:rsidRDefault="00740DAB" w:rsidP="00491EF4">
            <w:pPr>
              <w:pStyle w:val="Prrafodelista"/>
              <w:numPr>
                <w:ilvl w:val="0"/>
                <w:numId w:val="9"/>
              </w:numPr>
              <w:spacing w:after="0" w:line="240" w:lineRule="auto"/>
              <w:ind w:left="360"/>
              <w:jc w:val="both"/>
              <w:rPr>
                <w:rFonts w:ascii="Times New Roman" w:hAnsi="Times New Roman"/>
                <w:lang w:val="es-ES"/>
              </w:rPr>
            </w:pPr>
            <w:r w:rsidRPr="006C2538">
              <w:rPr>
                <w:rFonts w:ascii="Times New Roman" w:hAnsi="Times New Roman"/>
                <w:lang w:val="es-ES"/>
              </w:rPr>
              <w:t xml:space="preserve">La acción correctiva formulada en atención a la situación crítica identificada en la vigencia anterior, fue verificada por la OCI en cuanto al contenido de la presentación y la asistencia de los convocados. En igual sentido, se verificó que la Dirección Financiera reporta a la Dirección Contractual los certificados de exámenes médicos e inclusión de la hoja de vida presentada por los supervisores para el segundo pago al contratista, con lo cual se considera cumplida la gestión de mejora continua del proceso. </w:t>
            </w:r>
          </w:p>
          <w:p w:rsidR="002709DB" w:rsidRDefault="002709DB" w:rsidP="002709DB">
            <w:pPr>
              <w:jc w:val="both"/>
              <w:rPr>
                <w:rFonts w:ascii="Times New Roman" w:hAnsi="Times New Roman"/>
                <w:lang w:val="es-ES"/>
              </w:rPr>
            </w:pPr>
          </w:p>
          <w:p w:rsidR="002709DB" w:rsidRDefault="002709DB" w:rsidP="002709DB">
            <w:pPr>
              <w:jc w:val="both"/>
              <w:rPr>
                <w:rFonts w:ascii="Times New Roman" w:hAnsi="Times New Roman"/>
                <w:lang w:val="es-ES"/>
              </w:rPr>
            </w:pPr>
          </w:p>
          <w:p w:rsidR="002709DB" w:rsidRDefault="002709DB" w:rsidP="002709DB">
            <w:pPr>
              <w:jc w:val="both"/>
              <w:rPr>
                <w:rFonts w:ascii="Times New Roman" w:hAnsi="Times New Roman"/>
                <w:lang w:val="es-ES"/>
              </w:rPr>
            </w:pPr>
          </w:p>
          <w:p w:rsidR="002709DB" w:rsidRDefault="002709DB" w:rsidP="002709DB">
            <w:pPr>
              <w:jc w:val="both"/>
              <w:rPr>
                <w:rFonts w:ascii="Times New Roman" w:hAnsi="Times New Roman"/>
                <w:lang w:val="es-ES"/>
              </w:rPr>
            </w:pPr>
          </w:p>
          <w:p w:rsidR="002709DB" w:rsidRPr="002709DB" w:rsidRDefault="002709DB" w:rsidP="002709DB">
            <w:pPr>
              <w:jc w:val="both"/>
              <w:rPr>
                <w:rFonts w:ascii="Times New Roman" w:hAnsi="Times New Roman"/>
                <w:lang w:val="es-ES"/>
              </w:rPr>
            </w:pPr>
          </w:p>
          <w:p w:rsidR="002709DB" w:rsidRDefault="002709DB" w:rsidP="002A66C6">
            <w:pPr>
              <w:jc w:val="both"/>
              <w:rPr>
                <w:rFonts w:ascii="Times New Roman" w:hAnsi="Times New Roman"/>
                <w:b/>
                <w:i/>
                <w:sz w:val="22"/>
                <w:szCs w:val="22"/>
                <w:lang w:val="es-ES"/>
              </w:rPr>
            </w:pPr>
          </w:p>
          <w:p w:rsidR="002B66F0" w:rsidRDefault="002B66F0" w:rsidP="002A66C6">
            <w:pPr>
              <w:jc w:val="both"/>
              <w:rPr>
                <w:rFonts w:ascii="Times New Roman" w:hAnsi="Times New Roman"/>
                <w:b/>
                <w:sz w:val="22"/>
                <w:szCs w:val="22"/>
                <w:lang w:val="es-ES"/>
              </w:rPr>
            </w:pPr>
            <w:r w:rsidRPr="002709DB">
              <w:rPr>
                <w:rFonts w:ascii="Times New Roman" w:hAnsi="Times New Roman"/>
                <w:b/>
                <w:sz w:val="22"/>
                <w:szCs w:val="22"/>
                <w:lang w:val="es-ES"/>
              </w:rPr>
              <w:t xml:space="preserve">Informe de Seguimiento a la </w:t>
            </w:r>
            <w:r w:rsidR="002709DB">
              <w:rPr>
                <w:rFonts w:ascii="Times New Roman" w:hAnsi="Times New Roman"/>
                <w:b/>
                <w:sz w:val="22"/>
                <w:szCs w:val="22"/>
                <w:lang w:val="es-ES"/>
              </w:rPr>
              <w:t>e</w:t>
            </w:r>
            <w:r w:rsidRPr="002709DB">
              <w:rPr>
                <w:rFonts w:ascii="Times New Roman" w:hAnsi="Times New Roman"/>
                <w:b/>
                <w:sz w:val="22"/>
                <w:szCs w:val="22"/>
                <w:lang w:val="es-ES"/>
              </w:rPr>
              <w:t xml:space="preserve">jecución </w:t>
            </w:r>
            <w:r w:rsidR="002709DB">
              <w:rPr>
                <w:rFonts w:ascii="Times New Roman" w:hAnsi="Times New Roman"/>
                <w:b/>
                <w:sz w:val="22"/>
                <w:szCs w:val="22"/>
                <w:lang w:val="es-ES"/>
              </w:rPr>
              <w:t>C</w:t>
            </w:r>
            <w:r w:rsidRPr="002709DB">
              <w:rPr>
                <w:rFonts w:ascii="Times New Roman" w:hAnsi="Times New Roman"/>
                <w:b/>
                <w:sz w:val="22"/>
                <w:szCs w:val="22"/>
                <w:lang w:val="es-ES"/>
              </w:rPr>
              <w:t xml:space="preserve">ontractual, </w:t>
            </w:r>
            <w:r w:rsidR="002709DB">
              <w:rPr>
                <w:rFonts w:ascii="Times New Roman" w:hAnsi="Times New Roman"/>
                <w:b/>
                <w:sz w:val="22"/>
                <w:szCs w:val="22"/>
                <w:lang w:val="es-ES"/>
              </w:rPr>
              <w:t>P</w:t>
            </w:r>
            <w:r w:rsidRPr="002709DB">
              <w:rPr>
                <w:rFonts w:ascii="Times New Roman" w:hAnsi="Times New Roman"/>
                <w:b/>
                <w:sz w:val="22"/>
                <w:szCs w:val="22"/>
                <w:lang w:val="es-ES"/>
              </w:rPr>
              <w:t xml:space="preserve">resupuestal y </w:t>
            </w:r>
            <w:r w:rsidR="002709DB">
              <w:rPr>
                <w:rFonts w:ascii="Times New Roman" w:hAnsi="Times New Roman"/>
                <w:b/>
                <w:sz w:val="22"/>
                <w:szCs w:val="22"/>
                <w:lang w:val="es-ES"/>
              </w:rPr>
              <w:t>A</w:t>
            </w:r>
            <w:r w:rsidRPr="002709DB">
              <w:rPr>
                <w:rFonts w:ascii="Times New Roman" w:hAnsi="Times New Roman"/>
                <w:b/>
                <w:sz w:val="22"/>
                <w:szCs w:val="22"/>
                <w:lang w:val="es-ES"/>
              </w:rPr>
              <w:t xml:space="preserve">vance </w:t>
            </w:r>
            <w:r w:rsidR="002709DB">
              <w:rPr>
                <w:rFonts w:ascii="Times New Roman" w:hAnsi="Times New Roman"/>
                <w:b/>
                <w:sz w:val="22"/>
                <w:szCs w:val="22"/>
                <w:lang w:val="es-ES"/>
              </w:rPr>
              <w:t>F</w:t>
            </w:r>
            <w:r w:rsidRPr="002709DB">
              <w:rPr>
                <w:rFonts w:ascii="Times New Roman" w:hAnsi="Times New Roman"/>
                <w:b/>
                <w:sz w:val="22"/>
                <w:szCs w:val="22"/>
                <w:lang w:val="es-ES"/>
              </w:rPr>
              <w:t>ísico d</w:t>
            </w:r>
            <w:r w:rsidR="002709DB">
              <w:rPr>
                <w:rFonts w:ascii="Times New Roman" w:hAnsi="Times New Roman"/>
                <w:b/>
                <w:sz w:val="22"/>
                <w:szCs w:val="22"/>
                <w:lang w:val="es-ES"/>
              </w:rPr>
              <w:t xml:space="preserve">e los compromisos frente al PDD: </w:t>
            </w:r>
            <w:r w:rsidRPr="002709DB">
              <w:rPr>
                <w:rFonts w:ascii="Times New Roman" w:hAnsi="Times New Roman"/>
                <w:b/>
                <w:sz w:val="22"/>
                <w:szCs w:val="22"/>
                <w:lang w:val="es-ES"/>
              </w:rPr>
              <w:t xml:space="preserve">Bogotá Mejor </w:t>
            </w:r>
            <w:r w:rsidR="002709DB">
              <w:rPr>
                <w:rFonts w:ascii="Times New Roman" w:hAnsi="Times New Roman"/>
                <w:b/>
                <w:sz w:val="22"/>
                <w:szCs w:val="22"/>
                <w:lang w:val="es-ES"/>
              </w:rPr>
              <w:t>Para Todos periodo</w:t>
            </w:r>
            <w:r w:rsidRPr="002709DB">
              <w:rPr>
                <w:rFonts w:ascii="Times New Roman" w:hAnsi="Times New Roman"/>
                <w:b/>
                <w:sz w:val="22"/>
                <w:szCs w:val="22"/>
                <w:lang w:val="es-ES"/>
              </w:rPr>
              <w:t xml:space="preserve"> enero-marzo 2017</w:t>
            </w:r>
            <w:r w:rsidR="00590066" w:rsidRPr="002709DB">
              <w:rPr>
                <w:rFonts w:ascii="Times New Roman" w:hAnsi="Times New Roman"/>
                <w:b/>
                <w:sz w:val="22"/>
                <w:szCs w:val="22"/>
                <w:lang w:val="es-ES"/>
              </w:rPr>
              <w:t xml:space="preserve">: </w:t>
            </w:r>
          </w:p>
          <w:p w:rsidR="002709DB" w:rsidRPr="002709DB" w:rsidRDefault="002709DB" w:rsidP="002A66C6">
            <w:pPr>
              <w:jc w:val="both"/>
              <w:rPr>
                <w:rFonts w:ascii="Times New Roman" w:hAnsi="Times New Roman"/>
                <w:sz w:val="22"/>
                <w:szCs w:val="22"/>
                <w:lang w:val="es-ES"/>
              </w:rPr>
            </w:pPr>
          </w:p>
          <w:p w:rsidR="00590066" w:rsidRPr="002709DB" w:rsidRDefault="00590066" w:rsidP="00491EF4">
            <w:pPr>
              <w:pStyle w:val="Prrafodelista"/>
              <w:numPr>
                <w:ilvl w:val="0"/>
                <w:numId w:val="9"/>
              </w:numPr>
              <w:spacing w:after="0" w:line="240" w:lineRule="auto"/>
              <w:ind w:left="360"/>
              <w:jc w:val="both"/>
              <w:rPr>
                <w:rFonts w:ascii="Times New Roman" w:hAnsi="Times New Roman"/>
                <w:lang w:val="es-ES"/>
              </w:rPr>
            </w:pPr>
            <w:r w:rsidRPr="002709DB">
              <w:rPr>
                <w:rFonts w:ascii="Times New Roman" w:hAnsi="Times New Roman"/>
                <w:lang w:val="es-ES"/>
              </w:rPr>
              <w:lastRenderedPageBreak/>
              <w:t xml:space="preserve">Los </w:t>
            </w:r>
            <w:r w:rsidR="00B667DC">
              <w:rPr>
                <w:rFonts w:ascii="Times New Roman" w:hAnsi="Times New Roman"/>
                <w:lang w:val="es-ES"/>
              </w:rPr>
              <w:t>P</w:t>
            </w:r>
            <w:r w:rsidRPr="002709DB">
              <w:rPr>
                <w:rFonts w:ascii="Times New Roman" w:hAnsi="Times New Roman"/>
                <w:lang w:val="es-ES"/>
              </w:rPr>
              <w:t>royectos de Inversión  994 y 995, con tres y dos metas a cargo respectivamente</w:t>
            </w:r>
            <w:r w:rsidR="002709DB" w:rsidRPr="002709DB">
              <w:rPr>
                <w:rFonts w:ascii="Times New Roman" w:hAnsi="Times New Roman"/>
                <w:lang w:val="es-ES"/>
              </w:rPr>
              <w:t>, registraron</w:t>
            </w:r>
            <w:r w:rsidRPr="002709DB">
              <w:rPr>
                <w:rFonts w:ascii="Times New Roman" w:hAnsi="Times New Roman"/>
                <w:lang w:val="es-ES"/>
              </w:rPr>
              <w:t xml:space="preserve"> que la ejecución contractual y presupuestal</w:t>
            </w:r>
            <w:r w:rsidR="00B667DC">
              <w:rPr>
                <w:rFonts w:ascii="Times New Roman" w:hAnsi="Times New Roman"/>
                <w:lang w:val="es-ES"/>
              </w:rPr>
              <w:t xml:space="preserve"> programada alcanza </w:t>
            </w:r>
            <w:r w:rsidR="002709DB">
              <w:rPr>
                <w:rFonts w:ascii="Times New Roman" w:hAnsi="Times New Roman"/>
                <w:lang w:val="es-ES"/>
              </w:rPr>
              <w:t>el 80%</w:t>
            </w:r>
            <w:r w:rsidR="00B667DC">
              <w:rPr>
                <w:rFonts w:ascii="Times New Roman" w:hAnsi="Times New Roman"/>
                <w:lang w:val="es-ES"/>
              </w:rPr>
              <w:t xml:space="preserve"> </w:t>
            </w:r>
            <w:r w:rsidR="002709DB">
              <w:rPr>
                <w:rFonts w:ascii="Times New Roman" w:hAnsi="Times New Roman"/>
                <w:lang w:val="es-ES"/>
              </w:rPr>
              <w:t>(</w:t>
            </w:r>
            <w:r w:rsidRPr="002709DB">
              <w:rPr>
                <w:rFonts w:ascii="Times New Roman" w:hAnsi="Times New Roman"/>
                <w:lang w:val="es-ES"/>
              </w:rPr>
              <w:t>aprox) de  lo proyectado, para el primer t</w:t>
            </w:r>
            <w:r w:rsidR="00B667DC">
              <w:rPr>
                <w:rFonts w:ascii="Times New Roman" w:hAnsi="Times New Roman"/>
                <w:lang w:val="es-ES"/>
              </w:rPr>
              <w:t xml:space="preserve">rimestre del 2017; Es necesario </w:t>
            </w:r>
            <w:r w:rsidRPr="002709DB">
              <w:rPr>
                <w:rFonts w:ascii="Times New Roman" w:hAnsi="Times New Roman"/>
                <w:lang w:val="es-ES"/>
              </w:rPr>
              <w:t xml:space="preserve">continuar dando cumplimiento al </w:t>
            </w:r>
            <w:r w:rsidR="00B667DC">
              <w:rPr>
                <w:rFonts w:ascii="Times New Roman" w:hAnsi="Times New Roman"/>
                <w:lang w:val="es-ES"/>
              </w:rPr>
              <w:t>P</w:t>
            </w:r>
            <w:r w:rsidRPr="002709DB">
              <w:rPr>
                <w:rFonts w:ascii="Times New Roman" w:hAnsi="Times New Roman"/>
                <w:lang w:val="es-ES"/>
              </w:rPr>
              <w:t xml:space="preserve">lan de </w:t>
            </w:r>
            <w:r w:rsidR="00B667DC">
              <w:rPr>
                <w:rFonts w:ascii="Times New Roman" w:hAnsi="Times New Roman"/>
                <w:lang w:val="es-ES"/>
              </w:rPr>
              <w:t>C</w:t>
            </w:r>
            <w:r w:rsidRPr="002709DB">
              <w:rPr>
                <w:rFonts w:ascii="Times New Roman" w:hAnsi="Times New Roman"/>
                <w:lang w:val="es-ES"/>
              </w:rPr>
              <w:t>ontratación, ya que se identifican 12 contratos que no surtieron los procesos precontractuales y/o contractua</w:t>
            </w:r>
            <w:r w:rsidR="00B667DC">
              <w:rPr>
                <w:rFonts w:ascii="Times New Roman" w:hAnsi="Times New Roman"/>
                <w:lang w:val="es-ES"/>
              </w:rPr>
              <w:t xml:space="preserve">les. </w:t>
            </w:r>
            <w:r w:rsidRPr="002709DB">
              <w:rPr>
                <w:rFonts w:ascii="Times New Roman" w:hAnsi="Times New Roman"/>
                <w:lang w:val="es-ES"/>
              </w:rPr>
              <w:t xml:space="preserve">En cuanto al PAC, se muestra un avance porcentual </w:t>
            </w:r>
            <w:r w:rsidR="00B667DC">
              <w:rPr>
                <w:rFonts w:ascii="Times New Roman" w:hAnsi="Times New Roman"/>
                <w:lang w:val="es-ES"/>
              </w:rPr>
              <w:t>bajo</w:t>
            </w:r>
            <w:r w:rsidR="002709DB" w:rsidRPr="002709DB">
              <w:rPr>
                <w:rFonts w:ascii="Times New Roman" w:hAnsi="Times New Roman"/>
                <w:lang w:val="es-ES"/>
              </w:rPr>
              <w:t xml:space="preserve"> en</w:t>
            </w:r>
            <w:r w:rsidRPr="002709DB">
              <w:rPr>
                <w:rFonts w:ascii="Times New Roman" w:hAnsi="Times New Roman"/>
                <w:lang w:val="es-ES"/>
              </w:rPr>
              <w:t xml:space="preserve"> relación con lo programado inicialmente por los </w:t>
            </w:r>
            <w:r w:rsidR="002709DB" w:rsidRPr="002709DB">
              <w:rPr>
                <w:rFonts w:ascii="Times New Roman" w:hAnsi="Times New Roman"/>
                <w:lang w:val="es-ES"/>
              </w:rPr>
              <w:t>proyectos;</w:t>
            </w:r>
            <w:r w:rsidR="00B667DC">
              <w:rPr>
                <w:rFonts w:ascii="Times New Roman" w:hAnsi="Times New Roman"/>
                <w:lang w:val="es-ES"/>
              </w:rPr>
              <w:t xml:space="preserve"> situación</w:t>
            </w:r>
            <w:r w:rsidRPr="002709DB">
              <w:rPr>
                <w:rFonts w:ascii="Times New Roman" w:hAnsi="Times New Roman"/>
                <w:lang w:val="es-ES"/>
              </w:rPr>
              <w:t xml:space="preserve"> que denota debilidades en el ejercicio de la supervisión, para hacer efectivo lo acordado en la forma de pago. Las reservas presupuestales del proyecto </w:t>
            </w:r>
            <w:r w:rsidR="00B667DC">
              <w:rPr>
                <w:rFonts w:ascii="Times New Roman" w:hAnsi="Times New Roman"/>
                <w:lang w:val="es-ES"/>
              </w:rPr>
              <w:t xml:space="preserve">994 presentan </w:t>
            </w:r>
            <w:r w:rsidRPr="002709DB">
              <w:rPr>
                <w:rFonts w:ascii="Times New Roman" w:hAnsi="Times New Roman"/>
                <w:lang w:val="es-ES"/>
              </w:rPr>
              <w:t xml:space="preserve">un 8 % de ejecución sobre lo programado para el primer trimestre del año; </w:t>
            </w:r>
            <w:r w:rsidR="002709DB" w:rsidRPr="002709DB">
              <w:rPr>
                <w:rFonts w:ascii="Times New Roman" w:hAnsi="Times New Roman"/>
                <w:lang w:val="es-ES"/>
              </w:rPr>
              <w:t>situación,</w:t>
            </w:r>
            <w:r w:rsidR="00B667DC">
              <w:rPr>
                <w:rFonts w:ascii="Times New Roman" w:hAnsi="Times New Roman"/>
                <w:lang w:val="es-ES"/>
              </w:rPr>
              <w:t xml:space="preserve"> que igual que en el </w:t>
            </w:r>
            <w:r w:rsidR="002709DB" w:rsidRPr="002709DB">
              <w:rPr>
                <w:rFonts w:ascii="Times New Roman" w:hAnsi="Times New Roman"/>
                <w:lang w:val="es-ES"/>
              </w:rPr>
              <w:t>PAC,</w:t>
            </w:r>
            <w:r w:rsidRPr="002709DB">
              <w:rPr>
                <w:rFonts w:ascii="Times New Roman" w:hAnsi="Times New Roman"/>
                <w:lang w:val="es-ES"/>
              </w:rPr>
              <w:t xml:space="preserve"> requiere que  mayor seguimiento por parte de la supervisión de los contratos.</w:t>
            </w:r>
          </w:p>
          <w:p w:rsidR="00590066" w:rsidRPr="0070215A" w:rsidRDefault="00590066" w:rsidP="00491EF4">
            <w:pPr>
              <w:pStyle w:val="Prrafodelista"/>
              <w:numPr>
                <w:ilvl w:val="0"/>
                <w:numId w:val="9"/>
              </w:numPr>
              <w:spacing w:after="0" w:line="240" w:lineRule="auto"/>
              <w:ind w:left="360"/>
              <w:jc w:val="both"/>
              <w:rPr>
                <w:rFonts w:ascii="Times New Roman" w:hAnsi="Times New Roman"/>
                <w:lang w:val="es-ES"/>
              </w:rPr>
            </w:pPr>
            <w:r w:rsidRPr="002709DB">
              <w:rPr>
                <w:rFonts w:ascii="Times New Roman" w:hAnsi="Times New Roman"/>
                <w:lang w:val="es-ES"/>
              </w:rPr>
              <w:t>Para los proyectos 984, 986 y 990 se evidenció que algunas de sus metas no avanzaron de acuerdo con lo programado, afectando el porcentaje de gestión global de cada uno de los proyectos para el pr</w:t>
            </w:r>
            <w:r w:rsidR="0070215A">
              <w:rPr>
                <w:rFonts w:ascii="Times New Roman" w:hAnsi="Times New Roman"/>
                <w:lang w:val="es-ES"/>
              </w:rPr>
              <w:t xml:space="preserve">imer trimestre de la vigencia. </w:t>
            </w:r>
            <w:r w:rsidRPr="002709DB">
              <w:rPr>
                <w:rFonts w:ascii="Times New Roman" w:hAnsi="Times New Roman"/>
                <w:lang w:val="es-ES"/>
              </w:rPr>
              <w:t>Tal es el caso del proyecto 984, que registr</w:t>
            </w:r>
            <w:r w:rsidR="0070215A">
              <w:rPr>
                <w:rFonts w:ascii="Times New Roman" w:hAnsi="Times New Roman"/>
                <w:lang w:val="es-ES"/>
              </w:rPr>
              <w:t xml:space="preserve">a </w:t>
            </w:r>
            <w:r w:rsidRPr="002709DB">
              <w:rPr>
                <w:rFonts w:ascii="Times New Roman" w:hAnsi="Times New Roman"/>
                <w:lang w:val="es-ES"/>
              </w:rPr>
              <w:t>4 metas, una de ellas relacionada con implementar una estrategia de servicio a la ciudadanía, la cual no tuvo avance</w:t>
            </w:r>
            <w:r w:rsidR="0070215A">
              <w:rPr>
                <w:rFonts w:ascii="Times New Roman" w:hAnsi="Times New Roman"/>
                <w:lang w:val="es-ES"/>
              </w:rPr>
              <w:t xml:space="preserve">s ni en su gestión presupuestal, ni en su gestión contractual. </w:t>
            </w:r>
            <w:r w:rsidRPr="002709DB">
              <w:rPr>
                <w:rFonts w:ascii="Times New Roman" w:hAnsi="Times New Roman"/>
                <w:lang w:val="es-ES"/>
              </w:rPr>
              <w:t>También se ide</w:t>
            </w:r>
            <w:r w:rsidR="0070215A">
              <w:rPr>
                <w:rFonts w:ascii="Times New Roman" w:hAnsi="Times New Roman"/>
                <w:lang w:val="es-ES"/>
              </w:rPr>
              <w:t>ntificó dentro del proyecto 986</w:t>
            </w:r>
            <w:r w:rsidRPr="0070215A">
              <w:rPr>
                <w:rFonts w:ascii="Times New Roman" w:hAnsi="Times New Roman"/>
                <w:lang w:val="es-ES"/>
              </w:rPr>
              <w:t xml:space="preserve"> el mismo caso expuesto, donde la meta sobre atender las necesidades de adquisiciones, adecuaciones y mantenimiento de la infraestructura física y los bienes, reportó 0</w:t>
            </w:r>
            <w:r w:rsidR="0070215A">
              <w:rPr>
                <w:rFonts w:ascii="Times New Roman" w:hAnsi="Times New Roman"/>
                <w:lang w:val="es-ES"/>
              </w:rPr>
              <w:t xml:space="preserve"> </w:t>
            </w:r>
            <w:r w:rsidR="00971560">
              <w:rPr>
                <w:rFonts w:ascii="Times New Roman" w:hAnsi="Times New Roman"/>
                <w:lang w:val="es-ES"/>
              </w:rPr>
              <w:t xml:space="preserve">% de avance en su gestión. </w:t>
            </w:r>
            <w:r w:rsidRPr="0070215A">
              <w:rPr>
                <w:rFonts w:ascii="Times New Roman" w:hAnsi="Times New Roman"/>
                <w:lang w:val="es-ES"/>
              </w:rPr>
              <w:t>En cuanto a la cantidad de contratos programados para estos tres proyectos, se observó que no se logró gestionar lo proyectado para el trimestre, quedando 16 contratos en proceso precontractual o de perfeccionamiento. Los giros de las reservas presupuestales de los proyectos 984 y 990, con porcentajes de ejecución del 50% y el 74% respectivamente, avanzaron en concordancia con lo que se tenía proyectado para los meses iniciales de la pr</w:t>
            </w:r>
            <w:r w:rsidR="0070215A">
              <w:rPr>
                <w:rFonts w:ascii="Times New Roman" w:hAnsi="Times New Roman"/>
                <w:lang w:val="es-ES"/>
              </w:rPr>
              <w:t xml:space="preserve">esente vigencia; mientras que </w:t>
            </w:r>
            <w:r w:rsidRPr="0070215A">
              <w:rPr>
                <w:rFonts w:ascii="Times New Roman" w:hAnsi="Times New Roman"/>
                <w:lang w:val="es-ES"/>
              </w:rPr>
              <w:t>el proyecto 986 presentó una ejecución del 14% de las reser</w:t>
            </w:r>
            <w:r w:rsidR="0070215A">
              <w:rPr>
                <w:rFonts w:ascii="Times New Roman" w:hAnsi="Times New Roman"/>
                <w:lang w:val="es-ES"/>
              </w:rPr>
              <w:t>vas constituidas; situación que</w:t>
            </w:r>
            <w:r w:rsidRPr="0070215A">
              <w:rPr>
                <w:rFonts w:ascii="Times New Roman" w:hAnsi="Times New Roman"/>
                <w:lang w:val="es-ES"/>
              </w:rPr>
              <w:t xml:space="preserve"> es necesario monitorear por parte del supervisor, para que a lo largo del año se realicen los respectivos giros de acuerdo con la ejecución contractual de lo programado por las metas del proyecto.</w:t>
            </w:r>
          </w:p>
          <w:p w:rsidR="00590066" w:rsidRPr="002709DB" w:rsidRDefault="00590066" w:rsidP="00491EF4">
            <w:pPr>
              <w:pStyle w:val="Prrafodelista"/>
              <w:numPr>
                <w:ilvl w:val="0"/>
                <w:numId w:val="9"/>
              </w:numPr>
              <w:spacing w:after="0" w:line="240" w:lineRule="auto"/>
              <w:ind w:left="360"/>
              <w:jc w:val="both"/>
              <w:rPr>
                <w:rFonts w:ascii="Times New Roman" w:hAnsi="Times New Roman"/>
                <w:lang w:val="es-ES"/>
              </w:rPr>
            </w:pPr>
            <w:r w:rsidRPr="002709DB">
              <w:rPr>
                <w:rFonts w:ascii="Times New Roman" w:hAnsi="Times New Roman"/>
                <w:lang w:val="es-ES"/>
              </w:rPr>
              <w:t>Los proyectos de inversión 989 y 7504 presentaron porcentajes de ejecución del 14% y el 16 % en s</w:t>
            </w:r>
            <w:r w:rsidR="00971560">
              <w:rPr>
                <w:rFonts w:ascii="Times New Roman" w:hAnsi="Times New Roman"/>
                <w:lang w:val="es-ES"/>
              </w:rPr>
              <w:t xml:space="preserve">u presupuesto y del 35% y el 50% </w:t>
            </w:r>
            <w:r w:rsidRPr="002709DB">
              <w:rPr>
                <w:rFonts w:ascii="Times New Roman" w:hAnsi="Times New Roman"/>
                <w:lang w:val="es-ES"/>
              </w:rPr>
              <w:t>en la ejecución de la gesti</w:t>
            </w:r>
            <w:r w:rsidR="00971560">
              <w:rPr>
                <w:rFonts w:ascii="Times New Roman" w:hAnsi="Times New Roman"/>
                <w:lang w:val="es-ES"/>
              </w:rPr>
              <w:t>ón contractual, respectivamente.</w:t>
            </w:r>
            <w:r w:rsidRPr="002709DB">
              <w:rPr>
                <w:rFonts w:ascii="Times New Roman" w:hAnsi="Times New Roman"/>
                <w:lang w:val="es-ES"/>
              </w:rPr>
              <w:t xml:space="preserve">  </w:t>
            </w:r>
            <w:r w:rsidR="00971560">
              <w:rPr>
                <w:rFonts w:ascii="Times New Roman" w:hAnsi="Times New Roman"/>
                <w:lang w:val="es-ES"/>
              </w:rPr>
              <w:t>E</w:t>
            </w:r>
            <w:r w:rsidRPr="002709DB">
              <w:rPr>
                <w:rFonts w:ascii="Times New Roman" w:hAnsi="Times New Roman"/>
                <w:lang w:val="es-ES"/>
              </w:rPr>
              <w:t>stos resultados</w:t>
            </w:r>
            <w:r w:rsidR="00971560">
              <w:rPr>
                <w:rFonts w:ascii="Times New Roman" w:hAnsi="Times New Roman"/>
                <w:lang w:val="es-ES"/>
              </w:rPr>
              <w:t xml:space="preserve"> muestran que, </w:t>
            </w:r>
            <w:r w:rsidRPr="002709DB">
              <w:rPr>
                <w:rFonts w:ascii="Times New Roman" w:hAnsi="Times New Roman"/>
                <w:lang w:val="es-ES"/>
              </w:rPr>
              <w:t>para el periodo comprendid</w:t>
            </w:r>
            <w:r w:rsidR="00971560">
              <w:rPr>
                <w:rFonts w:ascii="Times New Roman" w:hAnsi="Times New Roman"/>
                <w:lang w:val="es-ES"/>
              </w:rPr>
              <w:t xml:space="preserve">o entre enero y marzo de 2017, </w:t>
            </w:r>
            <w:r w:rsidRPr="002709DB">
              <w:rPr>
                <w:rFonts w:ascii="Times New Roman" w:hAnsi="Times New Roman"/>
                <w:lang w:val="es-ES"/>
              </w:rPr>
              <w:t>se registró un retraso en los procesos de contratación y la gestión del presupuesto; adicionalmente, el avance del PAC de estos proyectos también presenta un po</w:t>
            </w:r>
            <w:r w:rsidR="00971560">
              <w:rPr>
                <w:rFonts w:ascii="Times New Roman" w:hAnsi="Times New Roman"/>
                <w:lang w:val="es-ES"/>
              </w:rPr>
              <w:t xml:space="preserve">rcentaje bajo en su ejecución. </w:t>
            </w:r>
            <w:r w:rsidRPr="002709DB">
              <w:rPr>
                <w:rFonts w:ascii="Times New Roman" w:hAnsi="Times New Roman"/>
                <w:lang w:val="es-ES"/>
              </w:rPr>
              <w:t>Se constituyeron reservas por $68 millones para el proyecto 7504, que dentro del periodo presentan un 0% de ejecución, lo cual da</w:t>
            </w:r>
            <w:r w:rsidR="00971560">
              <w:rPr>
                <w:rFonts w:ascii="Times New Roman" w:hAnsi="Times New Roman"/>
                <w:lang w:val="es-ES"/>
              </w:rPr>
              <w:t xml:space="preserve"> lugar a una ALERTA</w:t>
            </w:r>
            <w:r w:rsidRPr="002709DB">
              <w:rPr>
                <w:rFonts w:ascii="Times New Roman" w:hAnsi="Times New Roman"/>
                <w:lang w:val="es-ES"/>
              </w:rPr>
              <w:t xml:space="preserve"> sobre </w:t>
            </w:r>
            <w:r w:rsidR="00971560">
              <w:rPr>
                <w:rFonts w:ascii="Times New Roman" w:hAnsi="Times New Roman"/>
                <w:lang w:val="es-ES"/>
              </w:rPr>
              <w:t xml:space="preserve">los giros que se deben realizar, </w:t>
            </w:r>
            <w:r w:rsidRPr="002709DB">
              <w:rPr>
                <w:rFonts w:ascii="Times New Roman" w:hAnsi="Times New Roman"/>
                <w:lang w:val="es-ES"/>
              </w:rPr>
              <w:t xml:space="preserve">para no llegar acumular dichas reservas hasta el próximo año, lo cual significa un alto riesgo en la calificación financiera. </w:t>
            </w:r>
            <w:r w:rsidRPr="006C2538">
              <w:rPr>
                <w:rFonts w:ascii="Times New Roman" w:hAnsi="Times New Roman"/>
                <w:lang w:val="es-ES"/>
              </w:rPr>
              <w:t>En cuanto al proyecto 991 se observa que el porcentaje de ejecución de contratación fue del 4</w:t>
            </w:r>
            <w:r w:rsidR="00971560">
              <w:rPr>
                <w:rFonts w:ascii="Times New Roman" w:hAnsi="Times New Roman"/>
                <w:lang w:val="es-ES"/>
              </w:rPr>
              <w:t xml:space="preserve">6% y la ejecución presupuestal del 64%; lo cual, de acuerdo </w:t>
            </w:r>
            <w:r w:rsidRPr="006C2538">
              <w:rPr>
                <w:rFonts w:ascii="Times New Roman" w:hAnsi="Times New Roman"/>
                <w:lang w:val="es-ES"/>
              </w:rPr>
              <w:t xml:space="preserve">con lo reportado en </w:t>
            </w:r>
            <w:r w:rsidR="00971560">
              <w:rPr>
                <w:rFonts w:ascii="Times New Roman" w:hAnsi="Times New Roman"/>
                <w:lang w:val="es-ES"/>
              </w:rPr>
              <w:t>las herramientas de seguimiento, está dentro de lo proyectado.</w:t>
            </w:r>
            <w:r w:rsidRPr="006C2538">
              <w:rPr>
                <w:rFonts w:ascii="Times New Roman" w:hAnsi="Times New Roman"/>
                <w:lang w:val="es-ES"/>
              </w:rPr>
              <w:t xml:space="preserve"> </w:t>
            </w:r>
            <w:r w:rsidR="00971560">
              <w:rPr>
                <w:rFonts w:ascii="Times New Roman" w:hAnsi="Times New Roman"/>
                <w:lang w:val="es-ES"/>
              </w:rPr>
              <w:t>Sin embargo</w:t>
            </w:r>
            <w:r w:rsidRPr="006C2538">
              <w:rPr>
                <w:rFonts w:ascii="Times New Roman" w:hAnsi="Times New Roman"/>
                <w:lang w:val="es-ES"/>
              </w:rPr>
              <w:t xml:space="preserve"> es importante revisar la gestión del PAC del proyecto ya que presenta una ejecución del 8%. </w:t>
            </w:r>
            <w:r w:rsidR="00971560">
              <w:rPr>
                <w:rFonts w:ascii="Times New Roman" w:hAnsi="Times New Roman"/>
                <w:lang w:val="es-ES"/>
              </w:rPr>
              <w:t>Para la gestión contractual</w:t>
            </w:r>
            <w:r w:rsidRPr="002709DB">
              <w:rPr>
                <w:rFonts w:ascii="Times New Roman" w:hAnsi="Times New Roman"/>
                <w:lang w:val="es-ES"/>
              </w:rPr>
              <w:t xml:space="preserve"> se observa que para los tres proyectos no se logró gestionar </w:t>
            </w:r>
            <w:r w:rsidR="00971560">
              <w:rPr>
                <w:rFonts w:ascii="Times New Roman" w:hAnsi="Times New Roman"/>
                <w:lang w:val="es-ES"/>
              </w:rPr>
              <w:t xml:space="preserve">lo proyectado para el trimestre evaluado, quedando </w:t>
            </w:r>
            <w:r w:rsidRPr="002709DB">
              <w:rPr>
                <w:rFonts w:ascii="Times New Roman" w:hAnsi="Times New Roman"/>
                <w:lang w:val="es-ES"/>
              </w:rPr>
              <w:t>25 contratos en proceso precontractual o de perfeccionamiento de 45 contratos que fueron programados.</w:t>
            </w:r>
          </w:p>
          <w:p w:rsidR="00590066" w:rsidRPr="002709DB" w:rsidRDefault="002709DB" w:rsidP="00491EF4">
            <w:pPr>
              <w:pStyle w:val="Prrafodelista"/>
              <w:numPr>
                <w:ilvl w:val="0"/>
                <w:numId w:val="9"/>
              </w:numPr>
              <w:spacing w:after="0" w:line="240" w:lineRule="auto"/>
              <w:ind w:left="360"/>
              <w:jc w:val="both"/>
              <w:rPr>
                <w:rFonts w:ascii="Times New Roman" w:hAnsi="Times New Roman"/>
                <w:lang w:val="es-ES"/>
              </w:rPr>
            </w:pPr>
            <w:r>
              <w:rPr>
                <w:rFonts w:ascii="Times New Roman" w:hAnsi="Times New Roman"/>
                <w:lang w:val="es-ES"/>
              </w:rPr>
              <w:t>L</w:t>
            </w:r>
            <w:r w:rsidR="00590066" w:rsidRPr="002709DB">
              <w:rPr>
                <w:rFonts w:ascii="Times New Roman" w:hAnsi="Times New Roman"/>
                <w:lang w:val="es-ES"/>
              </w:rPr>
              <w:t>os proyectos 984, 986, 990, 7504 y 991 presentan un avance en su gestión tanto p</w:t>
            </w:r>
            <w:r w:rsidR="00971560">
              <w:rPr>
                <w:rFonts w:ascii="Times New Roman" w:hAnsi="Times New Roman"/>
                <w:lang w:val="es-ES"/>
              </w:rPr>
              <w:t xml:space="preserve">resupuestal como física en cero, </w:t>
            </w:r>
            <w:r w:rsidR="00590066" w:rsidRPr="002709DB">
              <w:rPr>
                <w:rFonts w:ascii="Times New Roman" w:hAnsi="Times New Roman"/>
                <w:lang w:val="es-ES"/>
              </w:rPr>
              <w:t xml:space="preserve">o con un porcentaje significativamente bajo para algunas metas; situación que debe ser revisada  pues se proyectó una programación  que debía llevarse a cabo dentro  del primer trimestre del año y al cierre registró  brechas de gestión bastante altas. </w:t>
            </w:r>
          </w:p>
          <w:p w:rsidR="00590066" w:rsidRPr="00CE5E13" w:rsidRDefault="00590066" w:rsidP="00491EF4">
            <w:pPr>
              <w:pStyle w:val="Prrafodelista"/>
              <w:numPr>
                <w:ilvl w:val="0"/>
                <w:numId w:val="10"/>
              </w:numPr>
              <w:ind w:right="206"/>
              <w:jc w:val="both"/>
              <w:rPr>
                <w:rFonts w:ascii="Times New Roman" w:hAnsi="Times New Roman"/>
                <w:lang w:eastAsia="es-CO"/>
              </w:rPr>
            </w:pPr>
            <w:r w:rsidRPr="00CE5E13">
              <w:rPr>
                <w:rFonts w:ascii="Times New Roman" w:hAnsi="Times New Roman"/>
                <w:lang w:eastAsia="es-CO"/>
              </w:rPr>
              <w:t xml:space="preserve">Los resultados </w:t>
            </w:r>
            <w:r w:rsidR="002709DB" w:rsidRPr="00CE5E13">
              <w:rPr>
                <w:rFonts w:ascii="Times New Roman" w:hAnsi="Times New Roman"/>
                <w:lang w:eastAsia="es-CO"/>
              </w:rPr>
              <w:t>registrados,</w:t>
            </w:r>
            <w:r w:rsidRPr="00CE5E13">
              <w:rPr>
                <w:rFonts w:ascii="Times New Roman" w:hAnsi="Times New Roman"/>
                <w:lang w:eastAsia="es-CO"/>
              </w:rPr>
              <w:t xml:space="preserve"> dieron origen a las siguientes </w:t>
            </w:r>
            <w:r w:rsidR="002709DB" w:rsidRPr="00CE5E13">
              <w:rPr>
                <w:rFonts w:ascii="Times New Roman" w:hAnsi="Times New Roman"/>
                <w:lang w:eastAsia="es-CO"/>
              </w:rPr>
              <w:t>recomendaciones.</w:t>
            </w:r>
          </w:p>
          <w:p w:rsidR="002709DB" w:rsidRDefault="002709DB" w:rsidP="002709DB">
            <w:pPr>
              <w:ind w:left="360"/>
              <w:contextualSpacing/>
              <w:jc w:val="both"/>
              <w:rPr>
                <w:rFonts w:ascii="Times New Roman" w:hAnsi="Times New Roman"/>
                <w:sz w:val="22"/>
                <w:szCs w:val="22"/>
                <w:lang w:val="es-CO" w:eastAsia="en-US"/>
              </w:rPr>
            </w:pPr>
          </w:p>
          <w:p w:rsidR="00590066" w:rsidRPr="006C2538" w:rsidRDefault="00590066" w:rsidP="00491EF4">
            <w:pPr>
              <w:numPr>
                <w:ilvl w:val="0"/>
                <w:numId w:val="10"/>
              </w:numPr>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El presupuesto general de proyectos de inversión para el periodo</w:t>
            </w:r>
            <w:r w:rsidR="00971560">
              <w:rPr>
                <w:rFonts w:ascii="Times New Roman" w:hAnsi="Times New Roman"/>
                <w:sz w:val="22"/>
                <w:szCs w:val="22"/>
                <w:lang w:val="es-CO" w:eastAsia="en-US"/>
              </w:rPr>
              <w:t xml:space="preserve"> 2017 </w:t>
            </w:r>
            <w:r w:rsidRPr="006C2538">
              <w:rPr>
                <w:rFonts w:ascii="Times New Roman" w:hAnsi="Times New Roman"/>
                <w:sz w:val="22"/>
                <w:szCs w:val="22"/>
                <w:lang w:val="es-CO" w:eastAsia="en-US"/>
              </w:rPr>
              <w:t xml:space="preserve">ha destinado recursos </w:t>
            </w:r>
            <w:r w:rsidR="00971560">
              <w:rPr>
                <w:rFonts w:ascii="Times New Roman" w:hAnsi="Times New Roman"/>
                <w:sz w:val="22"/>
                <w:szCs w:val="22"/>
                <w:lang w:val="es-CO" w:eastAsia="en-US"/>
              </w:rPr>
              <w:t>por la suma de $20.515 millones</w:t>
            </w:r>
            <w:r w:rsidRPr="006C2538">
              <w:rPr>
                <w:rFonts w:ascii="Times New Roman" w:hAnsi="Times New Roman"/>
                <w:sz w:val="22"/>
                <w:szCs w:val="22"/>
                <w:lang w:val="es-CO" w:eastAsia="en-US"/>
              </w:rPr>
              <w:t xml:space="preserve"> de los </w:t>
            </w:r>
            <w:r w:rsidR="00971560" w:rsidRPr="006C2538">
              <w:rPr>
                <w:rFonts w:ascii="Times New Roman" w:hAnsi="Times New Roman"/>
                <w:sz w:val="22"/>
                <w:szCs w:val="22"/>
                <w:lang w:val="es-CO" w:eastAsia="en-US"/>
              </w:rPr>
              <w:t>cuales,</w:t>
            </w:r>
            <w:r w:rsidRPr="006C2538">
              <w:rPr>
                <w:rFonts w:ascii="Times New Roman" w:hAnsi="Times New Roman"/>
                <w:sz w:val="22"/>
                <w:szCs w:val="22"/>
                <w:lang w:val="es-CO" w:eastAsia="en-US"/>
              </w:rPr>
              <w:t xml:space="preserve"> al cierre del primer trimestre, </w:t>
            </w:r>
            <w:r w:rsidR="00971560">
              <w:rPr>
                <w:rFonts w:ascii="Times New Roman" w:hAnsi="Times New Roman"/>
                <w:sz w:val="22"/>
                <w:szCs w:val="22"/>
                <w:lang w:val="es-CO" w:eastAsia="en-US"/>
              </w:rPr>
              <w:t xml:space="preserve">se </w:t>
            </w:r>
            <w:r w:rsidRPr="006C2538">
              <w:rPr>
                <w:rFonts w:ascii="Times New Roman" w:hAnsi="Times New Roman"/>
                <w:sz w:val="22"/>
                <w:szCs w:val="22"/>
                <w:lang w:val="es-CO" w:eastAsia="en-US"/>
              </w:rPr>
              <w:t>ha</w:t>
            </w:r>
            <w:r w:rsidR="00971560">
              <w:rPr>
                <w:rFonts w:ascii="Times New Roman" w:hAnsi="Times New Roman"/>
                <w:sz w:val="22"/>
                <w:szCs w:val="22"/>
                <w:lang w:val="es-CO" w:eastAsia="en-US"/>
              </w:rPr>
              <w:t>n</w:t>
            </w:r>
            <w:r w:rsidRPr="006C2538">
              <w:rPr>
                <w:rFonts w:ascii="Times New Roman" w:hAnsi="Times New Roman"/>
                <w:sz w:val="22"/>
                <w:szCs w:val="22"/>
                <w:lang w:val="es-CO" w:eastAsia="en-US"/>
              </w:rPr>
              <w:t xml:space="preserve"> comprometido $10.443 millones (51% ejecución pres</w:t>
            </w:r>
            <w:r w:rsidR="00971560">
              <w:rPr>
                <w:rFonts w:ascii="Times New Roman" w:hAnsi="Times New Roman"/>
                <w:sz w:val="22"/>
                <w:szCs w:val="22"/>
                <w:lang w:val="es-CO" w:eastAsia="en-US"/>
              </w:rPr>
              <w:t xml:space="preserve">upuestal) y girado sobre ellos </w:t>
            </w:r>
            <w:r w:rsidRPr="006C2538">
              <w:rPr>
                <w:rFonts w:ascii="Times New Roman" w:hAnsi="Times New Roman"/>
                <w:sz w:val="22"/>
                <w:szCs w:val="22"/>
                <w:lang w:val="es-CO" w:eastAsia="en-US"/>
              </w:rPr>
              <w:t xml:space="preserve">la suma de $757 millones </w:t>
            </w:r>
            <w:r w:rsidR="00971560">
              <w:rPr>
                <w:rFonts w:ascii="Times New Roman" w:hAnsi="Times New Roman"/>
                <w:sz w:val="22"/>
                <w:szCs w:val="22"/>
                <w:lang w:val="es-CO" w:eastAsia="en-US"/>
              </w:rPr>
              <w:t xml:space="preserve">que </w:t>
            </w:r>
            <w:r w:rsidR="00971560">
              <w:rPr>
                <w:rFonts w:ascii="Times New Roman" w:hAnsi="Times New Roman"/>
                <w:sz w:val="22"/>
                <w:szCs w:val="22"/>
                <w:lang w:val="es-CO" w:eastAsia="en-US"/>
              </w:rPr>
              <w:lastRenderedPageBreak/>
              <w:t>corresponde al 7% del total.  En este sentido,</w:t>
            </w:r>
            <w:r w:rsidRPr="006C2538">
              <w:rPr>
                <w:rFonts w:ascii="Times New Roman" w:hAnsi="Times New Roman"/>
                <w:sz w:val="22"/>
                <w:szCs w:val="22"/>
                <w:lang w:val="es-CO" w:eastAsia="en-US"/>
              </w:rPr>
              <w:t xml:space="preserve"> es importante recomendar que los supervisores de los contratos deben asegurar el cumplimiento de las formas de pago pactadas, para no afectar la gestión de los recursos y hacer efectivo PAC. </w:t>
            </w:r>
          </w:p>
          <w:p w:rsidR="00590066" w:rsidRPr="006C2538" w:rsidRDefault="00971560" w:rsidP="00491EF4">
            <w:pPr>
              <w:numPr>
                <w:ilvl w:val="0"/>
                <w:numId w:val="10"/>
              </w:numPr>
              <w:contextualSpacing/>
              <w:jc w:val="both"/>
              <w:rPr>
                <w:rFonts w:ascii="Times New Roman" w:hAnsi="Times New Roman"/>
                <w:sz w:val="22"/>
                <w:szCs w:val="22"/>
                <w:lang w:val="es-CO" w:eastAsia="en-US"/>
              </w:rPr>
            </w:pPr>
            <w:r>
              <w:rPr>
                <w:rFonts w:ascii="Times New Roman" w:hAnsi="Times New Roman"/>
                <w:sz w:val="22"/>
                <w:szCs w:val="22"/>
                <w:lang w:val="es-CO" w:eastAsia="en-US"/>
              </w:rPr>
              <w:t xml:space="preserve">En cuanto a la </w:t>
            </w:r>
            <w:r w:rsidR="00590066" w:rsidRPr="006C2538">
              <w:rPr>
                <w:rFonts w:ascii="Times New Roman" w:hAnsi="Times New Roman"/>
                <w:sz w:val="22"/>
                <w:szCs w:val="22"/>
                <w:lang w:val="es-CO" w:eastAsia="en-US"/>
              </w:rPr>
              <w:t>gestión física de los proyectos</w:t>
            </w:r>
            <w:r>
              <w:rPr>
                <w:rFonts w:ascii="Times New Roman" w:hAnsi="Times New Roman"/>
                <w:sz w:val="22"/>
                <w:szCs w:val="22"/>
                <w:lang w:val="es-CO" w:eastAsia="en-US"/>
              </w:rPr>
              <w:t xml:space="preserve"> se observa que en </w:t>
            </w:r>
            <w:r w:rsidR="00590066" w:rsidRPr="006C2538">
              <w:rPr>
                <w:rFonts w:ascii="Times New Roman" w:hAnsi="Times New Roman"/>
                <w:sz w:val="22"/>
                <w:szCs w:val="22"/>
                <w:lang w:val="es-CO" w:eastAsia="en-US"/>
              </w:rPr>
              <w:t>la programación de las actividades se tiene proyectado un mayor avance dentro del tercer y cuarto trimestre de la vige</w:t>
            </w:r>
            <w:r>
              <w:rPr>
                <w:rFonts w:ascii="Times New Roman" w:hAnsi="Times New Roman"/>
                <w:sz w:val="22"/>
                <w:szCs w:val="22"/>
                <w:lang w:val="es-CO" w:eastAsia="en-US"/>
              </w:rPr>
              <w:t>ncia; siendo esta una situación</w:t>
            </w:r>
            <w:r w:rsidR="00590066" w:rsidRPr="006C2538">
              <w:rPr>
                <w:rFonts w:ascii="Times New Roman" w:hAnsi="Times New Roman"/>
                <w:sz w:val="22"/>
                <w:szCs w:val="22"/>
                <w:lang w:val="es-CO" w:eastAsia="en-US"/>
              </w:rPr>
              <w:t xml:space="preserve"> que requiere seguimiento y control permanente, pues se pueden acumular tareas y gestión para el final del año, que pueden afectar de manera importante el efectivo cumplimiento de las metas.  </w:t>
            </w:r>
          </w:p>
          <w:p w:rsidR="00971560" w:rsidRDefault="00590066" w:rsidP="00491EF4">
            <w:pPr>
              <w:numPr>
                <w:ilvl w:val="0"/>
                <w:numId w:val="10"/>
              </w:numPr>
              <w:contextualSpacing/>
              <w:jc w:val="both"/>
              <w:rPr>
                <w:rFonts w:ascii="Times New Roman" w:hAnsi="Times New Roman"/>
                <w:sz w:val="22"/>
                <w:szCs w:val="22"/>
                <w:lang w:val="es-CO" w:eastAsia="es-CO"/>
              </w:rPr>
            </w:pPr>
            <w:r w:rsidRPr="006C2538">
              <w:rPr>
                <w:rFonts w:ascii="Times New Roman" w:hAnsi="Times New Roman"/>
                <w:sz w:val="22"/>
                <w:szCs w:val="22"/>
                <w:lang w:val="es-CO" w:eastAsia="en-US"/>
              </w:rPr>
              <w:t xml:space="preserve">En cuanto a los proyectos que presentan baja ejecución dentro de </w:t>
            </w:r>
            <w:r w:rsidR="00971560" w:rsidRPr="006C2538">
              <w:rPr>
                <w:rFonts w:ascii="Times New Roman" w:hAnsi="Times New Roman"/>
                <w:sz w:val="22"/>
                <w:szCs w:val="22"/>
                <w:lang w:val="es-CO" w:eastAsia="en-US"/>
              </w:rPr>
              <w:t>las gestiones contractuales</w:t>
            </w:r>
            <w:r w:rsidRPr="006C2538">
              <w:rPr>
                <w:rFonts w:ascii="Times New Roman" w:hAnsi="Times New Roman"/>
                <w:sz w:val="22"/>
                <w:szCs w:val="22"/>
                <w:lang w:val="es-CO" w:eastAsia="en-US"/>
              </w:rPr>
              <w:t>, presupuestal y física; se recomienda identificar las situaciones que han obstaculizado el</w:t>
            </w:r>
            <w:r w:rsidR="00971560">
              <w:rPr>
                <w:rFonts w:ascii="Times New Roman" w:hAnsi="Times New Roman"/>
                <w:sz w:val="22"/>
                <w:szCs w:val="22"/>
                <w:lang w:val="es-CO" w:eastAsia="en-US"/>
              </w:rPr>
              <w:t xml:space="preserve"> avance de los proyectos y así </w:t>
            </w:r>
            <w:r w:rsidRPr="006C2538">
              <w:rPr>
                <w:rFonts w:ascii="Times New Roman" w:hAnsi="Times New Roman"/>
                <w:sz w:val="22"/>
                <w:szCs w:val="22"/>
                <w:lang w:val="es-CO" w:eastAsia="en-US"/>
              </w:rPr>
              <w:t>generar un plan de choque para ponerse al día con la programación inicial, o buscar la reasignación</w:t>
            </w:r>
            <w:r w:rsidR="00971560">
              <w:rPr>
                <w:rFonts w:ascii="Times New Roman" w:hAnsi="Times New Roman"/>
                <w:sz w:val="22"/>
                <w:szCs w:val="22"/>
                <w:lang w:val="es-CO" w:eastAsia="en-US"/>
              </w:rPr>
              <w:t xml:space="preserve"> de los recursos oportunamente. </w:t>
            </w:r>
            <w:r w:rsidRPr="006C2538">
              <w:rPr>
                <w:rFonts w:ascii="Times New Roman" w:hAnsi="Times New Roman"/>
                <w:sz w:val="22"/>
                <w:szCs w:val="22"/>
                <w:lang w:val="es-CO" w:eastAsia="en-US"/>
              </w:rPr>
              <w:t>Estos casos deben ser revisados a instancias del comité de Contratación y tomas la medidas necesarias para  garantizar eficiencia en el manejo de los recursos</w:t>
            </w:r>
            <w:r w:rsidR="00971560">
              <w:rPr>
                <w:rFonts w:ascii="Times New Roman" w:hAnsi="Times New Roman"/>
                <w:sz w:val="22"/>
                <w:szCs w:val="22"/>
                <w:lang w:val="es-CO" w:eastAsia="en-US"/>
              </w:rPr>
              <w:t xml:space="preserve"> y de la gestión comprometida. </w:t>
            </w:r>
          </w:p>
          <w:p w:rsidR="00590066" w:rsidRPr="006C2538" w:rsidRDefault="00590066" w:rsidP="00491EF4">
            <w:pPr>
              <w:numPr>
                <w:ilvl w:val="0"/>
                <w:numId w:val="10"/>
              </w:numPr>
              <w:contextualSpacing/>
              <w:jc w:val="both"/>
              <w:rPr>
                <w:rFonts w:ascii="Times New Roman" w:hAnsi="Times New Roman"/>
                <w:sz w:val="22"/>
                <w:szCs w:val="22"/>
                <w:lang w:val="es-CO" w:eastAsia="es-CO"/>
              </w:rPr>
            </w:pPr>
            <w:r w:rsidRPr="006C2538">
              <w:rPr>
                <w:rFonts w:ascii="Times New Roman" w:hAnsi="Times New Roman"/>
                <w:sz w:val="22"/>
                <w:szCs w:val="22"/>
                <w:lang w:val="es-CO" w:eastAsia="es-CO"/>
              </w:rPr>
              <w:t xml:space="preserve">Se recomienda analizar los datos respecto a la programación de giros solicitados para las reservas presupuestales constituidas, ya que de acuerdo con las cifras de los cuadros anteriores, se observan  deficiencias en su ejecución que afectan los resultados tanto individual del proyecto, como en el acumulado estadístico de la ejecución de su PAC. Es preciso recordar que esta situación tiene además incidencias en la  medición de la gestión financiera. </w:t>
            </w:r>
          </w:p>
          <w:p w:rsidR="00FD15B5" w:rsidRPr="006C2538" w:rsidRDefault="00FD15B5" w:rsidP="00CE5E13">
            <w:pPr>
              <w:spacing w:line="276" w:lineRule="auto"/>
              <w:jc w:val="both"/>
              <w:rPr>
                <w:rFonts w:ascii="Times New Roman" w:hAnsi="Times New Roman"/>
                <w:sz w:val="22"/>
                <w:szCs w:val="22"/>
                <w:lang w:val="es-CO" w:eastAsia="es-CO"/>
              </w:rPr>
            </w:pPr>
          </w:p>
          <w:p w:rsidR="00954B4E" w:rsidRDefault="00FD15B5" w:rsidP="00CE5E13">
            <w:pPr>
              <w:pStyle w:val="Prrafodelista"/>
              <w:spacing w:after="0" w:line="240" w:lineRule="auto"/>
              <w:ind w:left="0"/>
              <w:jc w:val="both"/>
              <w:rPr>
                <w:rFonts w:ascii="Times New Roman" w:hAnsi="Times New Roman"/>
                <w:b/>
              </w:rPr>
            </w:pPr>
            <w:r w:rsidRPr="00954B4E">
              <w:rPr>
                <w:rFonts w:ascii="Times New Roman" w:hAnsi="Times New Roman"/>
                <w:b/>
                <w:lang w:eastAsia="es-CO"/>
              </w:rPr>
              <w:t>Informe de Seguimient</w:t>
            </w:r>
            <w:r w:rsidR="00954B4E">
              <w:rPr>
                <w:rFonts w:ascii="Times New Roman" w:hAnsi="Times New Roman"/>
                <w:b/>
                <w:lang w:eastAsia="es-CO"/>
              </w:rPr>
              <w:t>o al proceso de Evaluación del D</w:t>
            </w:r>
            <w:r w:rsidRPr="00954B4E">
              <w:rPr>
                <w:rFonts w:ascii="Times New Roman" w:hAnsi="Times New Roman"/>
                <w:b/>
                <w:lang w:eastAsia="es-CO"/>
              </w:rPr>
              <w:t xml:space="preserve">esempeño </w:t>
            </w:r>
            <w:r w:rsidR="00954B4E">
              <w:rPr>
                <w:rFonts w:ascii="Times New Roman" w:hAnsi="Times New Roman"/>
                <w:b/>
                <w:lang w:eastAsia="es-CO"/>
              </w:rPr>
              <w:t>L</w:t>
            </w:r>
            <w:r w:rsidRPr="00954B4E">
              <w:rPr>
                <w:rFonts w:ascii="Times New Roman" w:hAnsi="Times New Roman"/>
                <w:b/>
                <w:lang w:eastAsia="es-CO"/>
              </w:rPr>
              <w:t>aboral en la SDP , en el marco de la normatividad y las disposiciones internas en la SDP:</w:t>
            </w:r>
            <w:r w:rsidR="00991EC4" w:rsidRPr="00954B4E">
              <w:rPr>
                <w:rFonts w:ascii="Times New Roman" w:hAnsi="Times New Roman"/>
                <w:b/>
              </w:rPr>
              <w:t xml:space="preserve"> </w:t>
            </w:r>
          </w:p>
          <w:p w:rsidR="00954B4E" w:rsidRDefault="00991EC4" w:rsidP="00CE5E13">
            <w:pPr>
              <w:pStyle w:val="Prrafodelista"/>
              <w:spacing w:after="0" w:line="240" w:lineRule="auto"/>
              <w:ind w:left="0"/>
              <w:jc w:val="both"/>
              <w:rPr>
                <w:rFonts w:ascii="Times New Roman" w:hAnsi="Times New Roman"/>
              </w:rPr>
            </w:pPr>
            <w:r w:rsidRPr="006C2538">
              <w:rPr>
                <w:rFonts w:ascii="Times New Roman" w:hAnsi="Times New Roman"/>
              </w:rPr>
              <w:t xml:space="preserve">La Dirección de Gestión Humana, como líder del Proceso de Apoyo: Administración del Talento Humano, ejecutó las actividades formalmente establecidas en el procedimiento interno A-PD-014 Evaluación del Desempeño Laboral, logrando la consolidación de una información oficial sobre la evaluación del periodo en revisión (2016-2017), con lo cual se dió cumplimiento a la normatividad vigente en la materia. </w:t>
            </w:r>
          </w:p>
          <w:p w:rsidR="00954B4E" w:rsidRDefault="00991EC4" w:rsidP="00CE5E13">
            <w:pPr>
              <w:pStyle w:val="Prrafodelista"/>
              <w:spacing w:after="0" w:line="240" w:lineRule="auto"/>
              <w:ind w:left="0"/>
              <w:jc w:val="both"/>
              <w:rPr>
                <w:rFonts w:ascii="Times New Roman" w:hAnsi="Times New Roman"/>
              </w:rPr>
            </w:pPr>
            <w:r w:rsidRPr="006C2538">
              <w:rPr>
                <w:rFonts w:ascii="Times New Roman" w:hAnsi="Times New Roman"/>
              </w:rPr>
              <w:t xml:space="preserve">En concordancia con lo anterior, se observaron actividades para dar cumplimiento a lo establecido en la Ley 909 de </w:t>
            </w:r>
            <w:r w:rsidR="00954B4E" w:rsidRPr="006C2538">
              <w:rPr>
                <w:rFonts w:ascii="Times New Roman" w:hAnsi="Times New Roman"/>
              </w:rPr>
              <w:t>2004,</w:t>
            </w:r>
            <w:r w:rsidRPr="006C2538">
              <w:rPr>
                <w:rFonts w:ascii="Times New Roman" w:hAnsi="Times New Roman"/>
              </w:rPr>
              <w:t xml:space="preserve"> en lo referente a los efectos que dicho factor debe tener en el otorgamiento y/o retiro de incentivos a los funcionarios en Carrera Administrativa. En éste sentido, se evidenció que a través de la Comisión de Personal, se otorgaron auxilios educativos a funcionarios que obtuvieron una evaluación sobresaliente; así como el retiro de un encargo a un funcionario que no logro acceder a éste nivel en su evaluación del 2016. </w:t>
            </w:r>
          </w:p>
          <w:p w:rsidR="00954B4E" w:rsidRDefault="00991EC4" w:rsidP="00CE5E13">
            <w:pPr>
              <w:pStyle w:val="Prrafodelista"/>
              <w:spacing w:after="0" w:line="240" w:lineRule="auto"/>
              <w:ind w:left="0"/>
              <w:jc w:val="both"/>
              <w:rPr>
                <w:rFonts w:ascii="Times New Roman" w:hAnsi="Times New Roman"/>
              </w:rPr>
            </w:pPr>
            <w:r w:rsidRPr="006C2538">
              <w:rPr>
                <w:rFonts w:ascii="Times New Roman" w:hAnsi="Times New Roman"/>
              </w:rPr>
              <w:t xml:space="preserve">Así mismo, la DGH realizó actividades tendientes a sensibilizar y orientar a los directivos  para realizar la Evaluación del Desempeño de los funcionarios que se vincularon a la entidad en la Planta Temporal que ingresó en el último trimestre de la vigencia 2016, de acuerdo con las instrucciones y orientaciones impartidas desde el DASCD. </w:t>
            </w:r>
          </w:p>
          <w:p w:rsidR="00991EC4" w:rsidRPr="006C2538" w:rsidRDefault="00991EC4" w:rsidP="00CE5E13">
            <w:pPr>
              <w:pStyle w:val="Prrafodelista"/>
              <w:spacing w:after="0" w:line="240" w:lineRule="auto"/>
              <w:ind w:left="0"/>
              <w:jc w:val="both"/>
              <w:rPr>
                <w:rFonts w:ascii="Times New Roman" w:hAnsi="Times New Roman"/>
              </w:rPr>
            </w:pPr>
            <w:r w:rsidRPr="006C2538">
              <w:rPr>
                <w:rFonts w:ascii="Times New Roman" w:hAnsi="Times New Roman"/>
              </w:rPr>
              <w:t xml:space="preserve">Con lo anterior se asegura la evaluación del aporte de ésta planta temporal en el cumplimiento de las metas y objetivos institucionales, en el marco del PDD: Bogotá Mejor Para Todos. En cuanto al mejoramiento continuo, con base en el análisis de las acciones correctivas implementadas frente a las observaciones de la vigencia anterior sobre la EDL, se observó una adecuada y oportuna formulación de las acciones correctivas pertinentes, las cuales fueron cumplidas mediante la socialización de los documentos internos sobre el tema y acompañando la actualización del procedimiento para que incluya las ultimas disposiciones normativas al respecto, por parte de la Dirección de Planeación. </w:t>
            </w:r>
          </w:p>
          <w:p w:rsidR="00954B4E" w:rsidRDefault="00954B4E" w:rsidP="00CE5E13">
            <w:pPr>
              <w:pStyle w:val="Prrafodelista"/>
              <w:spacing w:after="0" w:line="240" w:lineRule="auto"/>
              <w:ind w:left="0"/>
              <w:jc w:val="both"/>
              <w:rPr>
                <w:rFonts w:ascii="Times New Roman" w:hAnsi="Times New Roman"/>
                <w:lang w:eastAsia="es-CO"/>
              </w:rPr>
            </w:pPr>
          </w:p>
          <w:p w:rsidR="00954B4E" w:rsidRDefault="00954B4E" w:rsidP="00CE5E13">
            <w:pPr>
              <w:pStyle w:val="Prrafodelista"/>
              <w:spacing w:after="0" w:line="240" w:lineRule="auto"/>
              <w:ind w:left="0"/>
              <w:jc w:val="both"/>
              <w:rPr>
                <w:rFonts w:ascii="Times New Roman" w:hAnsi="Times New Roman"/>
                <w:lang w:eastAsia="es-CO"/>
              </w:rPr>
            </w:pPr>
          </w:p>
          <w:p w:rsidR="00954B4E" w:rsidRDefault="00954B4E" w:rsidP="00CE5E13">
            <w:pPr>
              <w:pStyle w:val="Prrafodelista"/>
              <w:spacing w:after="0" w:line="240" w:lineRule="auto"/>
              <w:ind w:left="0"/>
              <w:jc w:val="both"/>
              <w:rPr>
                <w:rFonts w:ascii="Times New Roman" w:hAnsi="Times New Roman"/>
                <w:lang w:eastAsia="es-CO"/>
              </w:rPr>
            </w:pPr>
          </w:p>
          <w:p w:rsidR="00954B4E" w:rsidRDefault="00954B4E" w:rsidP="00CE5E13">
            <w:pPr>
              <w:pStyle w:val="Prrafodelista"/>
              <w:spacing w:after="0" w:line="240" w:lineRule="auto"/>
              <w:ind w:left="0"/>
              <w:jc w:val="both"/>
              <w:rPr>
                <w:rFonts w:ascii="Times New Roman" w:hAnsi="Times New Roman"/>
                <w:lang w:eastAsia="es-CO"/>
              </w:rPr>
            </w:pPr>
          </w:p>
          <w:p w:rsidR="00954B4E" w:rsidRDefault="00991EC4" w:rsidP="00CE5E13">
            <w:pPr>
              <w:pStyle w:val="Prrafodelista"/>
              <w:spacing w:after="0" w:line="240" w:lineRule="auto"/>
              <w:ind w:left="0"/>
              <w:jc w:val="both"/>
              <w:rPr>
                <w:rFonts w:ascii="Times New Roman" w:hAnsi="Times New Roman"/>
                <w:i/>
                <w:lang w:eastAsia="es-CO"/>
              </w:rPr>
            </w:pPr>
            <w:r w:rsidRPr="006C2538">
              <w:rPr>
                <w:rFonts w:ascii="Times New Roman" w:hAnsi="Times New Roman"/>
                <w:lang w:eastAsia="es-CO"/>
              </w:rPr>
              <w:t>La auditoría en comento, dio origen a las siguientes recomendaciones:</w:t>
            </w:r>
            <w:r w:rsidRPr="006C2538">
              <w:rPr>
                <w:rFonts w:ascii="Times New Roman" w:hAnsi="Times New Roman"/>
                <w:i/>
                <w:lang w:eastAsia="es-CO"/>
              </w:rPr>
              <w:t xml:space="preserve"> </w:t>
            </w:r>
          </w:p>
          <w:p w:rsidR="00991EC4" w:rsidRPr="00954B4E" w:rsidRDefault="00954B4E" w:rsidP="00954B4E">
            <w:pPr>
              <w:jc w:val="both"/>
              <w:rPr>
                <w:rFonts w:ascii="Times New Roman" w:eastAsia="Calibri" w:hAnsi="Times New Roman"/>
                <w:sz w:val="22"/>
                <w:szCs w:val="22"/>
                <w:lang w:val="es-CO" w:eastAsia="es-CO"/>
              </w:rPr>
            </w:pPr>
            <w:r w:rsidRPr="00954B4E">
              <w:rPr>
                <w:rFonts w:ascii="Times New Roman" w:eastAsia="Calibri" w:hAnsi="Times New Roman"/>
                <w:sz w:val="22"/>
                <w:szCs w:val="22"/>
                <w:lang w:val="es-CO" w:eastAsia="es-CO"/>
              </w:rPr>
              <w:t>Si</w:t>
            </w:r>
            <w:r w:rsidR="00991EC4" w:rsidRPr="00954B4E">
              <w:rPr>
                <w:rFonts w:ascii="Times New Roman" w:eastAsia="Calibri" w:hAnsi="Times New Roman"/>
                <w:sz w:val="22"/>
                <w:szCs w:val="22"/>
                <w:lang w:val="es-CO" w:eastAsia="es-CO"/>
              </w:rPr>
              <w:t xml:space="preserve"> bien la DGH realizó las actividades incluidas en el procedimiento A-PD-014 para motivar y acompañar la ejecución de la EDL</w:t>
            </w:r>
            <w:r w:rsidR="0027759F" w:rsidRPr="00954B4E">
              <w:rPr>
                <w:rFonts w:ascii="Times New Roman" w:eastAsia="Calibri" w:hAnsi="Times New Roman"/>
                <w:sz w:val="22"/>
                <w:szCs w:val="22"/>
                <w:lang w:val="es-CO" w:eastAsia="es-CO"/>
              </w:rPr>
              <w:t xml:space="preserve">, </w:t>
            </w:r>
            <w:r w:rsidR="00991EC4" w:rsidRPr="00954B4E">
              <w:rPr>
                <w:rFonts w:ascii="Times New Roman" w:eastAsia="Calibri" w:hAnsi="Times New Roman"/>
                <w:sz w:val="22"/>
                <w:szCs w:val="22"/>
                <w:lang w:val="es-CO" w:eastAsia="es-CO"/>
              </w:rPr>
              <w:t xml:space="preserve"> con base en lo observado y </w:t>
            </w:r>
            <w:r w:rsidRPr="00954B4E">
              <w:rPr>
                <w:rFonts w:ascii="Times New Roman" w:eastAsia="Calibri" w:hAnsi="Times New Roman"/>
                <w:sz w:val="22"/>
                <w:szCs w:val="22"/>
                <w:lang w:val="es-CO" w:eastAsia="es-CO"/>
              </w:rPr>
              <w:t>evidenciado,</w:t>
            </w:r>
            <w:r w:rsidR="00991EC4" w:rsidRPr="00954B4E">
              <w:rPr>
                <w:rFonts w:ascii="Times New Roman" w:eastAsia="Calibri" w:hAnsi="Times New Roman"/>
                <w:sz w:val="22"/>
                <w:szCs w:val="22"/>
                <w:lang w:val="es-CO" w:eastAsia="es-CO"/>
              </w:rPr>
              <w:t xml:space="preserve"> es claro que aún no se ha </w:t>
            </w:r>
            <w:r w:rsidR="00991EC4" w:rsidRPr="00954B4E">
              <w:rPr>
                <w:rFonts w:ascii="Times New Roman" w:eastAsia="Calibri" w:hAnsi="Times New Roman"/>
                <w:sz w:val="22"/>
                <w:szCs w:val="22"/>
                <w:lang w:val="es-CO" w:eastAsia="es-CO"/>
              </w:rPr>
              <w:lastRenderedPageBreak/>
              <w:t>logrado interiorizar la herramienta como un elemento que permita evaluar de manera objetiva el aporte de los funcionarios al cumplimiento de las metas y objetivos de su área, y así de la entidad. Lo anterior, ya que en la mayoría de los formatos revisados, no se incluyeron las metas y objetivos del área para el periodo 2016-2017 (tal y como lo define el procedimiento), y frente a lo cual se ha reiterado en la entidad la importancia de que los funcionarios analicen cómo engrana y  aporta su trabajo al cumplimiento de las metas del área; con mayor razón, en una vigencia como el 2016, en la cual se inició un nuevo PDD.</w:t>
            </w:r>
          </w:p>
          <w:p w:rsidR="00CE5E13" w:rsidRDefault="00CE5E13" w:rsidP="002A66C6">
            <w:pPr>
              <w:ind w:right="-674"/>
              <w:jc w:val="both"/>
              <w:rPr>
                <w:rFonts w:ascii="Times New Roman" w:hAnsi="Times New Roman"/>
                <w:sz w:val="22"/>
                <w:szCs w:val="22"/>
              </w:rPr>
            </w:pPr>
          </w:p>
          <w:p w:rsidR="0027759F" w:rsidRPr="00954B4E" w:rsidRDefault="0027759F" w:rsidP="002A66C6">
            <w:pPr>
              <w:ind w:right="-674"/>
              <w:jc w:val="both"/>
              <w:rPr>
                <w:rFonts w:ascii="Times New Roman" w:hAnsi="Times New Roman"/>
                <w:b/>
                <w:sz w:val="22"/>
                <w:szCs w:val="22"/>
                <w:lang w:val="es-ES"/>
              </w:rPr>
            </w:pPr>
            <w:r w:rsidRPr="00954B4E">
              <w:rPr>
                <w:rFonts w:ascii="Times New Roman" w:hAnsi="Times New Roman"/>
                <w:b/>
                <w:sz w:val="22"/>
                <w:szCs w:val="22"/>
              </w:rPr>
              <w:t xml:space="preserve">Evaluación de la eficacia de la gestión para la protección de activos,  equipos de procesamientos de datos y de las licencias de software adquiridas en la SDP: </w:t>
            </w:r>
          </w:p>
          <w:p w:rsidR="009E4C11" w:rsidRDefault="0027759F" w:rsidP="00491EF4">
            <w:pPr>
              <w:numPr>
                <w:ilvl w:val="0"/>
                <w:numId w:val="11"/>
              </w:numPr>
              <w:ind w:left="360"/>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El proceso de Administración de Recursos Financieros cuenta con el “</w:t>
            </w:r>
            <w:r w:rsidRPr="006C2538">
              <w:rPr>
                <w:rFonts w:ascii="Times New Roman" w:hAnsi="Times New Roman"/>
                <w:i/>
                <w:sz w:val="22"/>
                <w:szCs w:val="22"/>
                <w:lang w:val="es-CO" w:eastAsia="en-US"/>
              </w:rPr>
              <w:t>A-IN-021 Manual de  Políticas Contables</w:t>
            </w:r>
            <w:r w:rsidRPr="006C2538">
              <w:rPr>
                <w:rFonts w:ascii="Times New Roman" w:hAnsi="Times New Roman"/>
                <w:sz w:val="22"/>
                <w:szCs w:val="22"/>
                <w:lang w:val="es-CO" w:eastAsia="en-US"/>
              </w:rPr>
              <w:t xml:space="preserve">” dentro del cual, en lo correspondiente a los </w:t>
            </w:r>
            <w:r w:rsidR="00954B4E" w:rsidRPr="006C2538">
              <w:rPr>
                <w:rFonts w:ascii="Times New Roman" w:hAnsi="Times New Roman"/>
                <w:sz w:val="22"/>
                <w:szCs w:val="22"/>
                <w:lang w:val="es-CO" w:eastAsia="en-US"/>
              </w:rPr>
              <w:t>intangibles, fijó</w:t>
            </w:r>
            <w:r w:rsidRPr="006C2538">
              <w:rPr>
                <w:rFonts w:ascii="Times New Roman" w:hAnsi="Times New Roman"/>
                <w:sz w:val="22"/>
                <w:szCs w:val="22"/>
                <w:lang w:val="es-CO" w:eastAsia="en-US"/>
              </w:rPr>
              <w:t xml:space="preserve"> criterios en cuanto a la periodicidad para la actuali</w:t>
            </w:r>
            <w:r w:rsidR="00954B4E">
              <w:rPr>
                <w:rFonts w:ascii="Times New Roman" w:hAnsi="Times New Roman"/>
                <w:sz w:val="22"/>
                <w:szCs w:val="22"/>
                <w:lang w:val="es-CO" w:eastAsia="en-US"/>
              </w:rPr>
              <w:t xml:space="preserve">zación de licencias de software </w:t>
            </w:r>
            <w:r w:rsidRPr="006C2538">
              <w:rPr>
                <w:rFonts w:ascii="Times New Roman" w:hAnsi="Times New Roman"/>
                <w:sz w:val="22"/>
                <w:szCs w:val="22"/>
                <w:lang w:val="es-CO" w:eastAsia="en-US"/>
              </w:rPr>
              <w:t>y a su toma física de inventario.</w:t>
            </w:r>
            <w:r w:rsidR="009E4C11" w:rsidRPr="006C2538">
              <w:rPr>
                <w:rFonts w:ascii="Times New Roman" w:hAnsi="Times New Roman"/>
                <w:sz w:val="22"/>
                <w:szCs w:val="22"/>
                <w:lang w:val="es-CO" w:eastAsia="en-US"/>
              </w:rPr>
              <w:t xml:space="preserve"> </w:t>
            </w:r>
            <w:r w:rsidR="009E4C11" w:rsidRPr="006C2538">
              <w:rPr>
                <w:rFonts w:ascii="Times New Roman" w:hAnsi="Times New Roman"/>
                <w:i/>
                <w:sz w:val="22"/>
                <w:szCs w:val="22"/>
                <w:lang w:val="es-CO" w:eastAsia="en-US"/>
              </w:rPr>
              <w:t xml:space="preserve">A-LE-003  Política Para La Administración </w:t>
            </w:r>
            <w:r w:rsidR="00954B4E">
              <w:rPr>
                <w:rFonts w:ascii="Times New Roman" w:hAnsi="Times New Roman"/>
                <w:i/>
                <w:sz w:val="22"/>
                <w:szCs w:val="22"/>
                <w:lang w:val="es-CO" w:eastAsia="en-US"/>
              </w:rPr>
              <w:t xml:space="preserve">de </w:t>
            </w:r>
            <w:r w:rsidR="009E4C11" w:rsidRPr="006C2538">
              <w:rPr>
                <w:rFonts w:ascii="Times New Roman" w:hAnsi="Times New Roman"/>
                <w:i/>
                <w:sz w:val="22"/>
                <w:szCs w:val="22"/>
                <w:lang w:val="es-CO" w:eastAsia="en-US"/>
              </w:rPr>
              <w:t xml:space="preserve"> Inventarios”</w:t>
            </w:r>
            <w:r w:rsidR="00954B4E">
              <w:rPr>
                <w:rFonts w:ascii="Times New Roman" w:hAnsi="Times New Roman"/>
                <w:sz w:val="22"/>
                <w:szCs w:val="22"/>
                <w:lang w:val="es-CO" w:eastAsia="en-US"/>
              </w:rPr>
              <w:t xml:space="preserve">,  </w:t>
            </w:r>
            <w:r w:rsidR="009E4C11" w:rsidRPr="006C2538">
              <w:rPr>
                <w:rFonts w:ascii="Times New Roman" w:hAnsi="Times New Roman"/>
                <w:sz w:val="22"/>
                <w:szCs w:val="22"/>
                <w:lang w:val="es-CO" w:eastAsia="en-US"/>
              </w:rPr>
              <w:t xml:space="preserve">dentro de su objetivo se identifica el “control de inventarios”, operativizado. Así mismo, la </w:t>
            </w:r>
            <w:r w:rsidRPr="006C2538">
              <w:rPr>
                <w:rFonts w:ascii="Times New Roman" w:hAnsi="Times New Roman"/>
                <w:sz w:val="22"/>
                <w:szCs w:val="22"/>
                <w:lang w:val="es-CO" w:eastAsia="en-US"/>
              </w:rPr>
              <w:t>Dirección de Gestión Financiera</w:t>
            </w:r>
            <w:r w:rsidR="009E4C11" w:rsidRPr="006C2538">
              <w:rPr>
                <w:rFonts w:ascii="Times New Roman" w:hAnsi="Times New Roman"/>
                <w:sz w:val="22"/>
                <w:szCs w:val="22"/>
                <w:lang w:val="es-CO" w:eastAsia="en-US"/>
              </w:rPr>
              <w:t>,</w:t>
            </w:r>
            <w:r w:rsidRPr="006C2538">
              <w:rPr>
                <w:rFonts w:ascii="Times New Roman" w:hAnsi="Times New Roman"/>
                <w:sz w:val="22"/>
                <w:szCs w:val="22"/>
                <w:lang w:val="es-CO" w:eastAsia="en-US"/>
              </w:rPr>
              <w:t xml:space="preserve"> fijó el siguiente objetivo</w:t>
            </w:r>
            <w:r w:rsidR="00954B4E" w:rsidRPr="006C2538">
              <w:rPr>
                <w:rFonts w:ascii="Times New Roman" w:hAnsi="Times New Roman"/>
                <w:sz w:val="22"/>
                <w:szCs w:val="22"/>
                <w:lang w:val="es-CO" w:eastAsia="en-US"/>
              </w:rPr>
              <w:t>: “</w:t>
            </w:r>
            <w:r w:rsidRPr="006C2538">
              <w:rPr>
                <w:rFonts w:ascii="Times New Roman" w:hAnsi="Times New Roman"/>
                <w:i/>
                <w:sz w:val="22"/>
                <w:szCs w:val="22"/>
                <w:lang w:val="es-CO" w:eastAsia="en-US"/>
              </w:rPr>
              <w:t>Administrar eficientemente el presupuesto de gastos e inversiones asignados a la Secretaría Distrital de Planeación</w:t>
            </w:r>
            <w:r w:rsidRPr="006C2538">
              <w:rPr>
                <w:rFonts w:ascii="Times New Roman" w:hAnsi="Times New Roman"/>
                <w:sz w:val="22"/>
                <w:szCs w:val="22"/>
                <w:lang w:val="es-CO" w:eastAsia="en-US"/>
              </w:rPr>
              <w:t>”</w:t>
            </w:r>
            <w:r w:rsidR="009E4C11" w:rsidRPr="006C2538">
              <w:rPr>
                <w:rFonts w:ascii="Times New Roman" w:hAnsi="Times New Roman"/>
                <w:sz w:val="22"/>
                <w:szCs w:val="22"/>
                <w:lang w:val="es-CO" w:eastAsia="en-US"/>
              </w:rPr>
              <w:t>;</w:t>
            </w:r>
            <w:r w:rsidRPr="006C2538">
              <w:rPr>
                <w:rFonts w:ascii="Times New Roman" w:hAnsi="Times New Roman"/>
                <w:sz w:val="22"/>
                <w:szCs w:val="22"/>
                <w:lang w:val="es-CO" w:eastAsia="en-US"/>
              </w:rPr>
              <w:t xml:space="preserve"> para tal </w:t>
            </w:r>
            <w:r w:rsidR="00954B4E" w:rsidRPr="006C2538">
              <w:rPr>
                <w:rFonts w:ascii="Times New Roman" w:hAnsi="Times New Roman"/>
                <w:sz w:val="22"/>
                <w:szCs w:val="22"/>
                <w:lang w:val="es-CO" w:eastAsia="en-US"/>
              </w:rPr>
              <w:t>fin,</w:t>
            </w:r>
            <w:r w:rsidR="009E4C11" w:rsidRPr="006C2538">
              <w:rPr>
                <w:rFonts w:ascii="Times New Roman" w:hAnsi="Times New Roman"/>
                <w:sz w:val="22"/>
                <w:szCs w:val="22"/>
                <w:lang w:val="es-CO" w:eastAsia="en-US"/>
              </w:rPr>
              <w:t xml:space="preserve"> </w:t>
            </w:r>
            <w:r w:rsidRPr="006C2538">
              <w:rPr>
                <w:rFonts w:ascii="Times New Roman" w:hAnsi="Times New Roman"/>
                <w:sz w:val="22"/>
                <w:szCs w:val="22"/>
                <w:lang w:val="es-CO" w:eastAsia="en-US"/>
              </w:rPr>
              <w:t>estableció el procedimiento  “</w:t>
            </w:r>
            <w:r w:rsidRPr="006C2538">
              <w:rPr>
                <w:rFonts w:ascii="Times New Roman" w:hAnsi="Times New Roman"/>
                <w:i/>
                <w:sz w:val="22"/>
                <w:szCs w:val="22"/>
                <w:lang w:val="es-CO" w:eastAsia="en-US"/>
              </w:rPr>
              <w:t xml:space="preserve">A-PD-028 Administración Del Sistema De Información Contable”,  </w:t>
            </w:r>
            <w:r w:rsidRPr="006C2538">
              <w:rPr>
                <w:rFonts w:ascii="Times New Roman" w:hAnsi="Times New Roman"/>
                <w:sz w:val="22"/>
                <w:szCs w:val="22"/>
                <w:lang w:val="es-CO" w:eastAsia="en-US"/>
              </w:rPr>
              <w:t>e iden</w:t>
            </w:r>
            <w:r w:rsidR="00954B4E">
              <w:rPr>
                <w:rFonts w:ascii="Times New Roman" w:hAnsi="Times New Roman"/>
                <w:sz w:val="22"/>
                <w:szCs w:val="22"/>
                <w:lang w:val="es-CO" w:eastAsia="en-US"/>
              </w:rPr>
              <w:t xml:space="preserve">tifico los riesgos del proceso, </w:t>
            </w:r>
            <w:r w:rsidRPr="006C2538">
              <w:rPr>
                <w:rFonts w:ascii="Times New Roman" w:hAnsi="Times New Roman"/>
                <w:sz w:val="22"/>
                <w:szCs w:val="22"/>
                <w:lang w:val="es-CO" w:eastAsia="en-US"/>
              </w:rPr>
              <w:t>en el documento “A-LE-305 Mapa de Riesgos del Proceso de Administración de Recursos Financieros”</w:t>
            </w:r>
            <w:r w:rsidR="009E4C11" w:rsidRPr="006C2538">
              <w:rPr>
                <w:rFonts w:ascii="Times New Roman" w:hAnsi="Times New Roman"/>
                <w:sz w:val="22"/>
                <w:szCs w:val="22"/>
                <w:lang w:val="es-CO" w:eastAsia="en-US"/>
              </w:rPr>
              <w:t>.</w:t>
            </w:r>
          </w:p>
          <w:p w:rsidR="00954B4E" w:rsidRPr="006C2538" w:rsidRDefault="00954B4E" w:rsidP="00954B4E">
            <w:pPr>
              <w:ind w:left="360"/>
              <w:contextualSpacing/>
              <w:jc w:val="both"/>
              <w:rPr>
                <w:rFonts w:ascii="Times New Roman" w:hAnsi="Times New Roman"/>
                <w:sz w:val="22"/>
                <w:szCs w:val="22"/>
                <w:lang w:val="es-CO" w:eastAsia="en-US"/>
              </w:rPr>
            </w:pPr>
          </w:p>
          <w:p w:rsidR="009E4C11" w:rsidRPr="006C2538" w:rsidRDefault="009E4C11" w:rsidP="00491EF4">
            <w:pPr>
              <w:numPr>
                <w:ilvl w:val="0"/>
                <w:numId w:val="11"/>
              </w:numPr>
              <w:ind w:left="360"/>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La Dirección de Recursos Físicos  cuenta con el procedimiento “A-PD-045 Administración De Bienes De La SDP</w:t>
            </w:r>
            <w:r w:rsidR="00954B4E" w:rsidRPr="006C2538">
              <w:rPr>
                <w:rFonts w:ascii="Times New Roman" w:hAnsi="Times New Roman"/>
                <w:sz w:val="22"/>
                <w:szCs w:val="22"/>
                <w:lang w:val="es-CO" w:eastAsia="en-US"/>
              </w:rPr>
              <w:t>”;</w:t>
            </w:r>
            <w:r w:rsidRPr="006C2538">
              <w:rPr>
                <w:rFonts w:ascii="Times New Roman" w:hAnsi="Times New Roman"/>
                <w:sz w:val="22"/>
                <w:szCs w:val="22"/>
                <w:lang w:val="es-CO" w:eastAsia="en-US"/>
              </w:rPr>
              <w:t xml:space="preserve"> así mismo,  identifico los riesgos del proceso en el documento </w:t>
            </w:r>
            <w:r w:rsidRPr="006C2538">
              <w:rPr>
                <w:rFonts w:ascii="Times New Roman" w:hAnsi="Times New Roman"/>
                <w:i/>
                <w:sz w:val="22"/>
                <w:szCs w:val="22"/>
                <w:lang w:val="es-CO" w:eastAsia="en-US"/>
              </w:rPr>
              <w:t>“A-LE-311 Mapa de Riesgos del Proceso Administración de Recursos Físicos y Servicios Generales.</w:t>
            </w:r>
          </w:p>
          <w:p w:rsidR="009E4C11" w:rsidRPr="006C2538" w:rsidRDefault="009E4C11" w:rsidP="00CE5E13">
            <w:pPr>
              <w:ind w:left="360"/>
              <w:contextualSpacing/>
              <w:jc w:val="both"/>
              <w:rPr>
                <w:rFonts w:ascii="Times New Roman" w:hAnsi="Times New Roman"/>
                <w:sz w:val="22"/>
                <w:szCs w:val="22"/>
                <w:lang w:val="es-CO" w:eastAsia="en-US"/>
              </w:rPr>
            </w:pPr>
          </w:p>
          <w:p w:rsidR="0027759F" w:rsidRPr="006C2538" w:rsidRDefault="0027759F" w:rsidP="00491EF4">
            <w:pPr>
              <w:numPr>
                <w:ilvl w:val="0"/>
                <w:numId w:val="11"/>
              </w:numPr>
              <w:ind w:left="360"/>
              <w:contextualSpacing/>
              <w:jc w:val="both"/>
              <w:rPr>
                <w:rFonts w:ascii="Times New Roman" w:hAnsi="Times New Roman"/>
                <w:sz w:val="22"/>
                <w:szCs w:val="22"/>
                <w:lang w:val="es-CO" w:eastAsia="en-US"/>
              </w:rPr>
            </w:pPr>
            <w:r w:rsidRPr="006C2538">
              <w:rPr>
                <w:rFonts w:ascii="Times New Roman" w:hAnsi="Times New Roman"/>
                <w:sz w:val="22"/>
                <w:szCs w:val="22"/>
                <w:lang w:val="es-CO" w:eastAsia="en-US"/>
              </w:rPr>
              <w:t xml:space="preserve">  </w:t>
            </w:r>
            <w:r w:rsidRPr="006C2538">
              <w:rPr>
                <w:rFonts w:ascii="Times New Roman" w:hAnsi="Times New Roman"/>
                <w:sz w:val="22"/>
                <w:szCs w:val="22"/>
              </w:rPr>
              <w:t>La Dirección de Sistemas,  es responsable del  proceso de Soporte Tecnológico  “</w:t>
            </w:r>
            <w:r w:rsidRPr="006C2538">
              <w:rPr>
                <w:rFonts w:ascii="Times New Roman" w:hAnsi="Times New Roman"/>
                <w:i/>
                <w:sz w:val="22"/>
                <w:szCs w:val="22"/>
              </w:rPr>
              <w:t>A-CA-007 Soporte Tecnológico”</w:t>
            </w:r>
            <w:r w:rsidRPr="006C2538">
              <w:rPr>
                <w:rFonts w:ascii="Times New Roman" w:hAnsi="Times New Roman"/>
                <w:sz w:val="22"/>
                <w:szCs w:val="22"/>
              </w:rPr>
              <w:t>; dentro de su objetivo, se identifica la administración de la infraestructura tecnológica de la Entidad, el cual se cumple mediante el procedimiento  “</w:t>
            </w:r>
            <w:r w:rsidRPr="006C2538">
              <w:rPr>
                <w:rFonts w:ascii="Times New Roman" w:hAnsi="Times New Roman"/>
                <w:i/>
                <w:sz w:val="22"/>
                <w:szCs w:val="22"/>
              </w:rPr>
              <w:t xml:space="preserve">A-PD-089 Soporte Y Atención De La Mesa De Ayuda” ; </w:t>
            </w:r>
            <w:r w:rsidRPr="006C2538">
              <w:rPr>
                <w:rFonts w:ascii="Times New Roman" w:hAnsi="Times New Roman"/>
                <w:sz w:val="22"/>
                <w:szCs w:val="22"/>
              </w:rPr>
              <w:t xml:space="preserve"> identifico los riesgos del proceso en el documento “A-LE-303,  Mapa de Riesgos del Proceso de Soporte Tecnológico</w:t>
            </w:r>
          </w:p>
          <w:p w:rsidR="00CE5E13" w:rsidRPr="006C2538" w:rsidRDefault="00CE5E13" w:rsidP="002A66C6">
            <w:pPr>
              <w:spacing w:line="276" w:lineRule="auto"/>
              <w:jc w:val="both"/>
              <w:rPr>
                <w:rFonts w:ascii="Times New Roman" w:hAnsi="Times New Roman"/>
                <w:sz w:val="22"/>
                <w:szCs w:val="22"/>
                <w:lang w:val="es-CO" w:eastAsia="es-CO"/>
              </w:rPr>
            </w:pPr>
          </w:p>
          <w:p w:rsidR="0027759F" w:rsidRPr="006C2538" w:rsidRDefault="009E4C11" w:rsidP="002A66C6">
            <w:pPr>
              <w:tabs>
                <w:tab w:val="left" w:pos="6402"/>
              </w:tabs>
              <w:ind w:left="-11"/>
              <w:jc w:val="both"/>
              <w:rPr>
                <w:rFonts w:ascii="Times New Roman" w:hAnsi="Times New Roman"/>
                <w:sz w:val="22"/>
                <w:szCs w:val="22"/>
                <w:lang w:val="es-ES"/>
              </w:rPr>
            </w:pPr>
            <w:r w:rsidRPr="006C2538">
              <w:rPr>
                <w:rFonts w:ascii="Times New Roman" w:hAnsi="Times New Roman"/>
                <w:sz w:val="22"/>
                <w:szCs w:val="22"/>
                <w:lang w:val="es-ES"/>
              </w:rPr>
              <w:t xml:space="preserve">La OCI </w:t>
            </w:r>
            <w:r w:rsidR="0027759F" w:rsidRPr="006C2538">
              <w:rPr>
                <w:rFonts w:ascii="Times New Roman" w:hAnsi="Times New Roman"/>
                <w:sz w:val="22"/>
                <w:szCs w:val="22"/>
                <w:lang w:val="es-ES"/>
              </w:rPr>
              <w:t>recomienda incluir dentro del procedimiento “A-PD-045 Admi</w:t>
            </w:r>
            <w:r w:rsidR="00954B4E">
              <w:rPr>
                <w:rFonts w:ascii="Times New Roman" w:hAnsi="Times New Roman"/>
                <w:sz w:val="22"/>
                <w:szCs w:val="22"/>
                <w:lang w:val="es-ES"/>
              </w:rPr>
              <w:t>nistración de Bienes de la SDP”</w:t>
            </w:r>
            <w:r w:rsidR="0027759F" w:rsidRPr="006C2538">
              <w:rPr>
                <w:rFonts w:ascii="Times New Roman" w:hAnsi="Times New Roman"/>
                <w:sz w:val="22"/>
                <w:szCs w:val="22"/>
                <w:lang w:val="es-ES"/>
              </w:rPr>
              <w:t xml:space="preserve">, a cargo de la DRFGD, las actividades referentes al cumplimiento del “A-IN-021 Manual de  Políticas Contables” en cuanto a la  “Periodicidad de actualización del inventario de software y/o las licencias y de las actualizaciones” , y sus correspondientes controles en el “A-LE-311 Mapa de Riesgos del Proceso Administración de Recursos Físicos y Servicios Generales”  </w:t>
            </w:r>
          </w:p>
          <w:p w:rsidR="00BF25F3" w:rsidRDefault="00BF25F3" w:rsidP="002A66C6">
            <w:pPr>
              <w:tabs>
                <w:tab w:val="left" w:pos="6402"/>
              </w:tabs>
              <w:ind w:left="-11"/>
              <w:jc w:val="both"/>
              <w:rPr>
                <w:rFonts w:ascii="Times New Roman" w:hAnsi="Times New Roman"/>
                <w:sz w:val="22"/>
                <w:szCs w:val="22"/>
                <w:lang w:val="es-ES"/>
              </w:rPr>
            </w:pPr>
          </w:p>
          <w:p w:rsidR="0027759F" w:rsidRPr="006C2538" w:rsidRDefault="009E4C11" w:rsidP="002A66C6">
            <w:pPr>
              <w:tabs>
                <w:tab w:val="left" w:pos="6402"/>
              </w:tabs>
              <w:ind w:left="-11"/>
              <w:jc w:val="both"/>
              <w:rPr>
                <w:rFonts w:ascii="Times New Roman" w:hAnsi="Times New Roman"/>
                <w:sz w:val="22"/>
                <w:szCs w:val="22"/>
                <w:lang w:val="es-ES"/>
              </w:rPr>
            </w:pPr>
            <w:r w:rsidRPr="006C2538">
              <w:rPr>
                <w:rFonts w:ascii="Times New Roman" w:hAnsi="Times New Roman"/>
                <w:sz w:val="22"/>
                <w:szCs w:val="22"/>
                <w:lang w:val="es-ES"/>
              </w:rPr>
              <w:t xml:space="preserve">De igual manera,   es necesario </w:t>
            </w:r>
            <w:r w:rsidR="0027759F" w:rsidRPr="006C2538">
              <w:rPr>
                <w:rFonts w:ascii="Times New Roman" w:hAnsi="Times New Roman"/>
                <w:sz w:val="22"/>
                <w:szCs w:val="22"/>
                <w:lang w:val="es-ES"/>
              </w:rPr>
              <w:t xml:space="preserve"> incluir en el procedimiento “</w:t>
            </w:r>
            <w:r w:rsidR="00954B4E">
              <w:rPr>
                <w:rFonts w:ascii="Times New Roman" w:hAnsi="Times New Roman"/>
                <w:i/>
                <w:sz w:val="22"/>
                <w:szCs w:val="22"/>
                <w:lang w:val="es-ES"/>
              </w:rPr>
              <w:t>A-PD-089 Soporte y</w:t>
            </w:r>
            <w:r w:rsidR="0027759F" w:rsidRPr="006C2538">
              <w:rPr>
                <w:rFonts w:ascii="Times New Roman" w:hAnsi="Times New Roman"/>
                <w:i/>
                <w:sz w:val="22"/>
                <w:szCs w:val="22"/>
                <w:lang w:val="es-ES"/>
              </w:rPr>
              <w:t xml:space="preserve"> Atención </w:t>
            </w:r>
            <w:r w:rsidR="00954B4E">
              <w:rPr>
                <w:rFonts w:ascii="Times New Roman" w:hAnsi="Times New Roman"/>
                <w:i/>
                <w:sz w:val="22"/>
                <w:szCs w:val="22"/>
                <w:lang w:val="es-ES"/>
              </w:rPr>
              <w:t>d</w:t>
            </w:r>
            <w:r w:rsidR="0027759F" w:rsidRPr="006C2538">
              <w:rPr>
                <w:rFonts w:ascii="Times New Roman" w:hAnsi="Times New Roman"/>
                <w:i/>
                <w:sz w:val="22"/>
                <w:szCs w:val="22"/>
                <w:lang w:val="es-ES"/>
              </w:rPr>
              <w:t xml:space="preserve">e </w:t>
            </w:r>
            <w:r w:rsidR="00954B4E">
              <w:rPr>
                <w:rFonts w:ascii="Times New Roman" w:hAnsi="Times New Roman"/>
                <w:i/>
                <w:sz w:val="22"/>
                <w:szCs w:val="22"/>
                <w:lang w:val="es-ES"/>
              </w:rPr>
              <w:t>la Mesa d</w:t>
            </w:r>
            <w:r w:rsidR="0027759F" w:rsidRPr="006C2538">
              <w:rPr>
                <w:rFonts w:ascii="Times New Roman" w:hAnsi="Times New Roman"/>
                <w:i/>
                <w:sz w:val="22"/>
                <w:szCs w:val="22"/>
                <w:lang w:val="es-ES"/>
              </w:rPr>
              <w:t>e Ayuda</w:t>
            </w:r>
            <w:r w:rsidR="0027759F" w:rsidRPr="006C2538">
              <w:rPr>
                <w:rFonts w:ascii="Times New Roman" w:hAnsi="Times New Roman"/>
                <w:sz w:val="22"/>
                <w:szCs w:val="22"/>
                <w:lang w:val="es-ES"/>
              </w:rPr>
              <w:t xml:space="preserve">”  implementar  registros que soporten la administración  del licenciamiento de Software de la SDP y  dar cumplimiento de su asignación al Coordinador de la Mesa de Servicio tal como aparece en este procedimiento </w:t>
            </w:r>
          </w:p>
          <w:p w:rsidR="00BF25F3" w:rsidRDefault="00BF25F3" w:rsidP="00954B4E">
            <w:pPr>
              <w:jc w:val="both"/>
              <w:rPr>
                <w:rFonts w:ascii="Times New Roman" w:hAnsi="Times New Roman"/>
                <w:sz w:val="22"/>
                <w:szCs w:val="22"/>
                <w:lang w:val="es-ES"/>
              </w:rPr>
            </w:pPr>
          </w:p>
          <w:p w:rsidR="0027759F" w:rsidRPr="006C2538" w:rsidRDefault="0027759F" w:rsidP="00954B4E">
            <w:pPr>
              <w:jc w:val="both"/>
              <w:rPr>
                <w:rFonts w:ascii="Times New Roman" w:hAnsi="Times New Roman"/>
                <w:i/>
                <w:sz w:val="22"/>
                <w:szCs w:val="22"/>
                <w:lang w:val="es-ES"/>
              </w:rPr>
            </w:pPr>
            <w:r w:rsidRPr="006C2538">
              <w:rPr>
                <w:rFonts w:ascii="Times New Roman" w:hAnsi="Times New Roman"/>
                <w:sz w:val="22"/>
                <w:szCs w:val="22"/>
                <w:lang w:val="es-ES"/>
              </w:rPr>
              <w:t xml:space="preserve">Se encontró ambigüedad en los controles establecidos para cumplir la función de recepción de los bienes adquiridos en la SDP; las actividades que se despliegan no resultan concordantes con las definidas en el objetivo del proceso A-PD-045 </w:t>
            </w:r>
            <w:r w:rsidRPr="00954B4E">
              <w:rPr>
                <w:rFonts w:ascii="Times New Roman" w:hAnsi="Times New Roman"/>
                <w:sz w:val="22"/>
                <w:szCs w:val="22"/>
                <w:lang w:val="es-ES"/>
              </w:rPr>
              <w:t>“</w:t>
            </w:r>
            <w:r w:rsidRPr="00954B4E">
              <w:rPr>
                <w:rFonts w:ascii="Times New Roman" w:hAnsi="Times New Roman"/>
                <w:i/>
                <w:sz w:val="22"/>
                <w:szCs w:val="22"/>
                <w:lang w:val="es-ES"/>
              </w:rPr>
              <w:t xml:space="preserve">Administrar y controlar la existencia y ubicación de los bienes de propiedad de la entidad” </w:t>
            </w:r>
            <w:r w:rsidRPr="00954B4E">
              <w:rPr>
                <w:rFonts w:ascii="Times New Roman" w:hAnsi="Times New Roman"/>
                <w:sz w:val="22"/>
                <w:szCs w:val="22"/>
                <w:lang w:val="es-ES"/>
              </w:rPr>
              <w:t>y el  ALCANCE</w:t>
            </w:r>
            <w:r w:rsidRPr="00954B4E">
              <w:rPr>
                <w:rFonts w:ascii="Times New Roman" w:hAnsi="Times New Roman"/>
                <w:i/>
                <w:sz w:val="22"/>
                <w:szCs w:val="22"/>
                <w:lang w:val="es-ES"/>
              </w:rPr>
              <w:t xml:space="preserve"> </w:t>
            </w:r>
            <w:r w:rsidR="00954B4E" w:rsidRPr="00954B4E">
              <w:rPr>
                <w:rFonts w:ascii="Times New Roman" w:hAnsi="Times New Roman"/>
                <w:i/>
                <w:sz w:val="22"/>
                <w:szCs w:val="22"/>
                <w:lang w:val="es-ES"/>
              </w:rPr>
              <w:t>“Desde</w:t>
            </w:r>
            <w:r w:rsidRPr="00954B4E">
              <w:rPr>
                <w:rFonts w:ascii="Times New Roman" w:hAnsi="Times New Roman"/>
                <w:i/>
                <w:sz w:val="22"/>
                <w:szCs w:val="22"/>
                <w:lang w:val="es-ES"/>
              </w:rPr>
              <w:t xml:space="preserve"> la recepción inicial del bien en inventarios, hasta definir su disposición final</w:t>
            </w:r>
            <w:r w:rsidR="00954B4E" w:rsidRPr="00954B4E">
              <w:rPr>
                <w:rFonts w:ascii="Times New Roman" w:hAnsi="Times New Roman"/>
                <w:i/>
                <w:sz w:val="22"/>
                <w:szCs w:val="22"/>
                <w:lang w:val="es-ES"/>
              </w:rPr>
              <w:t>”</w:t>
            </w:r>
            <w:r w:rsidRPr="006C2538">
              <w:rPr>
                <w:rFonts w:ascii="Times New Roman" w:hAnsi="Times New Roman"/>
                <w:i/>
                <w:sz w:val="22"/>
                <w:szCs w:val="22"/>
                <w:lang w:val="es-ES"/>
              </w:rPr>
              <w:t xml:space="preserve">, </w:t>
            </w:r>
            <w:r w:rsidRPr="003E1494">
              <w:rPr>
                <w:rFonts w:ascii="Times New Roman" w:hAnsi="Times New Roman"/>
                <w:sz w:val="22"/>
                <w:szCs w:val="22"/>
                <w:lang w:val="es-ES"/>
              </w:rPr>
              <w:t>las cuales no</w:t>
            </w:r>
            <w:r w:rsidRPr="006C2538">
              <w:rPr>
                <w:rFonts w:ascii="Times New Roman" w:hAnsi="Times New Roman"/>
                <w:i/>
                <w:sz w:val="22"/>
                <w:szCs w:val="22"/>
                <w:lang w:val="es-ES"/>
              </w:rPr>
              <w:t xml:space="preserve"> </w:t>
            </w:r>
            <w:r w:rsidRPr="006C2538">
              <w:rPr>
                <w:rFonts w:ascii="Times New Roman" w:hAnsi="Times New Roman"/>
                <w:sz w:val="22"/>
                <w:szCs w:val="22"/>
                <w:lang w:val="es-ES"/>
              </w:rPr>
              <w:t xml:space="preserve"> soportan eficazmente dicho propósito</w:t>
            </w:r>
            <w:r w:rsidRPr="006C2538">
              <w:rPr>
                <w:rFonts w:ascii="Times New Roman" w:hAnsi="Times New Roman"/>
                <w:i/>
                <w:sz w:val="22"/>
                <w:szCs w:val="22"/>
                <w:lang w:val="es-ES"/>
              </w:rPr>
              <w:t xml:space="preserve">. </w:t>
            </w:r>
          </w:p>
          <w:p w:rsidR="00954B4E" w:rsidRDefault="00954B4E" w:rsidP="002A66C6">
            <w:pPr>
              <w:jc w:val="both"/>
              <w:rPr>
                <w:rFonts w:ascii="Times New Roman" w:hAnsi="Times New Roman"/>
                <w:sz w:val="22"/>
                <w:szCs w:val="22"/>
                <w:lang w:val="es-ES"/>
              </w:rPr>
            </w:pPr>
          </w:p>
          <w:p w:rsidR="006C52EC" w:rsidRPr="006C2538" w:rsidRDefault="0027759F" w:rsidP="002A66C6">
            <w:pPr>
              <w:jc w:val="both"/>
              <w:rPr>
                <w:rFonts w:ascii="Times New Roman" w:hAnsi="Times New Roman"/>
                <w:sz w:val="22"/>
                <w:szCs w:val="22"/>
                <w:lang w:val="es-ES"/>
              </w:rPr>
            </w:pPr>
            <w:r w:rsidRPr="006C2538">
              <w:rPr>
                <w:rFonts w:ascii="Times New Roman" w:hAnsi="Times New Roman"/>
                <w:sz w:val="22"/>
                <w:szCs w:val="22"/>
                <w:lang w:val="es-ES"/>
              </w:rPr>
              <w:t>Frente a esta situación, la OCI recomienda, revisar la definición y alcance de la caracterización del proceso y los instrumentos que la operativizan; determinar con claridad el procedimiento a seguir para el cumplimiento de la función de RECEPCIÓN</w:t>
            </w:r>
            <w:r w:rsidR="009E4C11" w:rsidRPr="006C2538">
              <w:rPr>
                <w:rFonts w:ascii="Times New Roman" w:hAnsi="Times New Roman"/>
                <w:sz w:val="22"/>
                <w:szCs w:val="22"/>
                <w:lang w:val="es-ES"/>
              </w:rPr>
              <w:t>.</w:t>
            </w:r>
          </w:p>
          <w:p w:rsidR="00D60DC2" w:rsidRPr="006C2538" w:rsidRDefault="00D60DC2" w:rsidP="002A66C6">
            <w:pPr>
              <w:jc w:val="both"/>
              <w:rPr>
                <w:rFonts w:ascii="Times New Roman" w:hAnsi="Times New Roman"/>
                <w:sz w:val="22"/>
                <w:szCs w:val="22"/>
                <w:lang w:val="es-ES"/>
              </w:rPr>
            </w:pPr>
          </w:p>
          <w:p w:rsidR="009E4C11" w:rsidRPr="00BF25F3" w:rsidRDefault="00954B4E" w:rsidP="00954B4E">
            <w:pPr>
              <w:ind w:right="210"/>
              <w:jc w:val="both"/>
              <w:rPr>
                <w:rFonts w:ascii="Times New Roman" w:hAnsi="Times New Roman"/>
                <w:sz w:val="22"/>
                <w:szCs w:val="22"/>
                <w:lang w:val="es-ES"/>
              </w:rPr>
            </w:pPr>
            <w:r w:rsidRPr="00954B4E">
              <w:rPr>
                <w:rFonts w:ascii="Times New Roman" w:hAnsi="Times New Roman"/>
                <w:b/>
                <w:lang w:val="es-ES"/>
              </w:rPr>
              <w:lastRenderedPageBreak/>
              <w:t>S</w:t>
            </w:r>
            <w:r w:rsidR="009E4C11" w:rsidRPr="00954B4E">
              <w:rPr>
                <w:rFonts w:ascii="Times New Roman" w:hAnsi="Times New Roman"/>
                <w:b/>
                <w:lang w:val="es-ES"/>
              </w:rPr>
              <w:t>eguimiento a la Ejecución y avance del ACUERDO DE FINANCIACIÓN  112  de 2016 suscrito entre el PNUD y la SDP.</w:t>
            </w:r>
            <w:r w:rsidR="009E4C11" w:rsidRPr="00954B4E">
              <w:rPr>
                <w:rFonts w:ascii="Times New Roman" w:hAnsi="Times New Roman"/>
              </w:rPr>
              <w:t xml:space="preserve"> </w:t>
            </w:r>
            <w:r w:rsidR="009E4C11" w:rsidRPr="00BF25F3">
              <w:rPr>
                <w:rFonts w:ascii="Times New Roman" w:hAnsi="Times New Roman"/>
                <w:sz w:val="22"/>
                <w:szCs w:val="22"/>
                <w:lang w:val="es-ES"/>
              </w:rPr>
              <w:t>Los servicios de auditoría se ejecutaron en el marco de la Consultoría y del Aseguramiento</w:t>
            </w:r>
            <w:r w:rsidR="00462E92" w:rsidRPr="00BF25F3">
              <w:rPr>
                <w:rFonts w:ascii="Times New Roman" w:hAnsi="Times New Roman"/>
                <w:sz w:val="22"/>
                <w:szCs w:val="22"/>
                <w:lang w:val="es-ES"/>
              </w:rPr>
              <w:t>,</w:t>
            </w:r>
            <w:r w:rsidR="009E4C11" w:rsidRPr="00BF25F3">
              <w:rPr>
                <w:rFonts w:ascii="Times New Roman" w:hAnsi="Times New Roman"/>
                <w:sz w:val="22"/>
                <w:szCs w:val="22"/>
                <w:lang w:val="es-ES"/>
              </w:rPr>
              <w:t xml:space="preserve"> escenarios en los cuales se buscó generar un valor oportuno de análisis en la ejecución y avances de los términos acordados en el convenio 112 de 2016, de tal manera que ofrezcan una seguridad razonable en la consecución de los logros que </w:t>
            </w:r>
            <w:r w:rsidR="003E1494">
              <w:rPr>
                <w:rFonts w:ascii="Times New Roman" w:hAnsi="Times New Roman"/>
                <w:sz w:val="22"/>
                <w:szCs w:val="22"/>
                <w:lang w:val="es-ES"/>
              </w:rPr>
              <w:t>lo motivaron</w:t>
            </w:r>
            <w:r w:rsidR="009E4C11" w:rsidRPr="00BF25F3">
              <w:rPr>
                <w:rFonts w:ascii="Times New Roman" w:hAnsi="Times New Roman"/>
                <w:sz w:val="22"/>
                <w:szCs w:val="22"/>
                <w:lang w:val="es-ES"/>
              </w:rPr>
              <w:t>.</w:t>
            </w:r>
          </w:p>
          <w:p w:rsidR="009E4C11" w:rsidRPr="006C2538" w:rsidRDefault="009E4C11" w:rsidP="002A66C6">
            <w:pPr>
              <w:pStyle w:val="Prrafodelista"/>
              <w:spacing w:after="0"/>
              <w:ind w:left="263" w:right="210"/>
              <w:jc w:val="both"/>
              <w:rPr>
                <w:rFonts w:ascii="Times New Roman" w:hAnsi="Times New Roman"/>
                <w:lang w:val="es-ES" w:eastAsia="es-ES"/>
              </w:rPr>
            </w:pPr>
          </w:p>
          <w:p w:rsidR="009E4C11" w:rsidRPr="00BF25F3" w:rsidRDefault="009E4C11" w:rsidP="00954B4E">
            <w:pPr>
              <w:ind w:right="210"/>
              <w:jc w:val="both"/>
              <w:rPr>
                <w:rFonts w:ascii="Times New Roman" w:hAnsi="Times New Roman"/>
                <w:sz w:val="22"/>
                <w:szCs w:val="22"/>
                <w:lang w:val="es-ES"/>
              </w:rPr>
            </w:pPr>
            <w:r w:rsidRPr="00954B4E">
              <w:rPr>
                <w:rFonts w:ascii="Times New Roman" w:hAnsi="Times New Roman"/>
                <w:b/>
                <w:lang w:val="es-ES"/>
              </w:rPr>
              <w:t xml:space="preserve">Servicios de Consultoría: </w:t>
            </w:r>
            <w:r w:rsidRPr="00BF25F3">
              <w:rPr>
                <w:rFonts w:ascii="Times New Roman" w:hAnsi="Times New Roman"/>
                <w:sz w:val="22"/>
                <w:szCs w:val="22"/>
                <w:lang w:val="es-ES"/>
              </w:rPr>
              <w:t>bajo este rol, se adelantó el proceso preliminar de revisión documental, relacionado con el con el Convenio 112 de 2016, suscrito entre PNUD y la SDP, desde la fase de planeación</w:t>
            </w:r>
            <w:r w:rsidR="00462E92" w:rsidRPr="00BF25F3">
              <w:rPr>
                <w:rFonts w:ascii="Times New Roman" w:hAnsi="Times New Roman"/>
                <w:sz w:val="22"/>
                <w:szCs w:val="22"/>
                <w:lang w:val="es-ES"/>
              </w:rPr>
              <w:t xml:space="preserve"> </w:t>
            </w:r>
            <w:r w:rsidRPr="00BF25F3">
              <w:rPr>
                <w:rFonts w:ascii="Times New Roman" w:hAnsi="Times New Roman"/>
                <w:sz w:val="22"/>
                <w:szCs w:val="22"/>
                <w:lang w:val="es-ES"/>
              </w:rPr>
              <w:t xml:space="preserve">hasta la de ejecución, encontrando que el soporte documental carecía de evidencias  sustanciales de acuerdo con lo pactado en el plan de trabajo, soporte del convenio (PRODOC), lo que limitaba el alcance del ejercicio auditor; por tal razón, se generaron mesas de trabajo con los responsables internos y el delegado del PNUD y se concretó un plan de acción, acordando que para el mes de mayo se efectuaría la visita administrativa por parte de la OCI, para revisar el resultado de las mejoras propuestas, a las observaciones registradas. </w:t>
            </w:r>
          </w:p>
          <w:p w:rsidR="00CE5E13" w:rsidRPr="006C2538" w:rsidRDefault="00CE5E13" w:rsidP="002A66C6">
            <w:pPr>
              <w:pStyle w:val="Prrafodelista"/>
              <w:spacing w:after="0"/>
              <w:ind w:left="263" w:right="210"/>
              <w:jc w:val="both"/>
              <w:rPr>
                <w:rFonts w:ascii="Times New Roman" w:hAnsi="Times New Roman"/>
                <w:lang w:val="es-ES" w:eastAsia="es-ES"/>
              </w:rPr>
            </w:pPr>
          </w:p>
          <w:p w:rsidR="00BF25F3" w:rsidRDefault="009E4C11" w:rsidP="00954B4E">
            <w:pPr>
              <w:ind w:right="210"/>
              <w:jc w:val="both"/>
              <w:rPr>
                <w:rFonts w:ascii="Times New Roman" w:hAnsi="Times New Roman"/>
                <w:sz w:val="22"/>
                <w:szCs w:val="22"/>
                <w:lang w:val="es-ES"/>
              </w:rPr>
            </w:pPr>
            <w:r w:rsidRPr="00954B4E">
              <w:rPr>
                <w:rFonts w:ascii="Times New Roman" w:hAnsi="Times New Roman"/>
                <w:b/>
                <w:lang w:val="es-ES"/>
              </w:rPr>
              <w:t>Servicio de Aseguramiento</w:t>
            </w:r>
            <w:r w:rsidRPr="00954B4E">
              <w:rPr>
                <w:rFonts w:ascii="Times New Roman" w:hAnsi="Times New Roman"/>
                <w:lang w:val="es-ES"/>
              </w:rPr>
              <w:t xml:space="preserve">: </w:t>
            </w:r>
            <w:r w:rsidR="00BF25F3">
              <w:rPr>
                <w:rFonts w:ascii="Times New Roman" w:hAnsi="Times New Roman"/>
                <w:sz w:val="22"/>
                <w:szCs w:val="22"/>
                <w:lang w:val="es-ES"/>
              </w:rPr>
              <w:t>E</w:t>
            </w:r>
            <w:r w:rsidRPr="00BF25F3">
              <w:rPr>
                <w:rFonts w:ascii="Times New Roman" w:hAnsi="Times New Roman"/>
                <w:sz w:val="22"/>
                <w:szCs w:val="22"/>
                <w:lang w:val="es-ES"/>
              </w:rPr>
              <w:t xml:space="preserve">n esta actividad se evidenciaron los  cronogramas de trabajo detallados, respecto de los compromisos establecidos para el desarrollo del proyecto; identificación de información amplia y suficiente, respecto de la ejecución de recursos financieros, para cumplir con el objetivo y alcance de este informe,  “Determinar el avance en la gestión y ejecución financiera del proyecto 96022 Desarrollo Territorial Sostenible y Seguro para Bogotá y la Región, con base en el Acuerdo de Financiación 112 de mayo 27 de 2016 suscrito entre SDP y PNUD. </w:t>
            </w:r>
          </w:p>
          <w:p w:rsidR="00BF25F3" w:rsidRDefault="00BF25F3" w:rsidP="00954B4E">
            <w:pPr>
              <w:ind w:right="210"/>
              <w:jc w:val="both"/>
              <w:rPr>
                <w:rFonts w:ascii="Times New Roman" w:hAnsi="Times New Roman"/>
                <w:sz w:val="22"/>
                <w:szCs w:val="22"/>
                <w:lang w:val="es-ES"/>
              </w:rPr>
            </w:pPr>
          </w:p>
          <w:p w:rsidR="00BF25F3" w:rsidRDefault="009E4C11" w:rsidP="00954B4E">
            <w:pPr>
              <w:ind w:right="210"/>
              <w:jc w:val="both"/>
              <w:rPr>
                <w:rFonts w:ascii="Times New Roman" w:hAnsi="Times New Roman"/>
                <w:sz w:val="22"/>
                <w:szCs w:val="22"/>
                <w:lang w:val="es-ES"/>
              </w:rPr>
            </w:pPr>
            <w:r w:rsidRPr="00BF25F3">
              <w:rPr>
                <w:rFonts w:ascii="Times New Roman" w:hAnsi="Times New Roman"/>
                <w:sz w:val="22"/>
                <w:szCs w:val="22"/>
                <w:lang w:val="es-ES"/>
              </w:rPr>
              <w:t xml:space="preserve">Esta segunda fase de auditoría, arrojó los siguientes resultados: </w:t>
            </w:r>
            <w:r w:rsidR="00C12D22" w:rsidRPr="00BF25F3">
              <w:rPr>
                <w:rFonts w:ascii="Times New Roman" w:hAnsi="Times New Roman"/>
                <w:sz w:val="22"/>
                <w:szCs w:val="22"/>
                <w:lang w:val="es-ES"/>
              </w:rPr>
              <w:t xml:space="preserve"> </w:t>
            </w:r>
            <w:r w:rsidRPr="00BF25F3">
              <w:rPr>
                <w:rFonts w:ascii="Times New Roman" w:hAnsi="Times New Roman"/>
                <w:sz w:val="22"/>
                <w:szCs w:val="22"/>
                <w:lang w:val="es-ES"/>
              </w:rPr>
              <w:t>No se dio alcance al contenido del A-FO-123 que cuenta con anexos de apoyo a</w:t>
            </w:r>
            <w:r w:rsidR="00BF25F3">
              <w:rPr>
                <w:rFonts w:ascii="Times New Roman" w:hAnsi="Times New Roman"/>
                <w:sz w:val="22"/>
                <w:szCs w:val="22"/>
                <w:lang w:val="es-ES"/>
              </w:rPr>
              <w:t xml:space="preserve"> la gestión financiera; términos</w:t>
            </w:r>
            <w:r w:rsidRPr="00BF25F3">
              <w:rPr>
                <w:rFonts w:ascii="Times New Roman" w:hAnsi="Times New Roman"/>
                <w:sz w:val="22"/>
                <w:szCs w:val="22"/>
                <w:lang w:val="es-ES"/>
              </w:rPr>
              <w:t>, que obviamente no fueron tenidos en cuenta por parte del Contratista ONU PNUD, generando dificultad en la consecución de la información financiera periódica, oportuna, clara, detallada y entendible;  de tal forma, que solo hasta la celebración de los comités Directivo y Ejecutivo realizados en el mes de mayo se pudo conocer esta información con corte  marzo de 2017</w:t>
            </w:r>
            <w:r w:rsidR="003E1494">
              <w:rPr>
                <w:rFonts w:ascii="Times New Roman" w:hAnsi="Times New Roman"/>
                <w:sz w:val="22"/>
                <w:szCs w:val="22"/>
                <w:lang w:val="es-ES"/>
              </w:rPr>
              <w:t>.</w:t>
            </w:r>
            <w:r w:rsidRPr="00BF25F3">
              <w:rPr>
                <w:rFonts w:ascii="Times New Roman" w:hAnsi="Times New Roman"/>
                <w:sz w:val="22"/>
                <w:szCs w:val="22"/>
                <w:lang w:val="es-ES"/>
              </w:rPr>
              <w:t xml:space="preserve"> </w:t>
            </w:r>
          </w:p>
          <w:p w:rsidR="00BF25F3" w:rsidRDefault="00BF25F3" w:rsidP="00954B4E">
            <w:pPr>
              <w:ind w:right="210"/>
              <w:jc w:val="both"/>
              <w:rPr>
                <w:rFonts w:ascii="Times New Roman" w:hAnsi="Times New Roman"/>
                <w:sz w:val="22"/>
                <w:szCs w:val="22"/>
                <w:lang w:val="es-ES"/>
              </w:rPr>
            </w:pPr>
          </w:p>
          <w:p w:rsidR="009E4C11" w:rsidRDefault="009E4C11" w:rsidP="00954B4E">
            <w:pPr>
              <w:ind w:right="210"/>
              <w:jc w:val="both"/>
              <w:rPr>
                <w:rFonts w:ascii="Times New Roman" w:hAnsi="Times New Roman"/>
                <w:lang w:val="es-ES"/>
              </w:rPr>
            </w:pPr>
            <w:r w:rsidRPr="00BF25F3">
              <w:rPr>
                <w:rFonts w:ascii="Times New Roman" w:hAnsi="Times New Roman"/>
                <w:sz w:val="22"/>
                <w:szCs w:val="22"/>
                <w:lang w:val="es-ES"/>
              </w:rPr>
              <w:t>Se recomienda, tener extremo cuidado en el momento de suscribir acuerdos y/o contratos, ya que la información que</w:t>
            </w:r>
            <w:r w:rsidR="00CE5E13" w:rsidRPr="00BF25F3">
              <w:rPr>
                <w:rFonts w:ascii="Times New Roman" w:hAnsi="Times New Roman"/>
                <w:sz w:val="22"/>
                <w:szCs w:val="22"/>
                <w:lang w:val="es-ES"/>
              </w:rPr>
              <w:t xml:space="preserve"> </w:t>
            </w:r>
            <w:r w:rsidRPr="00BF25F3">
              <w:rPr>
                <w:rFonts w:ascii="Times New Roman" w:hAnsi="Times New Roman"/>
                <w:sz w:val="22"/>
                <w:szCs w:val="22"/>
                <w:lang w:val="es-ES"/>
              </w:rPr>
              <w:t>se omita o no se incluya en su contenido, da lugar a vacíos jurídicos que ponen en riesgo las responsabilidades contraídas por los contratistas, lo cual afecta sustancialmente el seguimiento y control de los compromisos y necesidades institucionales.</w:t>
            </w:r>
            <w:r w:rsidR="00C12D22" w:rsidRPr="00BF25F3">
              <w:rPr>
                <w:rFonts w:ascii="Times New Roman" w:hAnsi="Times New Roman"/>
                <w:sz w:val="22"/>
                <w:szCs w:val="22"/>
                <w:lang w:val="es-ES"/>
              </w:rPr>
              <w:t xml:space="preserve"> Esta situación, fue acogida por la administración y dio lugar a acciones de mejora.</w:t>
            </w:r>
            <w:r w:rsidR="00C12D22" w:rsidRPr="00954B4E">
              <w:rPr>
                <w:rFonts w:ascii="Times New Roman" w:hAnsi="Times New Roman"/>
                <w:lang w:val="es-ES"/>
              </w:rPr>
              <w:t xml:space="preserve"> </w:t>
            </w:r>
          </w:p>
          <w:p w:rsidR="00954B4E" w:rsidRPr="00954B4E" w:rsidRDefault="00954B4E" w:rsidP="00954B4E">
            <w:pPr>
              <w:ind w:right="210"/>
              <w:jc w:val="both"/>
              <w:rPr>
                <w:rFonts w:ascii="Times New Roman" w:hAnsi="Times New Roman"/>
                <w:lang w:val="es-ES"/>
              </w:rPr>
            </w:pPr>
          </w:p>
          <w:p w:rsidR="00954B4E" w:rsidRPr="00BF25F3" w:rsidRDefault="00462E92" w:rsidP="00954B4E">
            <w:pPr>
              <w:ind w:right="84"/>
              <w:jc w:val="both"/>
              <w:rPr>
                <w:rFonts w:ascii="Times New Roman" w:hAnsi="Times New Roman"/>
                <w:sz w:val="22"/>
                <w:szCs w:val="22"/>
                <w:lang w:val="es-ES"/>
              </w:rPr>
            </w:pPr>
            <w:r w:rsidRPr="00954B4E">
              <w:rPr>
                <w:rFonts w:ascii="Times New Roman" w:hAnsi="Times New Roman"/>
                <w:b/>
                <w:lang w:val="es-ES"/>
              </w:rPr>
              <w:t>Informe de seguimiento a la Política de Administración del Riesgo</w:t>
            </w:r>
            <w:r w:rsidRPr="00954B4E">
              <w:rPr>
                <w:rFonts w:ascii="Times New Roman" w:hAnsi="Times New Roman"/>
                <w:lang w:val="es-ES"/>
              </w:rPr>
              <w:t xml:space="preserve">: </w:t>
            </w:r>
            <w:r w:rsidR="00C12D22" w:rsidRPr="00BF25F3">
              <w:rPr>
                <w:rFonts w:ascii="Times New Roman" w:hAnsi="Times New Roman"/>
                <w:sz w:val="22"/>
                <w:szCs w:val="22"/>
                <w:lang w:val="es-ES"/>
              </w:rPr>
              <w:t xml:space="preserve">Se registró en primer lugar, que la SDP dio cumplimiento al análisis, identificación y publicación de los riesgos de corrupción en la matriz respectiva; y, que la mayoría de las acciones preventivas formuladas iniciaron en los meses de abril y mayo de 2017, por lo cual no se evidenciaba un avance considerable de las mismas. </w:t>
            </w:r>
          </w:p>
          <w:p w:rsidR="00954B4E" w:rsidRDefault="00954B4E" w:rsidP="00954B4E">
            <w:pPr>
              <w:ind w:right="84"/>
              <w:jc w:val="both"/>
              <w:rPr>
                <w:rFonts w:ascii="Times New Roman" w:hAnsi="Times New Roman"/>
              </w:rPr>
            </w:pPr>
          </w:p>
          <w:p w:rsidR="00BF25F3" w:rsidRDefault="00BF25F3" w:rsidP="00954B4E">
            <w:pPr>
              <w:ind w:right="84"/>
              <w:jc w:val="both"/>
              <w:rPr>
                <w:rFonts w:ascii="Times New Roman" w:hAnsi="Times New Roman"/>
                <w:sz w:val="22"/>
                <w:szCs w:val="22"/>
                <w:lang w:val="es-ES"/>
              </w:rPr>
            </w:pPr>
          </w:p>
          <w:p w:rsidR="00BF25F3" w:rsidRDefault="00BF25F3" w:rsidP="00954B4E">
            <w:pPr>
              <w:ind w:right="84"/>
              <w:jc w:val="both"/>
              <w:rPr>
                <w:rFonts w:ascii="Times New Roman" w:hAnsi="Times New Roman"/>
                <w:sz w:val="22"/>
                <w:szCs w:val="22"/>
                <w:lang w:val="es-ES"/>
              </w:rPr>
            </w:pPr>
          </w:p>
          <w:p w:rsidR="00BF25F3" w:rsidRDefault="00BF25F3" w:rsidP="00954B4E">
            <w:pPr>
              <w:ind w:right="84"/>
              <w:jc w:val="both"/>
              <w:rPr>
                <w:rFonts w:ascii="Times New Roman" w:hAnsi="Times New Roman"/>
                <w:sz w:val="22"/>
                <w:szCs w:val="22"/>
                <w:lang w:val="es-ES"/>
              </w:rPr>
            </w:pPr>
          </w:p>
          <w:p w:rsidR="00BF25F3" w:rsidRDefault="00BF25F3" w:rsidP="00954B4E">
            <w:pPr>
              <w:ind w:right="84"/>
              <w:jc w:val="both"/>
              <w:rPr>
                <w:rFonts w:ascii="Times New Roman" w:hAnsi="Times New Roman"/>
                <w:sz w:val="22"/>
                <w:szCs w:val="22"/>
                <w:lang w:val="es-ES"/>
              </w:rPr>
            </w:pPr>
          </w:p>
          <w:p w:rsidR="00C12D22" w:rsidRPr="00BF25F3" w:rsidRDefault="00C12D22" w:rsidP="00954B4E">
            <w:pPr>
              <w:ind w:right="84"/>
              <w:jc w:val="both"/>
              <w:rPr>
                <w:rFonts w:ascii="Times New Roman" w:hAnsi="Times New Roman"/>
                <w:sz w:val="22"/>
                <w:szCs w:val="22"/>
                <w:lang w:val="es-ES"/>
              </w:rPr>
            </w:pPr>
            <w:r w:rsidRPr="00BF25F3">
              <w:rPr>
                <w:rFonts w:ascii="Times New Roman" w:hAnsi="Times New Roman"/>
                <w:sz w:val="22"/>
                <w:szCs w:val="22"/>
                <w:lang w:val="es-ES"/>
              </w:rPr>
              <w:t>Así mismo,</w:t>
            </w:r>
            <w:r w:rsidR="00954B4E" w:rsidRPr="00BF25F3">
              <w:rPr>
                <w:rFonts w:ascii="Times New Roman" w:hAnsi="Times New Roman"/>
                <w:sz w:val="22"/>
                <w:szCs w:val="22"/>
                <w:lang w:val="es-ES"/>
              </w:rPr>
              <w:t xml:space="preserve"> </w:t>
            </w:r>
            <w:r w:rsidRPr="00BF25F3">
              <w:rPr>
                <w:rFonts w:ascii="Times New Roman" w:hAnsi="Times New Roman"/>
                <w:sz w:val="22"/>
                <w:szCs w:val="22"/>
                <w:lang w:val="es-ES"/>
              </w:rPr>
              <w:t xml:space="preserve">se viene </w:t>
            </w:r>
            <w:r w:rsidR="00954B4E" w:rsidRPr="00BF25F3">
              <w:rPr>
                <w:rFonts w:ascii="Times New Roman" w:hAnsi="Times New Roman"/>
                <w:sz w:val="22"/>
                <w:szCs w:val="22"/>
                <w:lang w:val="es-ES"/>
              </w:rPr>
              <w:t xml:space="preserve">dando cumplimiento formal a las </w:t>
            </w:r>
            <w:r w:rsidRPr="00BF25F3">
              <w:rPr>
                <w:rFonts w:ascii="Times New Roman" w:hAnsi="Times New Roman"/>
                <w:sz w:val="22"/>
                <w:szCs w:val="22"/>
                <w:lang w:val="es-ES"/>
              </w:rPr>
              <w:t xml:space="preserve">disposiciones normativas y metodológicas relacionadas con la identificación y publicación de la Matriz de Riesgos de Corrupción, en el marco de la Ley 1474 de 2011 Estatuto Anticorrupción. La Oficina de Control Interno  reconoce la eficacia del ejercicio de actualización del Contexto Estratégico, como fuente inicial para la identificación de </w:t>
            </w:r>
            <w:r w:rsidRPr="00BF25F3">
              <w:rPr>
                <w:rFonts w:ascii="Times New Roman" w:hAnsi="Times New Roman"/>
                <w:sz w:val="22"/>
                <w:szCs w:val="22"/>
                <w:lang w:val="es-ES"/>
              </w:rPr>
              <w:lastRenderedPageBreak/>
              <w:t>causas y consecuencias de los riesgos estratégicos; constituyéndose,  en un insumo fundamental para la posterior revisión y actualización del Mapa de Riesgos Institucional.</w:t>
            </w:r>
          </w:p>
          <w:p w:rsidR="00954B4E" w:rsidRPr="00BF25F3" w:rsidRDefault="00954B4E" w:rsidP="00954B4E">
            <w:pPr>
              <w:ind w:right="84"/>
              <w:jc w:val="both"/>
              <w:rPr>
                <w:rFonts w:ascii="Times New Roman" w:hAnsi="Times New Roman"/>
                <w:sz w:val="22"/>
                <w:szCs w:val="22"/>
                <w:lang w:val="es-ES"/>
              </w:rPr>
            </w:pPr>
          </w:p>
          <w:p w:rsidR="00C12D22" w:rsidRPr="006C2538" w:rsidRDefault="00C12D22" w:rsidP="00954B4E">
            <w:pPr>
              <w:pStyle w:val="Prrafodelista"/>
              <w:spacing w:after="0" w:line="240" w:lineRule="auto"/>
              <w:ind w:left="0" w:right="84"/>
              <w:jc w:val="both"/>
              <w:rPr>
                <w:rFonts w:ascii="Times New Roman" w:hAnsi="Times New Roman"/>
              </w:rPr>
            </w:pPr>
            <w:r w:rsidRPr="006C2538">
              <w:rPr>
                <w:rFonts w:ascii="Times New Roman" w:hAnsi="Times New Roman"/>
              </w:rPr>
              <w:t>A nivel de proceso se realizaron varias revisiones en cuanto a la redacción de los riesgos, la identificación de causas y consecuencias, la identificación concreta de puntos de control dentro de los procedimientos; lo anterior, no solo como parte del mejoramiento continuo del proceso, sino también en atención a las recomendaciones de la OCI realizadas en los diferente informes de seguimiento sobre riesgos, presentados en la vigencia anterior. Tal es el caso de los procesos de: Participación y Comunicaciones; Planeación Territorial y Gestión de sus Instrumentos; Administración del Talento Humano; Gestión Documental; Soporte Tecnológico; Contratación de Bienes y Servicios y Evaluación y Control.</w:t>
            </w:r>
            <w:r w:rsidRPr="006C2538">
              <w:rPr>
                <w:rFonts w:ascii="Times New Roman" w:hAnsi="Times New Roman"/>
              </w:rPr>
              <w:cr/>
            </w:r>
          </w:p>
          <w:p w:rsidR="00C12D22" w:rsidRPr="006C2538" w:rsidRDefault="00C12D22" w:rsidP="00954B4E">
            <w:pPr>
              <w:pStyle w:val="Prrafodelista"/>
              <w:spacing w:after="0" w:line="240" w:lineRule="auto"/>
              <w:ind w:left="0" w:right="84"/>
              <w:jc w:val="both"/>
              <w:rPr>
                <w:rFonts w:ascii="Times New Roman" w:hAnsi="Times New Roman"/>
              </w:rPr>
            </w:pPr>
            <w:r w:rsidRPr="006C2538">
              <w:rPr>
                <w:rFonts w:ascii="Times New Roman" w:hAnsi="Times New Roman"/>
              </w:rPr>
              <w:t xml:space="preserve">Las situaciones detectadas dieron origen a las siguientes recomendaciones: </w:t>
            </w:r>
          </w:p>
          <w:p w:rsidR="00C12D22" w:rsidRPr="006C2538" w:rsidRDefault="00C12D22" w:rsidP="002A66C6">
            <w:pPr>
              <w:pStyle w:val="Prrafodelista"/>
              <w:spacing w:after="0" w:line="240" w:lineRule="auto"/>
              <w:ind w:left="360" w:right="84"/>
              <w:jc w:val="both"/>
              <w:rPr>
                <w:rFonts w:ascii="Times New Roman" w:hAnsi="Times New Roman"/>
              </w:rPr>
            </w:pPr>
          </w:p>
          <w:p w:rsidR="00C12D22" w:rsidRPr="00954B4E" w:rsidRDefault="00C12D22" w:rsidP="00954B4E">
            <w:pPr>
              <w:pStyle w:val="Prrafodelista"/>
              <w:numPr>
                <w:ilvl w:val="0"/>
                <w:numId w:val="19"/>
              </w:numPr>
              <w:ind w:right="115"/>
              <w:jc w:val="both"/>
              <w:rPr>
                <w:rFonts w:ascii="Times New Roman" w:hAnsi="Times New Roman"/>
              </w:rPr>
            </w:pPr>
            <w:r w:rsidRPr="00954B4E">
              <w:rPr>
                <w:rFonts w:ascii="Times New Roman" w:hAnsi="Times New Roman"/>
              </w:rPr>
              <w:t>Con respecto al mejoramiento continuo de la gestión del riesgo, se observ</w:t>
            </w:r>
            <w:r w:rsidR="00232C9D" w:rsidRPr="00954B4E">
              <w:rPr>
                <w:rFonts w:ascii="Times New Roman" w:hAnsi="Times New Roman"/>
              </w:rPr>
              <w:t>ó</w:t>
            </w:r>
            <w:r w:rsidRPr="00954B4E">
              <w:rPr>
                <w:rFonts w:ascii="Times New Roman" w:hAnsi="Times New Roman"/>
              </w:rPr>
              <w:t xml:space="preserve"> que éstas fueron acatadas en su mayoría con la implementación de una estrategia para la identificación de los riesgos de corrupción, así como de algunos de los riesgos de Subsistemas del SIG. Se considera importante, continuar fortaleciendo la estrategia de comunicaciones, una vez se culmine la revisión integral de la gestión del riesgo en la entidad.</w:t>
            </w:r>
          </w:p>
          <w:p w:rsidR="00C12D22" w:rsidRPr="00954B4E" w:rsidRDefault="00C12D22" w:rsidP="00954B4E">
            <w:pPr>
              <w:pStyle w:val="Prrafodelista"/>
              <w:numPr>
                <w:ilvl w:val="0"/>
                <w:numId w:val="19"/>
              </w:numPr>
              <w:ind w:right="115"/>
              <w:jc w:val="both"/>
              <w:rPr>
                <w:rFonts w:ascii="Times New Roman" w:hAnsi="Times New Roman"/>
              </w:rPr>
            </w:pPr>
            <w:r w:rsidRPr="00954B4E">
              <w:rPr>
                <w:rFonts w:ascii="Times New Roman" w:hAnsi="Times New Roman"/>
              </w:rPr>
              <w:t>En el marco de las Normas Internacionales de Auditoria se recomienda incluir como función del Comité Coordinador de Control Interno, supervisar el cumplimiento y avance del proceso de monitoreo y seguimiento a los riesgos, tanto de proceso, institucionales y de corrupción.</w:t>
            </w:r>
          </w:p>
          <w:p w:rsidR="00C12D22" w:rsidRPr="00954B4E" w:rsidRDefault="00C12D22" w:rsidP="00954B4E">
            <w:pPr>
              <w:pStyle w:val="Prrafodelista"/>
              <w:numPr>
                <w:ilvl w:val="0"/>
                <w:numId w:val="19"/>
              </w:numPr>
              <w:ind w:right="115"/>
              <w:jc w:val="both"/>
              <w:rPr>
                <w:rFonts w:ascii="Times New Roman" w:hAnsi="Times New Roman"/>
              </w:rPr>
            </w:pPr>
            <w:r w:rsidRPr="00954B4E">
              <w:rPr>
                <w:rFonts w:ascii="Times New Roman" w:hAnsi="Times New Roman"/>
              </w:rPr>
              <w:t>Si bien en cumplimiento de la metodología de gestión del riesgos impartida por el DAFP se deben formulan acciones preventivas para mitigar las causas de los riesgos, adicionalmente es necesario formular controles internos actualizados y/o modificados, y acciones preventivas y/o correctivas; como resultado, de la aplicación de la estrategia de monitoreo y seguimiento establecida por la Política de Administración del Riesgo de la SDP</w:t>
            </w:r>
          </w:p>
          <w:p w:rsidR="00F8480A" w:rsidRDefault="00F8480A" w:rsidP="002A66C6">
            <w:pPr>
              <w:pStyle w:val="Prrafodelista"/>
              <w:spacing w:after="0" w:line="240" w:lineRule="auto"/>
              <w:ind w:left="0" w:right="-674"/>
              <w:jc w:val="both"/>
              <w:rPr>
                <w:rFonts w:ascii="Times New Roman" w:hAnsi="Times New Roman"/>
                <w:b/>
                <w:i/>
              </w:rPr>
            </w:pPr>
          </w:p>
          <w:p w:rsidR="00954B4E" w:rsidRPr="006C2538" w:rsidRDefault="00954B4E" w:rsidP="002A66C6">
            <w:pPr>
              <w:pStyle w:val="Prrafodelista"/>
              <w:spacing w:after="0" w:line="240" w:lineRule="auto"/>
              <w:ind w:left="0" w:right="-674"/>
              <w:jc w:val="both"/>
              <w:rPr>
                <w:rFonts w:ascii="Times New Roman" w:hAnsi="Times New Roman"/>
                <w:b/>
                <w:i/>
              </w:rPr>
            </w:pPr>
          </w:p>
          <w:p w:rsidR="00954B4E" w:rsidRDefault="006B4628" w:rsidP="002A66C6">
            <w:pPr>
              <w:pStyle w:val="Prrafodelista"/>
              <w:spacing w:after="0" w:line="240" w:lineRule="auto"/>
              <w:ind w:left="0" w:right="-674"/>
              <w:jc w:val="both"/>
              <w:rPr>
                <w:rFonts w:ascii="Times New Roman" w:hAnsi="Times New Roman"/>
                <w:bCs/>
              </w:rPr>
            </w:pPr>
            <w:r w:rsidRPr="00954B4E">
              <w:rPr>
                <w:rFonts w:ascii="Times New Roman" w:hAnsi="Times New Roman"/>
                <w:b/>
              </w:rPr>
              <w:t xml:space="preserve">2.3. COMPONENTE: </w:t>
            </w:r>
            <w:r w:rsidR="0087261D" w:rsidRPr="00954B4E">
              <w:rPr>
                <w:rFonts w:ascii="Times New Roman" w:hAnsi="Times New Roman"/>
                <w:b/>
              </w:rPr>
              <w:t>PLANES DE MEJORAMIENTO</w:t>
            </w:r>
            <w:r w:rsidR="0087261D" w:rsidRPr="00954B4E">
              <w:rPr>
                <w:rFonts w:ascii="Times New Roman" w:hAnsi="Times New Roman"/>
              </w:rPr>
              <w:t>:</w:t>
            </w:r>
            <w:r w:rsidR="0087261D" w:rsidRPr="006C2538">
              <w:rPr>
                <w:rFonts w:ascii="Times New Roman" w:hAnsi="Times New Roman"/>
                <w:bCs/>
              </w:rPr>
              <w:t xml:space="preserve"> </w:t>
            </w:r>
          </w:p>
          <w:p w:rsidR="00954B4E" w:rsidRDefault="00954B4E" w:rsidP="002A66C6">
            <w:pPr>
              <w:pStyle w:val="Prrafodelista"/>
              <w:spacing w:after="0" w:line="240" w:lineRule="auto"/>
              <w:ind w:left="0" w:right="-674"/>
              <w:jc w:val="both"/>
              <w:rPr>
                <w:rFonts w:ascii="Times New Roman" w:hAnsi="Times New Roman"/>
                <w:bCs/>
              </w:rPr>
            </w:pPr>
          </w:p>
          <w:p w:rsidR="006B4628" w:rsidRPr="00EF6AFC" w:rsidRDefault="00954B4E" w:rsidP="00EF6AFC">
            <w:pPr>
              <w:ind w:right="115"/>
              <w:jc w:val="both"/>
              <w:rPr>
                <w:rFonts w:ascii="Times New Roman" w:hAnsi="Times New Roman"/>
              </w:rPr>
            </w:pPr>
            <w:r w:rsidRPr="00EF6AFC">
              <w:rPr>
                <w:rFonts w:ascii="Times New Roman" w:hAnsi="Times New Roman"/>
              </w:rPr>
              <w:t>E</w:t>
            </w:r>
            <w:r w:rsidR="00DE11C5" w:rsidRPr="00EF6AFC">
              <w:rPr>
                <w:rFonts w:ascii="Times New Roman" w:hAnsi="Times New Roman"/>
              </w:rPr>
              <w:t>l ejercicio de reporte sobre la ejecución de los compromisos de mejora propuestos se cumplió cabalmente , de tal manera que el primero se efectuó sobre el período enero- marzo de 2017 y el segundo se encuentra en desarrollo para el período  abril- junio de 2017. Se</w:t>
            </w:r>
            <w:r w:rsidR="00DD35C2" w:rsidRPr="00EF6AFC">
              <w:rPr>
                <w:rFonts w:ascii="Times New Roman" w:hAnsi="Times New Roman"/>
              </w:rPr>
              <w:t xml:space="preserve"> ejecutó un </w:t>
            </w:r>
            <w:r w:rsidR="00DE11C5" w:rsidRPr="00EF6AFC">
              <w:rPr>
                <w:rFonts w:ascii="Times New Roman" w:hAnsi="Times New Roman"/>
              </w:rPr>
              <w:t xml:space="preserve"> análisis alrededor de la eficacia y oportunidad de las accion</w:t>
            </w:r>
            <w:r w:rsidR="00DD35C2" w:rsidRPr="00EF6AFC">
              <w:rPr>
                <w:rFonts w:ascii="Times New Roman" w:hAnsi="Times New Roman"/>
              </w:rPr>
              <w:t>e</w:t>
            </w:r>
            <w:r w:rsidR="00DE11C5" w:rsidRPr="00EF6AFC">
              <w:rPr>
                <w:rFonts w:ascii="Times New Roman" w:hAnsi="Times New Roman"/>
              </w:rPr>
              <w:t>s adelantadas, cerrando</w:t>
            </w:r>
            <w:r w:rsidR="00DD35C2" w:rsidRPr="00EF6AFC">
              <w:rPr>
                <w:rFonts w:ascii="Times New Roman" w:hAnsi="Times New Roman"/>
              </w:rPr>
              <w:t xml:space="preserve"> así el primer período:</w:t>
            </w: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954B4E" w:rsidRDefault="00954B4E" w:rsidP="002A66C6">
            <w:pPr>
              <w:ind w:left="500"/>
              <w:contextualSpacing/>
              <w:jc w:val="both"/>
              <w:rPr>
                <w:rFonts w:ascii="Times New Roman" w:hAnsi="Times New Roman"/>
                <w:b/>
                <w:sz w:val="22"/>
                <w:szCs w:val="22"/>
                <w:lang w:val="es-CO" w:eastAsia="en-US"/>
              </w:rPr>
            </w:pPr>
          </w:p>
          <w:p w:rsidR="00DD35C2" w:rsidRPr="006C2538" w:rsidRDefault="00DD35C2" w:rsidP="00EF6AFC">
            <w:pPr>
              <w:ind w:left="500"/>
              <w:contextualSpacing/>
              <w:jc w:val="center"/>
              <w:rPr>
                <w:rFonts w:ascii="Times New Roman" w:hAnsi="Times New Roman"/>
                <w:b/>
                <w:sz w:val="22"/>
                <w:szCs w:val="22"/>
                <w:lang w:val="es-ES"/>
              </w:rPr>
            </w:pPr>
            <w:r w:rsidRPr="006C2538">
              <w:rPr>
                <w:rFonts w:ascii="Times New Roman" w:hAnsi="Times New Roman"/>
                <w:b/>
                <w:sz w:val="22"/>
                <w:szCs w:val="22"/>
                <w:lang w:val="es-CO" w:eastAsia="en-US"/>
              </w:rPr>
              <w:t>ESTADO</w:t>
            </w:r>
            <w:r w:rsidRPr="006C2538">
              <w:rPr>
                <w:rFonts w:ascii="Times New Roman" w:hAnsi="Times New Roman"/>
                <w:b/>
                <w:sz w:val="22"/>
                <w:szCs w:val="22"/>
                <w:lang w:val="es-ES"/>
              </w:rPr>
              <w:t xml:space="preserve"> DEL PLAN DE MEJORAMIENTO INSTITUCIONAL</w:t>
            </w:r>
          </w:p>
          <w:p w:rsidR="00DD35C2" w:rsidRPr="006C2538" w:rsidRDefault="00DD35C2" w:rsidP="002A66C6">
            <w:pPr>
              <w:ind w:right="-674"/>
              <w:jc w:val="both"/>
              <w:rPr>
                <w:rFonts w:ascii="Times New Roman" w:hAnsi="Times New Roman"/>
                <w:sz w:val="22"/>
                <w:szCs w:val="22"/>
                <w:lang w:val="es-ES"/>
              </w:rPr>
            </w:pPr>
          </w:p>
          <w:tbl>
            <w:tblPr>
              <w:tblW w:w="9015" w:type="dxa"/>
              <w:jc w:val="center"/>
              <w:tblLayout w:type="fixed"/>
              <w:tblCellMar>
                <w:left w:w="70" w:type="dxa"/>
                <w:right w:w="70" w:type="dxa"/>
              </w:tblCellMar>
              <w:tblLook w:val="0000" w:firstRow="0" w:lastRow="0" w:firstColumn="0" w:lastColumn="0" w:noHBand="0" w:noVBand="0"/>
            </w:tblPr>
            <w:tblGrid>
              <w:gridCol w:w="3164"/>
              <w:gridCol w:w="6"/>
              <w:gridCol w:w="46"/>
              <w:gridCol w:w="622"/>
              <w:gridCol w:w="930"/>
              <w:gridCol w:w="206"/>
              <w:gridCol w:w="1202"/>
              <w:gridCol w:w="850"/>
              <w:gridCol w:w="750"/>
              <w:gridCol w:w="800"/>
              <w:gridCol w:w="439"/>
            </w:tblGrid>
            <w:tr w:rsidR="00DD35C2" w:rsidRPr="00CE5E13" w:rsidTr="00CE5E13">
              <w:trPr>
                <w:trHeight w:val="337"/>
                <w:jc w:val="center"/>
              </w:trPr>
              <w:tc>
                <w:tcPr>
                  <w:tcW w:w="4768" w:type="dxa"/>
                  <w:gridSpan w:val="5"/>
                  <w:vMerge w:val="restart"/>
                  <w:tcBorders>
                    <w:top w:val="single" w:sz="12" w:space="0" w:color="auto"/>
                    <w:left w:val="single" w:sz="12" w:space="0" w:color="auto"/>
                    <w:bottom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r w:rsidRPr="00CE5E13">
                    <w:rPr>
                      <w:rFonts w:ascii="Times New Roman" w:hAnsi="Times New Roman"/>
                      <w:b/>
                      <w:bCs/>
                      <w:sz w:val="16"/>
                      <w:szCs w:val="16"/>
                      <w:lang w:val="es-CO" w:eastAsia="en-US"/>
                    </w:rPr>
                    <w:t>PLANES ACCION</w:t>
                  </w:r>
                </w:p>
              </w:tc>
              <w:tc>
                <w:tcPr>
                  <w:tcW w:w="206" w:type="dxa"/>
                  <w:tcBorders>
                    <w:top w:val="single" w:sz="12" w:space="0" w:color="auto"/>
                    <w:left w:val="single" w:sz="12" w:space="0" w:color="auto"/>
                    <w:bottom w:val="single" w:sz="6" w:space="0" w:color="auto"/>
                    <w:right w:val="single" w:sz="8" w:space="0" w:color="auto"/>
                  </w:tcBorders>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4041" w:type="dxa"/>
                  <w:gridSpan w:val="5"/>
                  <w:tcBorders>
                    <w:top w:val="single" w:sz="12" w:space="0" w:color="auto"/>
                    <w:left w:val="single" w:sz="8" w:space="0" w:color="auto"/>
                    <w:bottom w:val="single" w:sz="6" w:space="0" w:color="auto"/>
                    <w:right w:val="single" w:sz="12" w:space="0" w:color="auto"/>
                  </w:tcBorders>
                  <w:vAlign w:val="center"/>
                </w:tcPr>
                <w:p w:rsidR="00DD35C2" w:rsidRPr="00CE5E13" w:rsidRDefault="00DD35C2" w:rsidP="00481547">
                  <w:pPr>
                    <w:autoSpaceDE w:val="0"/>
                    <w:autoSpaceDN w:val="0"/>
                    <w:adjustRightInd w:val="0"/>
                    <w:ind w:left="24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Detalles del Estado</w:t>
                  </w:r>
                </w:p>
              </w:tc>
            </w:tr>
            <w:tr w:rsidR="00DD35C2" w:rsidRPr="00CE5E13" w:rsidTr="00CE5E13">
              <w:trPr>
                <w:trHeight w:val="474"/>
                <w:jc w:val="center"/>
              </w:trPr>
              <w:tc>
                <w:tcPr>
                  <w:tcW w:w="4768" w:type="dxa"/>
                  <w:gridSpan w:val="5"/>
                  <w:vMerge/>
                  <w:tcBorders>
                    <w:top w:val="single" w:sz="12" w:space="0" w:color="auto"/>
                    <w:left w:val="single" w:sz="12" w:space="0" w:color="auto"/>
                    <w:bottom w:val="single" w:sz="12" w:space="0" w:color="auto"/>
                    <w:right w:val="single" w:sz="12" w:space="0" w:color="auto"/>
                  </w:tcBorders>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206" w:type="dxa"/>
                  <w:tcBorders>
                    <w:top w:val="single" w:sz="12" w:space="0" w:color="auto"/>
                    <w:left w:val="single" w:sz="12" w:space="0" w:color="auto"/>
                    <w:bottom w:val="single" w:sz="6" w:space="0" w:color="auto"/>
                    <w:right w:val="single" w:sz="8" w:space="0" w:color="auto"/>
                  </w:tcBorders>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1202" w:type="dxa"/>
                  <w:tcBorders>
                    <w:top w:val="single" w:sz="12" w:space="0" w:color="auto"/>
                    <w:left w:val="single" w:sz="8"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92" w:right="-7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Cumplidas y en S/gto:</w:t>
                  </w:r>
                </w:p>
                <w:p w:rsidR="00DD35C2" w:rsidRPr="00CE5E13" w:rsidRDefault="00DD35C2" w:rsidP="00CE5E13">
                  <w:pPr>
                    <w:autoSpaceDE w:val="0"/>
                    <w:autoSpaceDN w:val="0"/>
                    <w:adjustRightInd w:val="0"/>
                    <w:ind w:left="-92" w:right="-7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Para  Cierre</w:t>
                  </w:r>
                </w:p>
              </w:tc>
              <w:tc>
                <w:tcPr>
                  <w:tcW w:w="850" w:type="dxa"/>
                  <w:tcBorders>
                    <w:top w:val="single" w:sz="12" w:space="0" w:color="auto"/>
                    <w:left w:val="single" w:sz="12"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92" w:right="-133"/>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En Des/rllo</w:t>
                  </w:r>
                </w:p>
              </w:tc>
              <w:tc>
                <w:tcPr>
                  <w:tcW w:w="750" w:type="dxa"/>
                  <w:tcBorders>
                    <w:top w:val="single" w:sz="12" w:space="0" w:color="auto"/>
                    <w:left w:val="single" w:sz="12" w:space="0" w:color="auto"/>
                    <w:bottom w:val="single" w:sz="12" w:space="0" w:color="auto"/>
                    <w:right w:val="single" w:sz="8" w:space="0" w:color="auto"/>
                  </w:tcBorders>
                  <w:vAlign w:val="center"/>
                </w:tcPr>
                <w:p w:rsidR="00DD35C2" w:rsidRPr="00CE5E13" w:rsidRDefault="00DD35C2" w:rsidP="00CE5E13">
                  <w:pPr>
                    <w:autoSpaceDE w:val="0"/>
                    <w:autoSpaceDN w:val="0"/>
                    <w:adjustRightInd w:val="0"/>
                    <w:ind w:left="-92"/>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En Alerta</w:t>
                  </w:r>
                </w:p>
              </w:tc>
              <w:tc>
                <w:tcPr>
                  <w:tcW w:w="800" w:type="dxa"/>
                  <w:tcBorders>
                    <w:top w:val="single" w:sz="12" w:space="0" w:color="auto"/>
                    <w:left w:val="single" w:sz="8" w:space="0" w:color="auto"/>
                    <w:bottom w:val="single" w:sz="12" w:space="0" w:color="auto"/>
                    <w:right w:val="single" w:sz="8" w:space="0" w:color="auto"/>
                  </w:tcBorders>
                  <w:vAlign w:val="center"/>
                </w:tcPr>
                <w:p w:rsidR="00DD35C2" w:rsidRPr="00CE5E13" w:rsidRDefault="00DD35C2" w:rsidP="00CE5E13">
                  <w:pPr>
                    <w:autoSpaceDE w:val="0"/>
                    <w:autoSpaceDN w:val="0"/>
                    <w:adjustRightInd w:val="0"/>
                    <w:ind w:left="-92" w:right="-4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Parc/mente Cumplidas</w:t>
                  </w:r>
                </w:p>
              </w:tc>
              <w:tc>
                <w:tcPr>
                  <w:tcW w:w="439" w:type="dxa"/>
                  <w:tcBorders>
                    <w:top w:val="single" w:sz="12" w:space="0" w:color="auto"/>
                    <w:left w:val="single" w:sz="8"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92" w:right="-40"/>
                    <w:jc w:val="center"/>
                    <w:rPr>
                      <w:rFonts w:ascii="Times New Roman" w:hAnsi="Times New Roman"/>
                      <w:b/>
                      <w:bCs/>
                      <w:sz w:val="14"/>
                      <w:szCs w:val="14"/>
                      <w:lang w:val="es-CO" w:eastAsia="en-US"/>
                    </w:rPr>
                  </w:pPr>
                  <w:r w:rsidRPr="00CE5E13">
                    <w:rPr>
                      <w:rFonts w:ascii="Times New Roman" w:hAnsi="Times New Roman"/>
                      <w:b/>
                      <w:bCs/>
                      <w:sz w:val="16"/>
                      <w:szCs w:val="16"/>
                      <w:lang w:val="es-CO" w:eastAsia="en-US"/>
                    </w:rPr>
                    <w:t>Vencidas</w:t>
                  </w:r>
                </w:p>
              </w:tc>
            </w:tr>
            <w:tr w:rsidR="00DD35C2" w:rsidRPr="00CE5E13" w:rsidTr="00CE5E13">
              <w:trPr>
                <w:trHeight w:val="378"/>
                <w:jc w:val="center"/>
              </w:trPr>
              <w:tc>
                <w:tcPr>
                  <w:tcW w:w="3170" w:type="dxa"/>
                  <w:gridSpan w:val="2"/>
                  <w:tcBorders>
                    <w:top w:val="single" w:sz="12" w:space="0" w:color="auto"/>
                    <w:left w:val="single" w:sz="12" w:space="0" w:color="auto"/>
                    <w:bottom w:val="single" w:sz="2" w:space="0" w:color="000000"/>
                    <w:right w:val="single" w:sz="18" w:space="0" w:color="auto"/>
                  </w:tcBorders>
                  <w:vAlign w:val="center"/>
                </w:tcPr>
                <w:p w:rsidR="00DD35C2" w:rsidRPr="00CE5E13" w:rsidRDefault="00DD35C2" w:rsidP="002A66C6">
                  <w:pPr>
                    <w:autoSpaceDE w:val="0"/>
                    <w:autoSpaceDN w:val="0"/>
                    <w:adjustRightInd w:val="0"/>
                    <w:jc w:val="both"/>
                    <w:rPr>
                      <w:rFonts w:ascii="Times New Roman" w:hAnsi="Times New Roman"/>
                      <w:b/>
                      <w:bCs/>
                      <w:sz w:val="16"/>
                      <w:szCs w:val="16"/>
                      <w:lang w:val="es-CO" w:eastAsia="en-US"/>
                    </w:rPr>
                  </w:pPr>
                  <w:r w:rsidRPr="00CE5E13">
                    <w:rPr>
                      <w:rFonts w:ascii="Times New Roman" w:hAnsi="Times New Roman"/>
                      <w:b/>
                      <w:bCs/>
                      <w:sz w:val="16"/>
                      <w:szCs w:val="16"/>
                      <w:lang w:val="es-CO" w:eastAsia="en-US"/>
                    </w:rPr>
                    <w:t>Internos</w:t>
                  </w:r>
                </w:p>
              </w:tc>
              <w:tc>
                <w:tcPr>
                  <w:tcW w:w="668" w:type="dxa"/>
                  <w:gridSpan w:val="2"/>
                  <w:tcBorders>
                    <w:top w:val="single" w:sz="12" w:space="0" w:color="auto"/>
                    <w:left w:val="single" w:sz="18"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left="-70" w:right="-99"/>
                    <w:jc w:val="both"/>
                    <w:rPr>
                      <w:rFonts w:ascii="Times New Roman" w:hAnsi="Times New Roman"/>
                      <w:b/>
                      <w:bCs/>
                      <w:sz w:val="16"/>
                      <w:szCs w:val="16"/>
                      <w:lang w:val="es-CO" w:eastAsia="en-US"/>
                    </w:rPr>
                  </w:pPr>
                  <w:r w:rsidRPr="00CE5E13">
                    <w:rPr>
                      <w:rFonts w:ascii="Times New Roman" w:hAnsi="Times New Roman"/>
                      <w:sz w:val="16"/>
                      <w:szCs w:val="16"/>
                      <w:lang w:val="es-CO" w:eastAsia="en-US"/>
                    </w:rPr>
                    <w:t>Vigentes</w:t>
                  </w:r>
                </w:p>
              </w:tc>
              <w:tc>
                <w:tcPr>
                  <w:tcW w:w="930" w:type="dxa"/>
                  <w:tcBorders>
                    <w:top w:val="single" w:sz="6" w:space="0" w:color="auto"/>
                    <w:left w:val="single" w:sz="12" w:space="0" w:color="auto"/>
                    <w:bottom w:val="single" w:sz="6" w:space="0" w:color="auto"/>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sz w:val="16"/>
                      <w:szCs w:val="16"/>
                      <w:highlight w:val="magenta"/>
                      <w:lang w:val="es-CO" w:eastAsia="en-US"/>
                    </w:rPr>
                  </w:pPr>
                  <w:r w:rsidRPr="00CE5E13">
                    <w:rPr>
                      <w:rFonts w:ascii="Times New Roman" w:hAnsi="Times New Roman"/>
                      <w:b/>
                      <w:bCs/>
                      <w:sz w:val="16"/>
                      <w:szCs w:val="16"/>
                      <w:lang w:val="es-CO" w:eastAsia="en-US"/>
                    </w:rPr>
                    <w:t>56</w:t>
                  </w:r>
                </w:p>
              </w:tc>
              <w:tc>
                <w:tcPr>
                  <w:tcW w:w="206" w:type="dxa"/>
                  <w:tcBorders>
                    <w:top w:val="single" w:sz="6" w:space="0" w:color="auto"/>
                    <w:left w:val="single" w:sz="12" w:space="0" w:color="auto"/>
                    <w:bottom w:val="single" w:sz="6" w:space="0" w:color="auto"/>
                    <w:right w:val="single" w:sz="12" w:space="0" w:color="auto"/>
                  </w:tcBorders>
                  <w:shd w:val="clear" w:color="auto" w:fill="333333"/>
                  <w:vAlign w:val="center"/>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1202" w:type="dxa"/>
                  <w:tcBorders>
                    <w:top w:val="single" w:sz="12" w:space="0" w:color="auto"/>
                    <w:left w:val="single" w:sz="12" w:space="0" w:color="auto"/>
                    <w:bottom w:val="single" w:sz="12" w:space="0" w:color="auto"/>
                    <w:right w:val="single" w:sz="12" w:space="0" w:color="auto"/>
                  </w:tcBorders>
                  <w:shd w:val="clear" w:color="auto" w:fill="B3B3B3"/>
                  <w:vAlign w:val="center"/>
                </w:tcPr>
                <w:p w:rsidR="00DD35C2" w:rsidRPr="00CE5E13" w:rsidRDefault="00DD35C2" w:rsidP="00CE5E13">
                  <w:pPr>
                    <w:autoSpaceDE w:val="0"/>
                    <w:autoSpaceDN w:val="0"/>
                    <w:adjustRightInd w:val="0"/>
                    <w:ind w:left="-92" w:right="-90"/>
                    <w:jc w:val="center"/>
                    <w:rPr>
                      <w:rFonts w:ascii="Times New Roman" w:hAnsi="Times New Roman"/>
                      <w:b/>
                      <w:bCs/>
                      <w:i/>
                      <w:sz w:val="16"/>
                      <w:szCs w:val="16"/>
                      <w:lang w:val="es-CO" w:eastAsia="en-US"/>
                    </w:rPr>
                  </w:pPr>
                  <w:r w:rsidRPr="00CE5E13">
                    <w:rPr>
                      <w:rFonts w:ascii="Times New Roman" w:hAnsi="Times New Roman"/>
                      <w:b/>
                      <w:bCs/>
                      <w:i/>
                      <w:sz w:val="16"/>
                      <w:szCs w:val="16"/>
                      <w:lang w:val="es-CO" w:eastAsia="en-US"/>
                    </w:rPr>
                    <w:t>13</w:t>
                  </w:r>
                </w:p>
              </w:tc>
              <w:tc>
                <w:tcPr>
                  <w:tcW w:w="850" w:type="dxa"/>
                  <w:tcBorders>
                    <w:top w:val="single" w:sz="12" w:space="0" w:color="auto"/>
                    <w:left w:val="single" w:sz="12"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41</w:t>
                  </w:r>
                </w:p>
              </w:tc>
              <w:tc>
                <w:tcPr>
                  <w:tcW w:w="750" w:type="dxa"/>
                  <w:tcBorders>
                    <w:top w:val="single" w:sz="12" w:space="0" w:color="auto"/>
                    <w:left w:val="single" w:sz="12" w:space="0" w:color="auto"/>
                    <w:bottom w:val="single" w:sz="12" w:space="0" w:color="auto"/>
                    <w:right w:val="single" w:sz="8" w:space="0" w:color="auto"/>
                  </w:tcBorders>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800" w:type="dxa"/>
                  <w:tcBorders>
                    <w:top w:val="single" w:sz="12" w:space="0" w:color="auto"/>
                    <w:left w:val="single" w:sz="8" w:space="0" w:color="auto"/>
                    <w:bottom w:val="single" w:sz="12" w:space="0" w:color="auto"/>
                    <w:right w:val="single" w:sz="8"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439" w:type="dxa"/>
                  <w:tcBorders>
                    <w:top w:val="single" w:sz="12" w:space="0" w:color="auto"/>
                    <w:left w:val="single" w:sz="8"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2</w:t>
                  </w:r>
                </w:p>
              </w:tc>
            </w:tr>
            <w:tr w:rsidR="00DD35C2" w:rsidRPr="00CE5E13" w:rsidTr="00CE5E13">
              <w:trPr>
                <w:trHeight w:val="69"/>
                <w:jc w:val="center"/>
              </w:trPr>
              <w:tc>
                <w:tcPr>
                  <w:tcW w:w="9015" w:type="dxa"/>
                  <w:gridSpan w:val="11"/>
                  <w:tcBorders>
                    <w:top w:val="single" w:sz="2" w:space="0" w:color="000000"/>
                    <w:left w:val="single" w:sz="12" w:space="0" w:color="auto"/>
                    <w:bottom w:val="single" w:sz="2" w:space="0" w:color="000000"/>
                    <w:right w:val="single" w:sz="12" w:space="0" w:color="auto"/>
                  </w:tcBorders>
                  <w:vAlign w:val="center"/>
                </w:tcPr>
                <w:p w:rsidR="00DD35C2" w:rsidRPr="00CE5E13" w:rsidRDefault="00DD35C2" w:rsidP="00CE5E13">
                  <w:pPr>
                    <w:autoSpaceDE w:val="0"/>
                    <w:autoSpaceDN w:val="0"/>
                    <w:adjustRightInd w:val="0"/>
                    <w:ind w:left="-92" w:right="-90"/>
                    <w:jc w:val="center"/>
                    <w:rPr>
                      <w:rFonts w:ascii="Times New Roman" w:hAnsi="Times New Roman"/>
                      <w:b/>
                      <w:bCs/>
                      <w:sz w:val="16"/>
                      <w:szCs w:val="16"/>
                      <w:lang w:val="es-CO" w:eastAsia="en-US"/>
                    </w:rPr>
                  </w:pPr>
                </w:p>
              </w:tc>
            </w:tr>
            <w:tr w:rsidR="00DD35C2" w:rsidRPr="00CE5E13" w:rsidTr="00CE5E13">
              <w:trPr>
                <w:trHeight w:val="529"/>
                <w:jc w:val="center"/>
              </w:trPr>
              <w:tc>
                <w:tcPr>
                  <w:tcW w:w="3170" w:type="dxa"/>
                  <w:gridSpan w:val="2"/>
                  <w:tcBorders>
                    <w:top w:val="single" w:sz="2" w:space="0" w:color="000000"/>
                    <w:left w:val="single" w:sz="12" w:space="0" w:color="auto"/>
                    <w:bottom w:val="single" w:sz="2" w:space="0" w:color="000000"/>
                    <w:right w:val="single" w:sz="18" w:space="0" w:color="auto"/>
                  </w:tcBorders>
                  <w:vAlign w:val="center"/>
                </w:tcPr>
                <w:p w:rsidR="00DD35C2" w:rsidRPr="00CE5E13" w:rsidRDefault="00DD35C2" w:rsidP="002A66C6">
                  <w:pPr>
                    <w:autoSpaceDE w:val="0"/>
                    <w:autoSpaceDN w:val="0"/>
                    <w:adjustRightInd w:val="0"/>
                    <w:jc w:val="both"/>
                    <w:rPr>
                      <w:rFonts w:ascii="Times New Roman" w:hAnsi="Times New Roman"/>
                      <w:sz w:val="16"/>
                      <w:szCs w:val="16"/>
                      <w:lang w:val="es-CO" w:eastAsia="en-US"/>
                    </w:rPr>
                  </w:pPr>
                  <w:r w:rsidRPr="00CE5E13">
                    <w:rPr>
                      <w:rFonts w:ascii="Times New Roman" w:hAnsi="Times New Roman"/>
                      <w:b/>
                      <w:sz w:val="16"/>
                      <w:szCs w:val="16"/>
                      <w:lang w:val="es-CO" w:eastAsia="en-US"/>
                    </w:rPr>
                    <w:t>Contraloría de Bogotá</w:t>
                  </w:r>
                </w:p>
              </w:tc>
              <w:tc>
                <w:tcPr>
                  <w:tcW w:w="668" w:type="dxa"/>
                  <w:gridSpan w:val="2"/>
                  <w:tcBorders>
                    <w:top w:val="single" w:sz="2" w:space="0" w:color="000000"/>
                    <w:left w:val="single" w:sz="18"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right="-99" w:hanging="70"/>
                    <w:jc w:val="both"/>
                    <w:rPr>
                      <w:rFonts w:ascii="Times New Roman" w:hAnsi="Times New Roman"/>
                      <w:sz w:val="16"/>
                      <w:szCs w:val="16"/>
                      <w:lang w:val="es-CO" w:eastAsia="en-US"/>
                    </w:rPr>
                  </w:pPr>
                  <w:r w:rsidRPr="00CE5E13">
                    <w:rPr>
                      <w:rFonts w:ascii="Times New Roman" w:hAnsi="Times New Roman"/>
                      <w:sz w:val="16"/>
                      <w:szCs w:val="16"/>
                      <w:lang w:val="es-CO" w:eastAsia="en-US"/>
                    </w:rPr>
                    <w:t>Vigentes</w:t>
                  </w:r>
                </w:p>
              </w:tc>
              <w:tc>
                <w:tcPr>
                  <w:tcW w:w="930" w:type="dxa"/>
                  <w:vMerge w:val="restart"/>
                  <w:tcBorders>
                    <w:top w:val="single" w:sz="2" w:space="0" w:color="000000"/>
                    <w:left w:val="single" w:sz="12" w:space="0" w:color="auto"/>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sz w:val="16"/>
                      <w:szCs w:val="16"/>
                      <w:highlight w:val="magenta"/>
                      <w:lang w:val="es-CO" w:eastAsia="en-US"/>
                    </w:rPr>
                  </w:pPr>
                </w:p>
                <w:p w:rsidR="00DD35C2" w:rsidRPr="00CE5E13" w:rsidRDefault="00DD35C2" w:rsidP="00CE5E13">
                  <w:pPr>
                    <w:autoSpaceDE w:val="0"/>
                    <w:autoSpaceDN w:val="0"/>
                    <w:adjustRightInd w:val="0"/>
                    <w:ind w:left="-70"/>
                    <w:jc w:val="center"/>
                    <w:rPr>
                      <w:rFonts w:ascii="Times New Roman" w:hAnsi="Times New Roman"/>
                      <w:b/>
                      <w:bCs/>
                      <w:sz w:val="16"/>
                      <w:szCs w:val="16"/>
                      <w:highlight w:val="magenta"/>
                      <w:lang w:val="es-CO" w:eastAsia="en-US"/>
                    </w:rPr>
                  </w:pPr>
                </w:p>
                <w:p w:rsidR="00DD35C2" w:rsidRPr="00CE5E13" w:rsidRDefault="00DD35C2" w:rsidP="00CE5E13">
                  <w:pPr>
                    <w:autoSpaceDE w:val="0"/>
                    <w:autoSpaceDN w:val="0"/>
                    <w:adjustRightInd w:val="0"/>
                    <w:ind w:left="-70"/>
                    <w:jc w:val="center"/>
                    <w:rPr>
                      <w:rFonts w:ascii="Times New Roman" w:hAnsi="Times New Roman"/>
                      <w:b/>
                      <w:bCs/>
                      <w:sz w:val="16"/>
                      <w:szCs w:val="16"/>
                      <w:highlight w:val="magenta"/>
                      <w:lang w:val="es-CO" w:eastAsia="en-US"/>
                    </w:rPr>
                  </w:pPr>
                </w:p>
                <w:p w:rsidR="00DD35C2" w:rsidRPr="00CE5E13" w:rsidRDefault="00DD35C2" w:rsidP="00CE5E13">
                  <w:pPr>
                    <w:autoSpaceDE w:val="0"/>
                    <w:autoSpaceDN w:val="0"/>
                    <w:adjustRightInd w:val="0"/>
                    <w:ind w:left="-70"/>
                    <w:jc w:val="center"/>
                    <w:rPr>
                      <w:rFonts w:ascii="Times New Roman" w:hAnsi="Times New Roman"/>
                      <w:sz w:val="16"/>
                      <w:szCs w:val="16"/>
                      <w:highlight w:val="magenta"/>
                      <w:lang w:val="es-CO" w:eastAsia="en-US"/>
                    </w:rPr>
                  </w:pPr>
                  <w:r w:rsidRPr="00CE5E13">
                    <w:rPr>
                      <w:rFonts w:ascii="Times New Roman" w:hAnsi="Times New Roman"/>
                      <w:b/>
                      <w:bCs/>
                      <w:sz w:val="16"/>
                      <w:szCs w:val="16"/>
                      <w:lang w:val="es-CO" w:eastAsia="en-US"/>
                    </w:rPr>
                    <w:t>14</w:t>
                  </w:r>
                </w:p>
              </w:tc>
              <w:tc>
                <w:tcPr>
                  <w:tcW w:w="206" w:type="dxa"/>
                  <w:vMerge w:val="restart"/>
                  <w:tcBorders>
                    <w:top w:val="single" w:sz="2" w:space="0" w:color="000000"/>
                    <w:left w:val="single" w:sz="12" w:space="0" w:color="auto"/>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highlight w:val="magenta"/>
                      <w:lang w:val="es-CO" w:eastAsia="en-US"/>
                    </w:rPr>
                  </w:pPr>
                </w:p>
                <w:p w:rsidR="00DD35C2" w:rsidRPr="00CE5E13" w:rsidRDefault="00DD35C2" w:rsidP="002A66C6">
                  <w:pPr>
                    <w:autoSpaceDE w:val="0"/>
                    <w:autoSpaceDN w:val="0"/>
                    <w:adjustRightInd w:val="0"/>
                    <w:ind w:left="240"/>
                    <w:jc w:val="both"/>
                    <w:rPr>
                      <w:rFonts w:ascii="Times New Roman" w:hAnsi="Times New Roman"/>
                      <w:sz w:val="16"/>
                      <w:szCs w:val="16"/>
                      <w:highlight w:val="magenta"/>
                      <w:lang w:val="es-CO" w:eastAsia="en-US"/>
                    </w:rPr>
                  </w:pPr>
                </w:p>
              </w:tc>
              <w:tc>
                <w:tcPr>
                  <w:tcW w:w="1202" w:type="dxa"/>
                  <w:vMerge w:val="restart"/>
                  <w:tcBorders>
                    <w:top w:val="single" w:sz="2" w:space="0" w:color="000000"/>
                    <w:left w:val="single" w:sz="8"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highlight w:val="magenta"/>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highlight w:val="magenta"/>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highlight w:val="magenta"/>
                      <w:lang w:val="es-CO" w:eastAsia="en-US"/>
                    </w:rPr>
                  </w:pPr>
                </w:p>
                <w:p w:rsidR="00DD35C2" w:rsidRPr="00CE5E13" w:rsidRDefault="00DD35C2" w:rsidP="00CE5E13">
                  <w:pPr>
                    <w:autoSpaceDE w:val="0"/>
                    <w:autoSpaceDN w:val="0"/>
                    <w:adjustRightInd w:val="0"/>
                    <w:ind w:left="-92" w:right="-90"/>
                    <w:jc w:val="center"/>
                    <w:rPr>
                      <w:rFonts w:ascii="Times New Roman" w:hAnsi="Times New Roman"/>
                      <w:i/>
                      <w:sz w:val="16"/>
                      <w:szCs w:val="16"/>
                      <w:highlight w:val="magenta"/>
                      <w:lang w:val="es-CO" w:eastAsia="en-US"/>
                    </w:rPr>
                  </w:pPr>
                  <w:r w:rsidRPr="00CE5E13">
                    <w:rPr>
                      <w:rFonts w:ascii="Times New Roman" w:hAnsi="Times New Roman"/>
                      <w:i/>
                      <w:sz w:val="16"/>
                      <w:szCs w:val="16"/>
                      <w:lang w:val="es-CO" w:eastAsia="en-US"/>
                    </w:rPr>
                    <w:t>14</w:t>
                  </w:r>
                </w:p>
              </w:tc>
              <w:tc>
                <w:tcPr>
                  <w:tcW w:w="850" w:type="dxa"/>
                  <w:vMerge w:val="restart"/>
                  <w:tcBorders>
                    <w:top w:val="single" w:sz="2" w:space="0" w:color="000000"/>
                    <w:left w:val="single" w:sz="12"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750" w:type="dxa"/>
                  <w:vMerge w:val="restart"/>
                  <w:tcBorders>
                    <w:top w:val="single" w:sz="2" w:space="0" w:color="000000"/>
                    <w:left w:val="single" w:sz="12"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800" w:type="dxa"/>
                  <w:vMerge w:val="restart"/>
                  <w:tcBorders>
                    <w:top w:val="single" w:sz="2" w:space="0" w:color="000000"/>
                    <w:left w:val="single" w:sz="8" w:space="0" w:color="auto"/>
                    <w:right w:val="single" w:sz="8" w:space="0" w:color="auto"/>
                  </w:tcBorders>
                  <w:shd w:val="solid" w:color="FFFFFF" w:fill="auto"/>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439" w:type="dxa"/>
                  <w:vMerge w:val="restart"/>
                  <w:tcBorders>
                    <w:top w:val="single" w:sz="2" w:space="0" w:color="000000"/>
                    <w:left w:val="single" w:sz="8"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p>
                <w:p w:rsidR="00DD35C2" w:rsidRPr="00CE5E13" w:rsidRDefault="00DD35C2" w:rsidP="00CE5E13">
                  <w:pPr>
                    <w:autoSpaceDE w:val="0"/>
                    <w:autoSpaceDN w:val="0"/>
                    <w:adjustRightInd w:val="0"/>
                    <w:ind w:left="-9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r>
            <w:tr w:rsidR="00DD35C2" w:rsidRPr="00CE5E13" w:rsidTr="00405878">
              <w:trPr>
                <w:trHeight w:val="746"/>
                <w:jc w:val="center"/>
              </w:trPr>
              <w:tc>
                <w:tcPr>
                  <w:tcW w:w="3216" w:type="dxa"/>
                  <w:gridSpan w:val="3"/>
                  <w:tcBorders>
                    <w:top w:val="single" w:sz="2" w:space="0" w:color="000000"/>
                    <w:left w:val="single" w:sz="12" w:space="0" w:color="auto"/>
                    <w:bottom w:val="nil"/>
                    <w:right w:val="single" w:sz="12" w:space="0" w:color="auto"/>
                  </w:tcBorders>
                  <w:shd w:val="solid" w:color="FFFFFF" w:fill="auto"/>
                </w:tcPr>
                <w:p w:rsidR="00DD35C2" w:rsidRPr="00CE5E13" w:rsidRDefault="00DD35C2" w:rsidP="002A66C6">
                  <w:pPr>
                    <w:jc w:val="both"/>
                    <w:rPr>
                      <w:rFonts w:ascii="Times New Roman" w:hAnsi="Times New Roman"/>
                      <w:sz w:val="16"/>
                      <w:szCs w:val="16"/>
                      <w:lang w:val="es-CO" w:eastAsia="en-US"/>
                    </w:rPr>
                  </w:pPr>
                  <w:r w:rsidRPr="00CE5E13">
                    <w:rPr>
                      <w:rFonts w:ascii="Times New Roman" w:hAnsi="Times New Roman"/>
                      <w:sz w:val="16"/>
                      <w:szCs w:val="16"/>
                      <w:lang w:val="es-CO" w:eastAsia="en-US"/>
                    </w:rPr>
                    <w:t>Informe Final Auditoría Gubernamental con enfoque integral modalidad regular a la SDP - periodo auditado 2012 - Dirección sector Hábitat y Ambiente - mayo 30 de 2013.</w:t>
                  </w:r>
                </w:p>
              </w:tc>
              <w:tc>
                <w:tcPr>
                  <w:tcW w:w="622" w:type="dxa"/>
                  <w:tcBorders>
                    <w:top w:val="single" w:sz="2" w:space="0" w:color="000000"/>
                    <w:left w:val="single" w:sz="12" w:space="0" w:color="auto"/>
                    <w:bottom w:val="nil"/>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i/>
                      <w:iCs/>
                      <w:color w:val="002060"/>
                      <w:sz w:val="16"/>
                      <w:szCs w:val="16"/>
                      <w:lang w:val="es-CO" w:eastAsia="en-US"/>
                    </w:rPr>
                  </w:pPr>
                  <w:r w:rsidRPr="00CE5E13">
                    <w:rPr>
                      <w:rFonts w:ascii="Times New Roman" w:hAnsi="Times New Roman"/>
                      <w:b/>
                      <w:bCs/>
                      <w:i/>
                      <w:iCs/>
                      <w:color w:val="002060"/>
                      <w:sz w:val="16"/>
                      <w:szCs w:val="16"/>
                      <w:lang w:val="es-CO" w:eastAsia="en-US"/>
                    </w:rPr>
                    <w:t>4</w:t>
                  </w:r>
                </w:p>
              </w:tc>
              <w:tc>
                <w:tcPr>
                  <w:tcW w:w="930" w:type="dxa"/>
                  <w:vMerge/>
                  <w:tcBorders>
                    <w:left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206" w:type="dxa"/>
                  <w:vMerge/>
                  <w:tcBorders>
                    <w:left w:val="single" w:sz="12" w:space="0" w:color="auto"/>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lang w:val="es-CO" w:eastAsia="en-US"/>
                    </w:rPr>
                  </w:pPr>
                </w:p>
              </w:tc>
              <w:tc>
                <w:tcPr>
                  <w:tcW w:w="1202" w:type="dxa"/>
                  <w:vMerge/>
                  <w:tcBorders>
                    <w:left w:val="single" w:sz="8" w:space="0" w:color="auto"/>
                    <w:right w:val="single" w:sz="12" w:space="0" w:color="auto"/>
                  </w:tcBorders>
                  <w:shd w:val="clear" w:color="auto" w:fill="C0C0C0"/>
                  <w:vAlign w:val="center"/>
                </w:tcPr>
                <w:p w:rsidR="00DD35C2" w:rsidRPr="00CE5E13" w:rsidRDefault="00DD35C2" w:rsidP="00CE5E13">
                  <w:pPr>
                    <w:autoSpaceDE w:val="0"/>
                    <w:autoSpaceDN w:val="0"/>
                    <w:adjustRightInd w:val="0"/>
                    <w:ind w:left="240" w:right="-90"/>
                    <w:jc w:val="center"/>
                    <w:rPr>
                      <w:rFonts w:ascii="Times New Roman" w:hAnsi="Times New Roman"/>
                      <w:b/>
                      <w:bCs/>
                      <w:sz w:val="16"/>
                      <w:szCs w:val="16"/>
                      <w:lang w:val="es-CO" w:eastAsia="en-US"/>
                    </w:rPr>
                  </w:pPr>
                </w:p>
              </w:tc>
              <w:tc>
                <w:tcPr>
                  <w:tcW w:w="850" w:type="dxa"/>
                  <w:vMerge/>
                  <w:tcBorders>
                    <w:left w:val="single" w:sz="12"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tc>
              <w:tc>
                <w:tcPr>
                  <w:tcW w:w="750" w:type="dxa"/>
                  <w:vMerge/>
                  <w:tcBorders>
                    <w:left w:val="single" w:sz="12"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800" w:type="dxa"/>
                  <w:vMerge/>
                  <w:tcBorders>
                    <w:left w:val="single" w:sz="8" w:space="0" w:color="auto"/>
                    <w:right w:val="single" w:sz="8" w:space="0" w:color="auto"/>
                  </w:tcBorders>
                  <w:shd w:val="solid" w:color="FFFFFF" w:fill="auto"/>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439" w:type="dxa"/>
                  <w:vMerge/>
                  <w:tcBorders>
                    <w:left w:val="single" w:sz="8" w:space="0" w:color="auto"/>
                    <w:right w:val="single" w:sz="12" w:space="0" w:color="auto"/>
                  </w:tcBorders>
                  <w:shd w:val="solid" w:color="FFFFFF" w:fill="auto"/>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r>
            <w:tr w:rsidR="00DD35C2" w:rsidRPr="00CE5E13" w:rsidTr="00405878">
              <w:trPr>
                <w:trHeight w:val="350"/>
                <w:jc w:val="center"/>
              </w:trPr>
              <w:tc>
                <w:tcPr>
                  <w:tcW w:w="3216" w:type="dxa"/>
                  <w:gridSpan w:val="3"/>
                  <w:tcBorders>
                    <w:top w:val="single" w:sz="2" w:space="0" w:color="000000"/>
                    <w:left w:val="single" w:sz="12" w:space="0" w:color="auto"/>
                    <w:bottom w:val="single" w:sz="2" w:space="0" w:color="000000"/>
                    <w:right w:val="single" w:sz="12" w:space="0" w:color="auto"/>
                  </w:tcBorders>
                  <w:shd w:val="solid" w:color="FFFFFF" w:fill="auto"/>
                </w:tcPr>
                <w:p w:rsidR="00DD35C2" w:rsidRPr="00CE5E13" w:rsidRDefault="00DD35C2" w:rsidP="002A66C6">
                  <w:pPr>
                    <w:jc w:val="both"/>
                    <w:rPr>
                      <w:rFonts w:ascii="Times New Roman" w:hAnsi="Times New Roman"/>
                      <w:sz w:val="16"/>
                      <w:szCs w:val="16"/>
                      <w:lang w:val="es-CO" w:eastAsia="en-US"/>
                    </w:rPr>
                  </w:pPr>
                  <w:r w:rsidRPr="00CE5E13">
                    <w:rPr>
                      <w:rFonts w:ascii="Times New Roman" w:hAnsi="Times New Roman"/>
                      <w:sz w:val="16"/>
                      <w:szCs w:val="16"/>
                      <w:lang w:val="es-CO" w:eastAsia="en-US"/>
                    </w:rPr>
                    <w:t>Informe final de Auditoría de Regularidad correspondiente a la Vigencia 2014 - PAD 2015.</w:t>
                  </w:r>
                </w:p>
              </w:tc>
              <w:tc>
                <w:tcPr>
                  <w:tcW w:w="622" w:type="dxa"/>
                  <w:tcBorders>
                    <w:top w:val="single" w:sz="6" w:space="0" w:color="auto"/>
                    <w:left w:val="single" w:sz="12" w:space="0" w:color="auto"/>
                    <w:bottom w:val="single" w:sz="6" w:space="0" w:color="auto"/>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i/>
                      <w:iCs/>
                      <w:sz w:val="16"/>
                      <w:szCs w:val="16"/>
                      <w:lang w:val="es-CO" w:eastAsia="en-US"/>
                    </w:rPr>
                  </w:pPr>
                  <w:r w:rsidRPr="00CE5E13">
                    <w:rPr>
                      <w:rFonts w:ascii="Times New Roman" w:hAnsi="Times New Roman"/>
                      <w:b/>
                      <w:bCs/>
                      <w:i/>
                      <w:iCs/>
                      <w:sz w:val="16"/>
                      <w:szCs w:val="16"/>
                      <w:lang w:val="es-CO" w:eastAsia="en-US"/>
                    </w:rPr>
                    <w:t>3</w:t>
                  </w:r>
                </w:p>
              </w:tc>
              <w:tc>
                <w:tcPr>
                  <w:tcW w:w="930" w:type="dxa"/>
                  <w:vMerge/>
                  <w:tcBorders>
                    <w:left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sz w:val="16"/>
                      <w:szCs w:val="16"/>
                      <w:lang w:val="es-CO" w:eastAsia="en-US"/>
                    </w:rPr>
                  </w:pPr>
                </w:p>
              </w:tc>
              <w:tc>
                <w:tcPr>
                  <w:tcW w:w="206" w:type="dxa"/>
                  <w:vMerge/>
                  <w:tcBorders>
                    <w:left w:val="single" w:sz="12" w:space="0" w:color="auto"/>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lang w:val="es-CO" w:eastAsia="en-US"/>
                    </w:rPr>
                  </w:pPr>
                </w:p>
              </w:tc>
              <w:tc>
                <w:tcPr>
                  <w:tcW w:w="1202" w:type="dxa"/>
                  <w:vMerge/>
                  <w:tcBorders>
                    <w:left w:val="single" w:sz="8" w:space="0" w:color="auto"/>
                    <w:right w:val="single" w:sz="12" w:space="0" w:color="auto"/>
                  </w:tcBorders>
                  <w:shd w:val="clear" w:color="auto" w:fill="C0C0C0"/>
                  <w:vAlign w:val="center"/>
                </w:tcPr>
                <w:p w:rsidR="00DD35C2" w:rsidRPr="00CE5E13" w:rsidRDefault="00DD35C2" w:rsidP="00CE5E13">
                  <w:pPr>
                    <w:autoSpaceDE w:val="0"/>
                    <w:autoSpaceDN w:val="0"/>
                    <w:adjustRightInd w:val="0"/>
                    <w:ind w:left="240" w:right="-90"/>
                    <w:jc w:val="center"/>
                    <w:rPr>
                      <w:rFonts w:ascii="Times New Roman" w:hAnsi="Times New Roman"/>
                      <w:color w:val="800000"/>
                      <w:sz w:val="16"/>
                      <w:szCs w:val="16"/>
                      <w:lang w:val="es-CO" w:eastAsia="en-US"/>
                    </w:rPr>
                  </w:pPr>
                </w:p>
              </w:tc>
              <w:tc>
                <w:tcPr>
                  <w:tcW w:w="850" w:type="dxa"/>
                  <w:vMerge/>
                  <w:tcBorders>
                    <w:left w:val="single" w:sz="12" w:space="0" w:color="auto"/>
                    <w:right w:val="single" w:sz="12"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tc>
              <w:tc>
                <w:tcPr>
                  <w:tcW w:w="750" w:type="dxa"/>
                  <w:vMerge/>
                  <w:tcBorders>
                    <w:left w:val="single" w:sz="12"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800" w:type="dxa"/>
                  <w:vMerge/>
                  <w:tcBorders>
                    <w:left w:val="single" w:sz="8" w:space="0" w:color="auto"/>
                    <w:right w:val="single" w:sz="8"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439" w:type="dxa"/>
                  <w:vMerge/>
                  <w:tcBorders>
                    <w:left w:val="single" w:sz="8"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r>
            <w:tr w:rsidR="00DD35C2" w:rsidRPr="00CE5E13" w:rsidTr="00405878">
              <w:trPr>
                <w:trHeight w:val="547"/>
                <w:jc w:val="center"/>
              </w:trPr>
              <w:tc>
                <w:tcPr>
                  <w:tcW w:w="3216" w:type="dxa"/>
                  <w:gridSpan w:val="3"/>
                  <w:tcBorders>
                    <w:top w:val="single" w:sz="2" w:space="0" w:color="000000"/>
                    <w:left w:val="single" w:sz="12" w:space="0" w:color="auto"/>
                    <w:bottom w:val="single" w:sz="2" w:space="0" w:color="000000"/>
                    <w:right w:val="single" w:sz="12" w:space="0" w:color="auto"/>
                  </w:tcBorders>
                  <w:shd w:val="solid" w:color="FFFFFF" w:fill="auto"/>
                </w:tcPr>
                <w:p w:rsidR="00DD35C2" w:rsidRPr="00CE5E13" w:rsidRDefault="00DD35C2" w:rsidP="002A66C6">
                  <w:pPr>
                    <w:autoSpaceDE w:val="0"/>
                    <w:autoSpaceDN w:val="0"/>
                    <w:adjustRightInd w:val="0"/>
                    <w:jc w:val="both"/>
                    <w:rPr>
                      <w:rFonts w:ascii="Times New Roman" w:hAnsi="Times New Roman"/>
                      <w:sz w:val="16"/>
                      <w:szCs w:val="16"/>
                      <w:lang w:val="es-CO" w:eastAsia="en-US"/>
                    </w:rPr>
                  </w:pPr>
                  <w:r w:rsidRPr="00CE5E13">
                    <w:rPr>
                      <w:rFonts w:ascii="Times New Roman" w:hAnsi="Times New Roman"/>
                      <w:sz w:val="16"/>
                      <w:szCs w:val="16"/>
                      <w:lang w:val="es-CO" w:eastAsia="en-US"/>
                    </w:rPr>
                    <w:t>Informe de auditoría de regularidad cód 62</w:t>
                  </w:r>
                </w:p>
                <w:p w:rsidR="00DD35C2" w:rsidRPr="00CE5E13" w:rsidRDefault="00DD35C2" w:rsidP="002A66C6">
                  <w:pPr>
                    <w:jc w:val="both"/>
                    <w:rPr>
                      <w:rFonts w:ascii="Times New Roman" w:hAnsi="Times New Roman"/>
                      <w:sz w:val="16"/>
                      <w:szCs w:val="16"/>
                      <w:lang w:val="es-CO" w:eastAsia="en-US"/>
                    </w:rPr>
                  </w:pPr>
                  <w:r w:rsidRPr="00CE5E13">
                    <w:rPr>
                      <w:rFonts w:ascii="Times New Roman" w:hAnsi="Times New Roman"/>
                      <w:sz w:val="16"/>
                      <w:szCs w:val="16"/>
                      <w:lang w:val="es-CO" w:eastAsia="en-US"/>
                    </w:rPr>
                    <w:t>SDP - Período Auditado 2015 PAD 2016</w:t>
                  </w:r>
                </w:p>
              </w:tc>
              <w:tc>
                <w:tcPr>
                  <w:tcW w:w="622" w:type="dxa"/>
                  <w:tcBorders>
                    <w:top w:val="single" w:sz="6" w:space="0" w:color="auto"/>
                    <w:left w:val="single" w:sz="12" w:space="0" w:color="auto"/>
                    <w:bottom w:val="single" w:sz="2" w:space="0" w:color="000000"/>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i/>
                      <w:iCs/>
                      <w:sz w:val="16"/>
                      <w:szCs w:val="16"/>
                      <w:lang w:val="es-CO" w:eastAsia="en-US"/>
                    </w:rPr>
                  </w:pPr>
                  <w:r w:rsidRPr="00CE5E13">
                    <w:rPr>
                      <w:rFonts w:ascii="Times New Roman" w:hAnsi="Times New Roman"/>
                      <w:b/>
                      <w:bCs/>
                      <w:i/>
                      <w:iCs/>
                      <w:sz w:val="16"/>
                      <w:szCs w:val="16"/>
                      <w:lang w:val="es-CO" w:eastAsia="en-US"/>
                    </w:rPr>
                    <w:t>6</w:t>
                  </w:r>
                </w:p>
              </w:tc>
              <w:tc>
                <w:tcPr>
                  <w:tcW w:w="930" w:type="dxa"/>
                  <w:vMerge/>
                  <w:tcBorders>
                    <w:left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sz w:val="16"/>
                      <w:szCs w:val="16"/>
                      <w:lang w:val="es-CO" w:eastAsia="en-US"/>
                    </w:rPr>
                  </w:pPr>
                </w:p>
              </w:tc>
              <w:tc>
                <w:tcPr>
                  <w:tcW w:w="206" w:type="dxa"/>
                  <w:vMerge/>
                  <w:tcBorders>
                    <w:left w:val="single" w:sz="12" w:space="0" w:color="auto"/>
                    <w:bottom w:val="single" w:sz="2" w:space="0" w:color="000000"/>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lang w:val="es-CO" w:eastAsia="en-US"/>
                    </w:rPr>
                  </w:pPr>
                </w:p>
              </w:tc>
              <w:tc>
                <w:tcPr>
                  <w:tcW w:w="1202" w:type="dxa"/>
                  <w:vMerge/>
                  <w:tcBorders>
                    <w:left w:val="single" w:sz="8" w:space="0" w:color="auto"/>
                    <w:right w:val="single" w:sz="12" w:space="0" w:color="auto"/>
                  </w:tcBorders>
                  <w:shd w:val="clear" w:color="auto" w:fill="C0C0C0"/>
                  <w:vAlign w:val="center"/>
                </w:tcPr>
                <w:p w:rsidR="00DD35C2" w:rsidRPr="00CE5E13" w:rsidRDefault="00DD35C2" w:rsidP="00CE5E13">
                  <w:pPr>
                    <w:autoSpaceDE w:val="0"/>
                    <w:autoSpaceDN w:val="0"/>
                    <w:adjustRightInd w:val="0"/>
                    <w:ind w:left="240" w:right="-90"/>
                    <w:jc w:val="center"/>
                    <w:rPr>
                      <w:rFonts w:ascii="Times New Roman" w:hAnsi="Times New Roman"/>
                      <w:color w:val="800000"/>
                      <w:sz w:val="16"/>
                      <w:szCs w:val="16"/>
                      <w:lang w:val="es-CO" w:eastAsia="en-US"/>
                    </w:rPr>
                  </w:pPr>
                </w:p>
              </w:tc>
              <w:tc>
                <w:tcPr>
                  <w:tcW w:w="850" w:type="dxa"/>
                  <w:vMerge/>
                  <w:tcBorders>
                    <w:left w:val="single" w:sz="12" w:space="0" w:color="auto"/>
                    <w:right w:val="single" w:sz="12"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tc>
              <w:tc>
                <w:tcPr>
                  <w:tcW w:w="750" w:type="dxa"/>
                  <w:vMerge/>
                  <w:tcBorders>
                    <w:left w:val="single" w:sz="12"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800" w:type="dxa"/>
                  <w:vMerge/>
                  <w:tcBorders>
                    <w:left w:val="single" w:sz="8" w:space="0" w:color="auto"/>
                    <w:right w:val="single" w:sz="8"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439" w:type="dxa"/>
                  <w:vMerge/>
                  <w:tcBorders>
                    <w:left w:val="single" w:sz="8"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r>
            <w:tr w:rsidR="00DD35C2" w:rsidRPr="00CE5E13" w:rsidTr="00405878">
              <w:trPr>
                <w:trHeight w:val="547"/>
                <w:jc w:val="center"/>
              </w:trPr>
              <w:tc>
                <w:tcPr>
                  <w:tcW w:w="3216" w:type="dxa"/>
                  <w:gridSpan w:val="3"/>
                  <w:tcBorders>
                    <w:top w:val="single" w:sz="2" w:space="0" w:color="000000"/>
                    <w:left w:val="single" w:sz="12" w:space="0" w:color="auto"/>
                    <w:bottom w:val="single" w:sz="2" w:space="0" w:color="000000"/>
                    <w:right w:val="single" w:sz="12" w:space="0" w:color="auto"/>
                  </w:tcBorders>
                  <w:shd w:val="solid" w:color="FFFFFF" w:fill="auto"/>
                </w:tcPr>
                <w:p w:rsidR="00DD35C2" w:rsidRPr="00CE5E13" w:rsidRDefault="00DD35C2" w:rsidP="002A66C6">
                  <w:pPr>
                    <w:autoSpaceDE w:val="0"/>
                    <w:autoSpaceDN w:val="0"/>
                    <w:adjustRightInd w:val="0"/>
                    <w:jc w:val="both"/>
                    <w:rPr>
                      <w:rFonts w:ascii="Times New Roman" w:hAnsi="Times New Roman"/>
                      <w:sz w:val="16"/>
                      <w:szCs w:val="16"/>
                      <w:lang w:val="es-CO" w:eastAsia="en-US"/>
                    </w:rPr>
                  </w:pPr>
                  <w:r w:rsidRPr="00CE5E13">
                    <w:rPr>
                      <w:rFonts w:ascii="Times New Roman" w:hAnsi="Times New Roman"/>
                      <w:sz w:val="16"/>
                      <w:szCs w:val="16"/>
                      <w:lang w:val="es-CO" w:eastAsia="en-US"/>
                    </w:rPr>
                    <w:t>Informe de Auditoría Modalidad Regular SDP 2014 - Periodo Auditado 2013.</w:t>
                  </w:r>
                </w:p>
              </w:tc>
              <w:tc>
                <w:tcPr>
                  <w:tcW w:w="622" w:type="dxa"/>
                  <w:tcBorders>
                    <w:top w:val="single" w:sz="6" w:space="0" w:color="auto"/>
                    <w:left w:val="single" w:sz="12" w:space="0" w:color="auto"/>
                    <w:bottom w:val="single" w:sz="2" w:space="0" w:color="000000"/>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i/>
                      <w:iCs/>
                      <w:sz w:val="16"/>
                      <w:szCs w:val="16"/>
                      <w:lang w:val="es-CO" w:eastAsia="en-US"/>
                    </w:rPr>
                  </w:pPr>
                  <w:r w:rsidRPr="00CE5E13">
                    <w:rPr>
                      <w:rFonts w:ascii="Times New Roman" w:hAnsi="Times New Roman"/>
                      <w:b/>
                      <w:bCs/>
                      <w:i/>
                      <w:iCs/>
                      <w:sz w:val="16"/>
                      <w:szCs w:val="16"/>
                      <w:lang w:val="es-CO" w:eastAsia="en-US"/>
                    </w:rPr>
                    <w:t>1</w:t>
                  </w:r>
                </w:p>
              </w:tc>
              <w:tc>
                <w:tcPr>
                  <w:tcW w:w="930" w:type="dxa"/>
                  <w:tcBorders>
                    <w:left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sz w:val="16"/>
                      <w:szCs w:val="16"/>
                      <w:lang w:val="es-CO" w:eastAsia="en-US"/>
                    </w:rPr>
                  </w:pPr>
                </w:p>
              </w:tc>
              <w:tc>
                <w:tcPr>
                  <w:tcW w:w="206" w:type="dxa"/>
                  <w:tcBorders>
                    <w:left w:val="single" w:sz="12" w:space="0" w:color="auto"/>
                    <w:bottom w:val="single" w:sz="2" w:space="0" w:color="000000"/>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lang w:val="es-CO" w:eastAsia="en-US"/>
                    </w:rPr>
                  </w:pPr>
                </w:p>
              </w:tc>
              <w:tc>
                <w:tcPr>
                  <w:tcW w:w="1202" w:type="dxa"/>
                  <w:tcBorders>
                    <w:left w:val="single" w:sz="8" w:space="0" w:color="auto"/>
                    <w:right w:val="single" w:sz="12" w:space="0" w:color="auto"/>
                  </w:tcBorders>
                  <w:shd w:val="clear" w:color="auto" w:fill="FFFFFF" w:themeFill="background1"/>
                  <w:vAlign w:val="center"/>
                </w:tcPr>
                <w:p w:rsidR="00DD35C2" w:rsidRPr="00CE5E13" w:rsidRDefault="00DD35C2" w:rsidP="00CE5E13">
                  <w:pPr>
                    <w:autoSpaceDE w:val="0"/>
                    <w:autoSpaceDN w:val="0"/>
                    <w:adjustRightInd w:val="0"/>
                    <w:ind w:left="240" w:right="-90"/>
                    <w:jc w:val="center"/>
                    <w:rPr>
                      <w:rFonts w:ascii="Times New Roman" w:hAnsi="Times New Roman"/>
                      <w:color w:val="800000"/>
                      <w:sz w:val="16"/>
                      <w:szCs w:val="16"/>
                      <w:lang w:val="es-CO" w:eastAsia="en-US"/>
                    </w:rPr>
                  </w:pPr>
                </w:p>
              </w:tc>
              <w:tc>
                <w:tcPr>
                  <w:tcW w:w="850" w:type="dxa"/>
                  <w:tcBorders>
                    <w:left w:val="single" w:sz="12" w:space="0" w:color="auto"/>
                    <w:right w:val="single" w:sz="12"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p>
              </w:tc>
              <w:tc>
                <w:tcPr>
                  <w:tcW w:w="750" w:type="dxa"/>
                  <w:tcBorders>
                    <w:left w:val="single" w:sz="12"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800" w:type="dxa"/>
                  <w:tcBorders>
                    <w:left w:val="single" w:sz="8" w:space="0" w:color="auto"/>
                    <w:right w:val="single" w:sz="8"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c>
                <w:tcPr>
                  <w:tcW w:w="439" w:type="dxa"/>
                  <w:tcBorders>
                    <w:left w:val="single" w:sz="8" w:space="0" w:color="auto"/>
                    <w:right w:val="single" w:sz="12" w:space="0" w:color="auto"/>
                  </w:tcBorders>
                  <w:vAlign w:val="center"/>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r>
            <w:tr w:rsidR="00DD35C2" w:rsidRPr="00CE5E13" w:rsidTr="00CE5E13">
              <w:trPr>
                <w:trHeight w:val="82"/>
                <w:jc w:val="center"/>
              </w:trPr>
              <w:tc>
                <w:tcPr>
                  <w:tcW w:w="9015" w:type="dxa"/>
                  <w:gridSpan w:val="11"/>
                  <w:tcBorders>
                    <w:top w:val="single" w:sz="2" w:space="0" w:color="000000"/>
                    <w:left w:val="single" w:sz="12" w:space="0" w:color="auto"/>
                    <w:bottom w:val="single" w:sz="2" w:space="0" w:color="000000"/>
                    <w:right w:val="single" w:sz="12" w:space="0" w:color="auto"/>
                  </w:tcBorders>
                  <w:shd w:val="solid" w:color="FFFFFF" w:fill="auto"/>
                </w:tcPr>
                <w:p w:rsidR="00DD35C2" w:rsidRPr="00CE5E13" w:rsidRDefault="00DD35C2" w:rsidP="00CE5E13">
                  <w:pPr>
                    <w:autoSpaceDE w:val="0"/>
                    <w:autoSpaceDN w:val="0"/>
                    <w:adjustRightInd w:val="0"/>
                    <w:ind w:left="240" w:right="-90"/>
                    <w:jc w:val="center"/>
                    <w:rPr>
                      <w:rFonts w:ascii="Times New Roman" w:hAnsi="Times New Roman"/>
                      <w:sz w:val="16"/>
                      <w:szCs w:val="16"/>
                      <w:lang w:val="es-CO" w:eastAsia="en-US"/>
                    </w:rPr>
                  </w:pPr>
                </w:p>
              </w:tc>
            </w:tr>
            <w:tr w:rsidR="00DD35C2" w:rsidRPr="00CE5E13" w:rsidTr="00CE5E13">
              <w:trPr>
                <w:trHeight w:val="547"/>
                <w:jc w:val="center"/>
              </w:trPr>
              <w:tc>
                <w:tcPr>
                  <w:tcW w:w="3164" w:type="dxa"/>
                  <w:tcBorders>
                    <w:top w:val="single" w:sz="2" w:space="0" w:color="000000"/>
                    <w:left w:val="single" w:sz="12" w:space="0" w:color="auto"/>
                    <w:bottom w:val="single" w:sz="2" w:space="0" w:color="000000"/>
                    <w:right w:val="single" w:sz="18" w:space="0" w:color="auto"/>
                  </w:tcBorders>
                  <w:shd w:val="solid" w:color="FFFFFF" w:fill="auto"/>
                  <w:vAlign w:val="center"/>
                </w:tcPr>
                <w:p w:rsidR="00DD35C2" w:rsidRPr="00CE5E13" w:rsidRDefault="00DD35C2" w:rsidP="002A66C6">
                  <w:pPr>
                    <w:jc w:val="both"/>
                    <w:rPr>
                      <w:rFonts w:ascii="Times New Roman" w:hAnsi="Times New Roman"/>
                      <w:sz w:val="16"/>
                      <w:szCs w:val="16"/>
                      <w:lang w:val="es-CO" w:eastAsia="en-US"/>
                    </w:rPr>
                  </w:pPr>
                  <w:r w:rsidRPr="00CE5E13">
                    <w:rPr>
                      <w:rFonts w:ascii="Times New Roman" w:hAnsi="Times New Roman"/>
                      <w:b/>
                      <w:sz w:val="16"/>
                      <w:szCs w:val="16"/>
                      <w:lang w:val="es-CO" w:eastAsia="en-US"/>
                    </w:rPr>
                    <w:t>Contraloría General de la República</w:t>
                  </w:r>
                </w:p>
              </w:tc>
              <w:tc>
                <w:tcPr>
                  <w:tcW w:w="674" w:type="dxa"/>
                  <w:gridSpan w:val="3"/>
                  <w:tcBorders>
                    <w:top w:val="single" w:sz="2" w:space="0" w:color="000000"/>
                    <w:left w:val="single" w:sz="18" w:space="0" w:color="auto"/>
                    <w:bottom w:val="single" w:sz="2" w:space="0" w:color="000000"/>
                    <w:right w:val="single" w:sz="12" w:space="0" w:color="auto"/>
                  </w:tcBorders>
                  <w:shd w:val="solid" w:color="FFFFFF" w:fill="auto"/>
                  <w:vAlign w:val="center"/>
                </w:tcPr>
                <w:p w:rsidR="00DD35C2" w:rsidRPr="00CE5E13" w:rsidRDefault="00DD35C2" w:rsidP="002A66C6">
                  <w:pPr>
                    <w:autoSpaceDE w:val="0"/>
                    <w:autoSpaceDN w:val="0"/>
                    <w:adjustRightInd w:val="0"/>
                    <w:ind w:left="-70"/>
                    <w:jc w:val="both"/>
                    <w:rPr>
                      <w:rFonts w:ascii="Times New Roman" w:hAnsi="Times New Roman"/>
                      <w:b/>
                      <w:bCs/>
                      <w:i/>
                      <w:iCs/>
                      <w:sz w:val="16"/>
                      <w:szCs w:val="16"/>
                      <w:lang w:val="es-CO" w:eastAsia="en-US"/>
                    </w:rPr>
                  </w:pPr>
                  <w:r w:rsidRPr="00CE5E13">
                    <w:rPr>
                      <w:rFonts w:ascii="Times New Roman" w:hAnsi="Times New Roman"/>
                      <w:sz w:val="16"/>
                      <w:szCs w:val="16"/>
                      <w:lang w:val="es-CO" w:eastAsia="en-US"/>
                    </w:rPr>
                    <w:t>Vigentes</w:t>
                  </w:r>
                </w:p>
              </w:tc>
              <w:tc>
                <w:tcPr>
                  <w:tcW w:w="930" w:type="dxa"/>
                  <w:vMerge w:val="restart"/>
                  <w:tcBorders>
                    <w:left w:val="single" w:sz="12" w:space="0" w:color="auto"/>
                    <w:right w:val="single" w:sz="12" w:space="0" w:color="auto"/>
                  </w:tcBorders>
                  <w:vAlign w:val="center"/>
                </w:tcPr>
                <w:p w:rsidR="00DD35C2" w:rsidRPr="00CE5E13" w:rsidRDefault="00DD35C2" w:rsidP="00CE5E13">
                  <w:pPr>
                    <w:autoSpaceDE w:val="0"/>
                    <w:autoSpaceDN w:val="0"/>
                    <w:adjustRightInd w:val="0"/>
                    <w:ind w:left="-41"/>
                    <w:jc w:val="center"/>
                    <w:rPr>
                      <w:rFonts w:ascii="Times New Roman" w:hAnsi="Times New Roman"/>
                      <w:b/>
                      <w:bCs/>
                      <w:sz w:val="16"/>
                      <w:szCs w:val="16"/>
                      <w:lang w:val="es-CO" w:eastAsia="en-US"/>
                    </w:rPr>
                  </w:pPr>
                  <w:r w:rsidRPr="00CE5E13">
                    <w:rPr>
                      <w:rFonts w:ascii="Times New Roman" w:hAnsi="Times New Roman"/>
                      <w:sz w:val="16"/>
                      <w:szCs w:val="16"/>
                      <w:lang w:val="es-CO" w:eastAsia="en-US"/>
                    </w:rPr>
                    <w:t>4</w:t>
                  </w:r>
                </w:p>
              </w:tc>
              <w:tc>
                <w:tcPr>
                  <w:tcW w:w="206" w:type="dxa"/>
                  <w:vMerge w:val="restart"/>
                  <w:tcBorders>
                    <w:left w:val="single" w:sz="12" w:space="0" w:color="auto"/>
                    <w:right w:val="single" w:sz="8" w:space="0" w:color="auto"/>
                  </w:tcBorders>
                  <w:shd w:val="clear" w:color="auto" w:fill="333333"/>
                </w:tcPr>
                <w:p w:rsidR="00DD35C2" w:rsidRPr="00CE5E13" w:rsidRDefault="00DD35C2" w:rsidP="00CE5E13">
                  <w:pPr>
                    <w:autoSpaceDE w:val="0"/>
                    <w:autoSpaceDN w:val="0"/>
                    <w:adjustRightInd w:val="0"/>
                    <w:ind w:left="240"/>
                    <w:jc w:val="center"/>
                    <w:rPr>
                      <w:rFonts w:ascii="Times New Roman" w:hAnsi="Times New Roman"/>
                      <w:color w:val="800000"/>
                      <w:sz w:val="16"/>
                      <w:szCs w:val="16"/>
                      <w:lang w:val="es-CO" w:eastAsia="en-US"/>
                    </w:rPr>
                  </w:pPr>
                </w:p>
              </w:tc>
              <w:tc>
                <w:tcPr>
                  <w:tcW w:w="1202" w:type="dxa"/>
                  <w:vMerge w:val="restart"/>
                  <w:tcBorders>
                    <w:left w:val="single" w:sz="8" w:space="0" w:color="auto"/>
                    <w:right w:val="single" w:sz="12" w:space="0" w:color="auto"/>
                  </w:tcBorders>
                  <w:shd w:val="clear" w:color="auto" w:fill="C0C0C0"/>
                  <w:vAlign w:val="center"/>
                </w:tcPr>
                <w:p w:rsidR="00DD35C2" w:rsidRPr="00CE5E13" w:rsidRDefault="00DD35C2" w:rsidP="00CE5E13">
                  <w:pPr>
                    <w:autoSpaceDE w:val="0"/>
                    <w:autoSpaceDN w:val="0"/>
                    <w:adjustRightInd w:val="0"/>
                    <w:ind w:left="-136" w:right="-90"/>
                    <w:jc w:val="center"/>
                    <w:rPr>
                      <w:rFonts w:ascii="Times New Roman" w:hAnsi="Times New Roman"/>
                      <w:i/>
                      <w:sz w:val="16"/>
                      <w:szCs w:val="16"/>
                      <w:lang w:val="es-CO" w:eastAsia="en-US"/>
                    </w:rPr>
                  </w:pPr>
                  <w:r w:rsidRPr="00CE5E13">
                    <w:rPr>
                      <w:rFonts w:ascii="Times New Roman" w:hAnsi="Times New Roman"/>
                      <w:i/>
                      <w:sz w:val="16"/>
                      <w:szCs w:val="16"/>
                      <w:lang w:val="es-CO" w:eastAsia="en-US"/>
                    </w:rPr>
                    <w:t>4</w:t>
                  </w:r>
                </w:p>
              </w:tc>
              <w:tc>
                <w:tcPr>
                  <w:tcW w:w="850" w:type="dxa"/>
                  <w:vMerge w:val="restart"/>
                  <w:tcBorders>
                    <w:left w:val="single" w:sz="12" w:space="0" w:color="auto"/>
                    <w:right w:val="single" w:sz="12"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750" w:type="dxa"/>
                  <w:vMerge w:val="restart"/>
                  <w:tcBorders>
                    <w:left w:val="single" w:sz="12" w:space="0" w:color="auto"/>
                    <w:right w:val="single" w:sz="12" w:space="0" w:color="auto"/>
                  </w:tcBorders>
                  <w:vAlign w:val="center"/>
                </w:tcPr>
                <w:p w:rsidR="00DD35C2" w:rsidRPr="00CE5E13" w:rsidRDefault="00DD35C2" w:rsidP="00CE5E13">
                  <w:pPr>
                    <w:autoSpaceDE w:val="0"/>
                    <w:autoSpaceDN w:val="0"/>
                    <w:adjustRightInd w:val="0"/>
                    <w:ind w:left="-35"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800" w:type="dxa"/>
                  <w:vMerge w:val="restart"/>
                  <w:tcBorders>
                    <w:left w:val="single" w:sz="8" w:space="0" w:color="auto"/>
                    <w:right w:val="single" w:sz="8"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c>
                <w:tcPr>
                  <w:tcW w:w="439" w:type="dxa"/>
                  <w:vMerge w:val="restart"/>
                  <w:tcBorders>
                    <w:left w:val="single" w:sz="8" w:space="0" w:color="auto"/>
                    <w:right w:val="single" w:sz="12" w:space="0" w:color="auto"/>
                  </w:tcBorders>
                  <w:vAlign w:val="center"/>
                </w:tcPr>
                <w:p w:rsidR="00DD35C2" w:rsidRPr="00CE5E13" w:rsidRDefault="00DD35C2" w:rsidP="00CE5E13">
                  <w:pPr>
                    <w:autoSpaceDE w:val="0"/>
                    <w:autoSpaceDN w:val="0"/>
                    <w:adjustRightInd w:val="0"/>
                    <w:ind w:left="-2" w:right="-90"/>
                    <w:jc w:val="center"/>
                    <w:rPr>
                      <w:rFonts w:ascii="Times New Roman" w:hAnsi="Times New Roman"/>
                      <w:sz w:val="16"/>
                      <w:szCs w:val="16"/>
                      <w:lang w:val="es-CO" w:eastAsia="en-US"/>
                    </w:rPr>
                  </w:pPr>
                  <w:r w:rsidRPr="00CE5E13">
                    <w:rPr>
                      <w:rFonts w:ascii="Times New Roman" w:hAnsi="Times New Roman"/>
                      <w:sz w:val="16"/>
                      <w:szCs w:val="16"/>
                      <w:lang w:val="es-CO" w:eastAsia="en-US"/>
                    </w:rPr>
                    <w:t>0</w:t>
                  </w:r>
                </w:p>
              </w:tc>
            </w:tr>
            <w:tr w:rsidR="00DD35C2" w:rsidRPr="00CE5E13" w:rsidTr="00405878">
              <w:trPr>
                <w:trHeight w:val="650"/>
                <w:jc w:val="center"/>
              </w:trPr>
              <w:tc>
                <w:tcPr>
                  <w:tcW w:w="3216" w:type="dxa"/>
                  <w:gridSpan w:val="3"/>
                  <w:tcBorders>
                    <w:top w:val="single" w:sz="2" w:space="0" w:color="000000"/>
                    <w:left w:val="single" w:sz="12" w:space="0" w:color="auto"/>
                    <w:bottom w:val="single" w:sz="2" w:space="0" w:color="000000"/>
                    <w:right w:val="single" w:sz="12" w:space="0" w:color="auto"/>
                  </w:tcBorders>
                  <w:shd w:val="solid" w:color="FFFFFF" w:fill="auto"/>
                </w:tcPr>
                <w:p w:rsidR="00DD35C2" w:rsidRPr="00CE5E13" w:rsidRDefault="00DD35C2" w:rsidP="002A66C6">
                  <w:pPr>
                    <w:jc w:val="both"/>
                    <w:rPr>
                      <w:rFonts w:ascii="Times New Roman" w:hAnsi="Times New Roman"/>
                      <w:sz w:val="16"/>
                      <w:szCs w:val="16"/>
                      <w:lang w:val="es-CO" w:eastAsia="en-US"/>
                    </w:rPr>
                  </w:pPr>
                  <w:r w:rsidRPr="00CE5E13">
                    <w:rPr>
                      <w:rFonts w:ascii="Times New Roman" w:hAnsi="Times New Roman"/>
                      <w:bCs/>
                      <w:sz w:val="16"/>
                      <w:szCs w:val="16"/>
                      <w:lang w:val="es-CO" w:eastAsia="en-US"/>
                    </w:rPr>
                    <w:t>Informe Final de Auditoria - Segundo Semestre de 2015.  Recursos del Sistema General de Regalías</w:t>
                  </w:r>
                </w:p>
              </w:tc>
              <w:tc>
                <w:tcPr>
                  <w:tcW w:w="622" w:type="dxa"/>
                  <w:tcBorders>
                    <w:top w:val="single" w:sz="6" w:space="0" w:color="auto"/>
                    <w:left w:val="single" w:sz="12" w:space="0" w:color="auto"/>
                    <w:bottom w:val="single" w:sz="2" w:space="0" w:color="000000"/>
                    <w:right w:val="single" w:sz="12" w:space="0" w:color="auto"/>
                  </w:tcBorders>
                  <w:vAlign w:val="center"/>
                </w:tcPr>
                <w:p w:rsidR="00DD35C2" w:rsidRPr="00CE5E13" w:rsidRDefault="00DD35C2" w:rsidP="00CE5E13">
                  <w:pPr>
                    <w:autoSpaceDE w:val="0"/>
                    <w:autoSpaceDN w:val="0"/>
                    <w:adjustRightInd w:val="0"/>
                    <w:ind w:left="-70"/>
                    <w:jc w:val="center"/>
                    <w:rPr>
                      <w:rFonts w:ascii="Times New Roman" w:hAnsi="Times New Roman"/>
                      <w:b/>
                      <w:bCs/>
                      <w:i/>
                      <w:iCs/>
                      <w:sz w:val="16"/>
                      <w:szCs w:val="16"/>
                      <w:lang w:val="es-CO" w:eastAsia="en-US"/>
                    </w:rPr>
                  </w:pPr>
                  <w:r w:rsidRPr="00CE5E13">
                    <w:rPr>
                      <w:rFonts w:ascii="Times New Roman" w:hAnsi="Times New Roman"/>
                      <w:b/>
                      <w:bCs/>
                      <w:i/>
                      <w:iCs/>
                      <w:sz w:val="16"/>
                      <w:szCs w:val="16"/>
                      <w:lang w:val="es-CO" w:eastAsia="en-US"/>
                    </w:rPr>
                    <w:t>4</w:t>
                  </w:r>
                </w:p>
              </w:tc>
              <w:tc>
                <w:tcPr>
                  <w:tcW w:w="930" w:type="dxa"/>
                  <w:vMerge/>
                  <w:tcBorders>
                    <w:left w:val="single" w:sz="12"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left="-41"/>
                    <w:jc w:val="both"/>
                    <w:rPr>
                      <w:rFonts w:ascii="Times New Roman" w:hAnsi="Times New Roman"/>
                      <w:sz w:val="16"/>
                      <w:szCs w:val="16"/>
                      <w:lang w:val="es-CO" w:eastAsia="en-US"/>
                    </w:rPr>
                  </w:pPr>
                </w:p>
              </w:tc>
              <w:tc>
                <w:tcPr>
                  <w:tcW w:w="206" w:type="dxa"/>
                  <w:vMerge/>
                  <w:tcBorders>
                    <w:left w:val="single" w:sz="12" w:space="0" w:color="auto"/>
                    <w:bottom w:val="single" w:sz="2" w:space="0" w:color="000000"/>
                    <w:right w:val="single" w:sz="8" w:space="0" w:color="auto"/>
                  </w:tcBorders>
                  <w:shd w:val="clear" w:color="auto" w:fill="333333"/>
                </w:tcPr>
                <w:p w:rsidR="00DD35C2" w:rsidRPr="00CE5E13" w:rsidRDefault="00DD35C2" w:rsidP="002A66C6">
                  <w:pPr>
                    <w:autoSpaceDE w:val="0"/>
                    <w:autoSpaceDN w:val="0"/>
                    <w:adjustRightInd w:val="0"/>
                    <w:ind w:left="240"/>
                    <w:jc w:val="both"/>
                    <w:rPr>
                      <w:rFonts w:ascii="Times New Roman" w:hAnsi="Times New Roman"/>
                      <w:color w:val="800000"/>
                      <w:sz w:val="16"/>
                      <w:szCs w:val="16"/>
                      <w:lang w:val="es-CO" w:eastAsia="en-US"/>
                    </w:rPr>
                  </w:pPr>
                </w:p>
              </w:tc>
              <w:tc>
                <w:tcPr>
                  <w:tcW w:w="1202" w:type="dxa"/>
                  <w:vMerge/>
                  <w:tcBorders>
                    <w:left w:val="single" w:sz="8" w:space="0" w:color="auto"/>
                    <w:bottom w:val="single" w:sz="2" w:space="0" w:color="000000"/>
                    <w:right w:val="single" w:sz="12" w:space="0" w:color="auto"/>
                  </w:tcBorders>
                  <w:shd w:val="clear" w:color="auto" w:fill="C0C0C0"/>
                  <w:vAlign w:val="center"/>
                </w:tcPr>
                <w:p w:rsidR="00DD35C2" w:rsidRPr="00CE5E13" w:rsidRDefault="00DD35C2" w:rsidP="002A66C6">
                  <w:pPr>
                    <w:autoSpaceDE w:val="0"/>
                    <w:autoSpaceDN w:val="0"/>
                    <w:adjustRightInd w:val="0"/>
                    <w:ind w:left="240" w:right="-90"/>
                    <w:jc w:val="both"/>
                    <w:rPr>
                      <w:rFonts w:ascii="Times New Roman" w:hAnsi="Times New Roman"/>
                      <w:color w:val="800000"/>
                      <w:sz w:val="16"/>
                      <w:szCs w:val="16"/>
                      <w:lang w:val="es-CO" w:eastAsia="en-US"/>
                    </w:rPr>
                  </w:pPr>
                </w:p>
              </w:tc>
              <w:tc>
                <w:tcPr>
                  <w:tcW w:w="850" w:type="dxa"/>
                  <w:vMerge/>
                  <w:tcBorders>
                    <w:left w:val="single" w:sz="12"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right="-90"/>
                    <w:jc w:val="both"/>
                    <w:rPr>
                      <w:rFonts w:ascii="Times New Roman" w:hAnsi="Times New Roman"/>
                      <w:sz w:val="16"/>
                      <w:szCs w:val="16"/>
                      <w:lang w:val="es-CO" w:eastAsia="en-US"/>
                    </w:rPr>
                  </w:pPr>
                </w:p>
              </w:tc>
              <w:tc>
                <w:tcPr>
                  <w:tcW w:w="750" w:type="dxa"/>
                  <w:vMerge/>
                  <w:tcBorders>
                    <w:left w:val="single" w:sz="12"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left="-35" w:right="-90"/>
                    <w:jc w:val="both"/>
                    <w:rPr>
                      <w:rFonts w:ascii="Times New Roman" w:hAnsi="Times New Roman"/>
                      <w:sz w:val="16"/>
                      <w:szCs w:val="16"/>
                      <w:lang w:val="es-CO" w:eastAsia="en-US"/>
                    </w:rPr>
                  </w:pPr>
                </w:p>
              </w:tc>
              <w:tc>
                <w:tcPr>
                  <w:tcW w:w="800" w:type="dxa"/>
                  <w:vMerge/>
                  <w:tcBorders>
                    <w:left w:val="single" w:sz="8" w:space="0" w:color="auto"/>
                    <w:bottom w:val="single" w:sz="2" w:space="0" w:color="000000"/>
                    <w:right w:val="single" w:sz="8" w:space="0" w:color="auto"/>
                  </w:tcBorders>
                  <w:vAlign w:val="center"/>
                </w:tcPr>
                <w:p w:rsidR="00DD35C2" w:rsidRPr="00CE5E13" w:rsidRDefault="00DD35C2" w:rsidP="002A66C6">
                  <w:pPr>
                    <w:autoSpaceDE w:val="0"/>
                    <w:autoSpaceDN w:val="0"/>
                    <w:adjustRightInd w:val="0"/>
                    <w:ind w:right="-90"/>
                    <w:jc w:val="both"/>
                    <w:rPr>
                      <w:rFonts w:ascii="Times New Roman" w:hAnsi="Times New Roman"/>
                      <w:sz w:val="16"/>
                      <w:szCs w:val="16"/>
                      <w:lang w:val="es-CO" w:eastAsia="en-US"/>
                    </w:rPr>
                  </w:pPr>
                </w:p>
              </w:tc>
              <w:tc>
                <w:tcPr>
                  <w:tcW w:w="439" w:type="dxa"/>
                  <w:vMerge/>
                  <w:tcBorders>
                    <w:left w:val="single" w:sz="8" w:space="0" w:color="auto"/>
                    <w:bottom w:val="single" w:sz="2" w:space="0" w:color="000000"/>
                    <w:right w:val="single" w:sz="12" w:space="0" w:color="auto"/>
                  </w:tcBorders>
                  <w:vAlign w:val="center"/>
                </w:tcPr>
                <w:p w:rsidR="00DD35C2" w:rsidRPr="00CE5E13" w:rsidRDefault="00DD35C2" w:rsidP="002A66C6">
                  <w:pPr>
                    <w:autoSpaceDE w:val="0"/>
                    <w:autoSpaceDN w:val="0"/>
                    <w:adjustRightInd w:val="0"/>
                    <w:ind w:left="-2" w:right="-90"/>
                    <w:jc w:val="both"/>
                    <w:rPr>
                      <w:rFonts w:ascii="Times New Roman" w:hAnsi="Times New Roman"/>
                      <w:sz w:val="16"/>
                      <w:szCs w:val="16"/>
                      <w:lang w:val="es-CO" w:eastAsia="en-US"/>
                    </w:rPr>
                  </w:pPr>
                </w:p>
              </w:tc>
            </w:tr>
            <w:tr w:rsidR="00DD35C2" w:rsidRPr="00CE5E13" w:rsidTr="00CE5E13">
              <w:trPr>
                <w:trHeight w:val="95"/>
                <w:jc w:val="center"/>
              </w:trPr>
              <w:tc>
                <w:tcPr>
                  <w:tcW w:w="9015" w:type="dxa"/>
                  <w:gridSpan w:val="11"/>
                  <w:tcBorders>
                    <w:top w:val="single" w:sz="2" w:space="0" w:color="000000"/>
                    <w:left w:val="single" w:sz="12" w:space="0" w:color="auto"/>
                    <w:bottom w:val="single" w:sz="2" w:space="0" w:color="000000"/>
                    <w:right w:val="single" w:sz="12" w:space="0" w:color="auto"/>
                  </w:tcBorders>
                  <w:shd w:val="solid" w:color="C0C0C0" w:fill="E6E6E6"/>
                </w:tcPr>
                <w:p w:rsidR="00DD35C2" w:rsidRPr="00CE5E13" w:rsidRDefault="00DD35C2" w:rsidP="002A66C6">
                  <w:pPr>
                    <w:autoSpaceDE w:val="0"/>
                    <w:autoSpaceDN w:val="0"/>
                    <w:adjustRightInd w:val="0"/>
                    <w:ind w:left="240" w:right="-90"/>
                    <w:jc w:val="both"/>
                    <w:rPr>
                      <w:rFonts w:ascii="Times New Roman" w:hAnsi="Times New Roman"/>
                      <w:sz w:val="16"/>
                      <w:szCs w:val="16"/>
                      <w:lang w:val="es-CO" w:eastAsia="en-US"/>
                    </w:rPr>
                  </w:pPr>
                </w:p>
              </w:tc>
            </w:tr>
            <w:tr w:rsidR="00DD35C2" w:rsidRPr="00CE5E13" w:rsidTr="00405878">
              <w:trPr>
                <w:trHeight w:val="508"/>
                <w:jc w:val="center"/>
              </w:trPr>
              <w:tc>
                <w:tcPr>
                  <w:tcW w:w="3216" w:type="dxa"/>
                  <w:gridSpan w:val="3"/>
                  <w:vMerge w:val="restart"/>
                  <w:tcBorders>
                    <w:top w:val="single" w:sz="18" w:space="0" w:color="auto"/>
                    <w:left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r w:rsidRPr="00CE5E13">
                    <w:rPr>
                      <w:rFonts w:ascii="Times New Roman" w:hAnsi="Times New Roman"/>
                      <w:b/>
                      <w:bCs/>
                      <w:sz w:val="16"/>
                      <w:szCs w:val="16"/>
                      <w:lang w:val="es-CO" w:eastAsia="en-US"/>
                    </w:rPr>
                    <w:t>TOTAL PLANES DE ACCION</w:t>
                  </w:r>
                </w:p>
              </w:tc>
              <w:tc>
                <w:tcPr>
                  <w:tcW w:w="1552" w:type="dxa"/>
                  <w:gridSpan w:val="2"/>
                  <w:tcBorders>
                    <w:top w:val="single" w:sz="18" w:space="0" w:color="auto"/>
                    <w:left w:val="single" w:sz="12" w:space="0" w:color="auto"/>
                    <w:bottom w:val="single" w:sz="12" w:space="0" w:color="auto"/>
                    <w:right w:val="single" w:sz="12" w:space="0" w:color="auto"/>
                  </w:tcBorders>
                  <w:shd w:val="clear" w:color="auto" w:fill="C0C0C0"/>
                  <w:vAlign w:val="center"/>
                </w:tcPr>
                <w:p w:rsidR="00DD35C2" w:rsidRPr="00CE5E13" w:rsidRDefault="00DD35C2" w:rsidP="00CE5E13">
                  <w:pPr>
                    <w:autoSpaceDE w:val="0"/>
                    <w:autoSpaceDN w:val="0"/>
                    <w:adjustRightInd w:val="0"/>
                    <w:ind w:left="-34" w:right="-119"/>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74</w:t>
                  </w:r>
                </w:p>
              </w:tc>
              <w:tc>
                <w:tcPr>
                  <w:tcW w:w="206" w:type="dxa"/>
                  <w:tcBorders>
                    <w:top w:val="single" w:sz="12" w:space="0" w:color="auto"/>
                    <w:left w:val="single" w:sz="12" w:space="0" w:color="auto"/>
                    <w:bottom w:val="single" w:sz="12" w:space="0" w:color="auto"/>
                    <w:right w:val="single" w:sz="12" w:space="0" w:color="auto"/>
                  </w:tcBorders>
                  <w:shd w:val="clear" w:color="auto" w:fill="333333"/>
                  <w:vAlign w:val="center"/>
                </w:tcPr>
                <w:p w:rsidR="00DD35C2" w:rsidRPr="00CE5E13" w:rsidRDefault="00DD35C2" w:rsidP="00CE5E13">
                  <w:pPr>
                    <w:autoSpaceDE w:val="0"/>
                    <w:autoSpaceDN w:val="0"/>
                    <w:adjustRightInd w:val="0"/>
                    <w:ind w:left="-34"/>
                    <w:jc w:val="center"/>
                    <w:rPr>
                      <w:rFonts w:ascii="Times New Roman" w:hAnsi="Times New Roman"/>
                      <w:b/>
                      <w:bCs/>
                      <w:sz w:val="16"/>
                      <w:szCs w:val="16"/>
                      <w:lang w:val="es-CO" w:eastAsia="en-US"/>
                    </w:rPr>
                  </w:pPr>
                </w:p>
              </w:tc>
              <w:tc>
                <w:tcPr>
                  <w:tcW w:w="1202" w:type="dxa"/>
                  <w:tcBorders>
                    <w:top w:val="single" w:sz="12" w:space="0" w:color="auto"/>
                    <w:left w:val="single" w:sz="12" w:space="0" w:color="auto"/>
                    <w:bottom w:val="single" w:sz="12" w:space="0" w:color="auto"/>
                    <w:right w:val="single" w:sz="12" w:space="0" w:color="auto"/>
                  </w:tcBorders>
                  <w:shd w:val="clear" w:color="auto" w:fill="B3B3B3"/>
                  <w:vAlign w:val="center"/>
                </w:tcPr>
                <w:p w:rsidR="00DD35C2" w:rsidRPr="00CE5E13" w:rsidRDefault="00DD35C2" w:rsidP="00CE5E13">
                  <w:pPr>
                    <w:autoSpaceDE w:val="0"/>
                    <w:autoSpaceDN w:val="0"/>
                    <w:adjustRightInd w:val="0"/>
                    <w:ind w:left="-34" w:right="-90"/>
                    <w:jc w:val="center"/>
                    <w:rPr>
                      <w:rFonts w:ascii="Times New Roman" w:hAnsi="Times New Roman"/>
                      <w:b/>
                      <w:bCs/>
                      <w:i/>
                      <w:sz w:val="16"/>
                      <w:szCs w:val="16"/>
                      <w:lang w:val="es-CO" w:eastAsia="en-US"/>
                    </w:rPr>
                  </w:pPr>
                  <w:r w:rsidRPr="00CE5E13">
                    <w:rPr>
                      <w:rFonts w:ascii="Times New Roman" w:hAnsi="Times New Roman"/>
                      <w:b/>
                      <w:bCs/>
                      <w:i/>
                      <w:sz w:val="16"/>
                      <w:szCs w:val="16"/>
                      <w:lang w:val="es-CO" w:eastAsia="en-US"/>
                    </w:rPr>
                    <w:t>31</w:t>
                  </w:r>
                </w:p>
              </w:tc>
              <w:tc>
                <w:tcPr>
                  <w:tcW w:w="850" w:type="dxa"/>
                  <w:tcBorders>
                    <w:top w:val="single" w:sz="12" w:space="0" w:color="auto"/>
                    <w:left w:val="single" w:sz="12"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34"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41</w:t>
                  </w:r>
                </w:p>
              </w:tc>
              <w:tc>
                <w:tcPr>
                  <w:tcW w:w="750" w:type="dxa"/>
                  <w:tcBorders>
                    <w:top w:val="single" w:sz="12" w:space="0" w:color="auto"/>
                    <w:left w:val="single" w:sz="12"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34"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0</w:t>
                  </w:r>
                </w:p>
              </w:tc>
              <w:tc>
                <w:tcPr>
                  <w:tcW w:w="800" w:type="dxa"/>
                  <w:tcBorders>
                    <w:top w:val="single" w:sz="12" w:space="0" w:color="auto"/>
                    <w:left w:val="single" w:sz="8" w:space="0" w:color="auto"/>
                    <w:bottom w:val="single" w:sz="12" w:space="0" w:color="auto"/>
                    <w:right w:val="single" w:sz="8" w:space="0" w:color="auto"/>
                  </w:tcBorders>
                  <w:vAlign w:val="center"/>
                </w:tcPr>
                <w:p w:rsidR="00DD35C2" w:rsidRPr="00CE5E13" w:rsidRDefault="00DD35C2" w:rsidP="00CE5E13">
                  <w:pPr>
                    <w:autoSpaceDE w:val="0"/>
                    <w:autoSpaceDN w:val="0"/>
                    <w:adjustRightInd w:val="0"/>
                    <w:ind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0</w:t>
                  </w:r>
                </w:p>
              </w:tc>
              <w:tc>
                <w:tcPr>
                  <w:tcW w:w="439" w:type="dxa"/>
                  <w:tcBorders>
                    <w:top w:val="single" w:sz="12" w:space="0" w:color="auto"/>
                    <w:left w:val="single" w:sz="8" w:space="0" w:color="auto"/>
                    <w:bottom w:val="single" w:sz="12" w:space="0" w:color="auto"/>
                    <w:right w:val="single" w:sz="12" w:space="0" w:color="auto"/>
                  </w:tcBorders>
                  <w:vAlign w:val="center"/>
                </w:tcPr>
                <w:p w:rsidR="00DD35C2" w:rsidRPr="00CE5E13" w:rsidRDefault="00DD35C2" w:rsidP="00CE5E13">
                  <w:pPr>
                    <w:autoSpaceDE w:val="0"/>
                    <w:autoSpaceDN w:val="0"/>
                    <w:adjustRightInd w:val="0"/>
                    <w:ind w:left="-34"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2</w:t>
                  </w:r>
                </w:p>
              </w:tc>
            </w:tr>
            <w:tr w:rsidR="00DD35C2" w:rsidRPr="00CE5E13" w:rsidTr="00405878">
              <w:trPr>
                <w:trHeight w:val="244"/>
                <w:jc w:val="center"/>
              </w:trPr>
              <w:tc>
                <w:tcPr>
                  <w:tcW w:w="3216" w:type="dxa"/>
                  <w:gridSpan w:val="3"/>
                  <w:vMerge/>
                  <w:tcBorders>
                    <w:left w:val="single" w:sz="12" w:space="0" w:color="auto"/>
                    <w:bottom w:val="single" w:sz="12" w:space="0" w:color="auto"/>
                    <w:right w:val="single" w:sz="12" w:space="0" w:color="auto"/>
                  </w:tcBorders>
                  <w:vAlign w:val="center"/>
                </w:tcPr>
                <w:p w:rsidR="00DD35C2" w:rsidRPr="00CE5E13" w:rsidRDefault="00DD35C2" w:rsidP="002A66C6">
                  <w:pPr>
                    <w:autoSpaceDE w:val="0"/>
                    <w:autoSpaceDN w:val="0"/>
                    <w:adjustRightInd w:val="0"/>
                    <w:ind w:left="240"/>
                    <w:jc w:val="both"/>
                    <w:rPr>
                      <w:rFonts w:ascii="Times New Roman" w:hAnsi="Times New Roman"/>
                      <w:b/>
                      <w:bCs/>
                      <w:sz w:val="16"/>
                      <w:szCs w:val="16"/>
                      <w:lang w:val="es-CO" w:eastAsia="en-US"/>
                    </w:rPr>
                  </w:pPr>
                </w:p>
              </w:tc>
              <w:tc>
                <w:tcPr>
                  <w:tcW w:w="1552" w:type="dxa"/>
                  <w:gridSpan w:val="2"/>
                  <w:tcBorders>
                    <w:top w:val="single" w:sz="12" w:space="0" w:color="auto"/>
                    <w:left w:val="single" w:sz="12" w:space="0" w:color="auto"/>
                    <w:bottom w:val="single" w:sz="12" w:space="0" w:color="auto"/>
                    <w:right w:val="single" w:sz="4" w:space="0" w:color="auto"/>
                  </w:tcBorders>
                  <w:shd w:val="clear" w:color="auto" w:fill="B3B3B3"/>
                  <w:vAlign w:val="center"/>
                </w:tcPr>
                <w:p w:rsidR="00DD35C2" w:rsidRPr="00CE5E13" w:rsidRDefault="00DD35C2" w:rsidP="00CE5E13">
                  <w:pPr>
                    <w:autoSpaceDE w:val="0"/>
                    <w:autoSpaceDN w:val="0"/>
                    <w:adjustRightInd w:val="0"/>
                    <w:ind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74</w:t>
                  </w:r>
                </w:p>
              </w:tc>
              <w:tc>
                <w:tcPr>
                  <w:tcW w:w="206" w:type="dxa"/>
                  <w:tcBorders>
                    <w:top w:val="single" w:sz="12" w:space="0" w:color="auto"/>
                    <w:left w:val="single" w:sz="4" w:space="0" w:color="auto"/>
                    <w:bottom w:val="single" w:sz="12" w:space="0" w:color="auto"/>
                    <w:right w:val="single" w:sz="4" w:space="0" w:color="auto"/>
                  </w:tcBorders>
                  <w:shd w:val="clear" w:color="auto" w:fill="B3B3B3"/>
                  <w:vAlign w:val="center"/>
                </w:tcPr>
                <w:p w:rsidR="00DD35C2" w:rsidRPr="00CE5E13" w:rsidRDefault="00DD35C2" w:rsidP="00CE5E13">
                  <w:pPr>
                    <w:autoSpaceDE w:val="0"/>
                    <w:autoSpaceDN w:val="0"/>
                    <w:adjustRightInd w:val="0"/>
                    <w:ind w:right="-90"/>
                    <w:jc w:val="center"/>
                    <w:rPr>
                      <w:rFonts w:ascii="Times New Roman" w:hAnsi="Times New Roman"/>
                      <w:b/>
                      <w:bCs/>
                      <w:sz w:val="16"/>
                      <w:szCs w:val="16"/>
                      <w:lang w:val="es-CO" w:eastAsia="en-US"/>
                    </w:rPr>
                  </w:pPr>
                </w:p>
              </w:tc>
              <w:tc>
                <w:tcPr>
                  <w:tcW w:w="4041" w:type="dxa"/>
                  <w:gridSpan w:val="5"/>
                  <w:tcBorders>
                    <w:top w:val="single" w:sz="12" w:space="0" w:color="auto"/>
                    <w:left w:val="single" w:sz="4" w:space="0" w:color="auto"/>
                    <w:bottom w:val="single" w:sz="12" w:space="0" w:color="auto"/>
                    <w:right w:val="single" w:sz="12" w:space="0" w:color="auto"/>
                  </w:tcBorders>
                  <w:shd w:val="clear" w:color="auto" w:fill="B3B3B3"/>
                  <w:vAlign w:val="center"/>
                </w:tcPr>
                <w:p w:rsidR="00DD35C2" w:rsidRPr="00CE5E13" w:rsidRDefault="00DD35C2" w:rsidP="00CE5E13">
                  <w:pPr>
                    <w:autoSpaceDE w:val="0"/>
                    <w:autoSpaceDN w:val="0"/>
                    <w:adjustRightInd w:val="0"/>
                    <w:ind w:right="-90"/>
                    <w:jc w:val="center"/>
                    <w:rPr>
                      <w:rFonts w:ascii="Times New Roman" w:hAnsi="Times New Roman"/>
                      <w:b/>
                      <w:bCs/>
                      <w:sz w:val="16"/>
                      <w:szCs w:val="16"/>
                      <w:lang w:val="es-CO" w:eastAsia="en-US"/>
                    </w:rPr>
                  </w:pPr>
                  <w:r w:rsidRPr="00CE5E13">
                    <w:rPr>
                      <w:rFonts w:ascii="Times New Roman" w:hAnsi="Times New Roman"/>
                      <w:b/>
                      <w:bCs/>
                      <w:sz w:val="16"/>
                      <w:szCs w:val="16"/>
                      <w:lang w:val="es-CO" w:eastAsia="en-US"/>
                    </w:rPr>
                    <w:t>74</w:t>
                  </w:r>
                </w:p>
              </w:tc>
            </w:tr>
          </w:tbl>
          <w:p w:rsidR="00DD35C2" w:rsidRPr="006C2538" w:rsidRDefault="00DD35C2" w:rsidP="002A66C6">
            <w:pPr>
              <w:ind w:right="-674"/>
              <w:jc w:val="both"/>
              <w:rPr>
                <w:rFonts w:ascii="Times New Roman" w:hAnsi="Times New Roman"/>
                <w:sz w:val="22"/>
                <w:szCs w:val="22"/>
                <w:lang w:val="es-ES"/>
              </w:rPr>
            </w:pPr>
          </w:p>
          <w:p w:rsidR="00DD35C2" w:rsidRPr="006C2538" w:rsidRDefault="00DD35C2" w:rsidP="002A66C6">
            <w:pPr>
              <w:ind w:right="-674"/>
              <w:jc w:val="both"/>
              <w:rPr>
                <w:rFonts w:ascii="Times New Roman" w:hAnsi="Times New Roman"/>
                <w:sz w:val="22"/>
                <w:szCs w:val="22"/>
                <w:lang w:val="es-ES"/>
              </w:rPr>
            </w:pPr>
          </w:p>
          <w:p w:rsidR="00DD35C2" w:rsidRPr="006C2538" w:rsidRDefault="00DD35C2" w:rsidP="00481547">
            <w:pPr>
              <w:ind w:right="141"/>
              <w:jc w:val="both"/>
              <w:rPr>
                <w:rFonts w:ascii="Times New Roman" w:hAnsi="Times New Roman"/>
                <w:color w:val="800000"/>
                <w:sz w:val="22"/>
                <w:szCs w:val="22"/>
                <w:lang w:val="es-CO" w:eastAsia="en-US"/>
              </w:rPr>
            </w:pPr>
            <w:r w:rsidRPr="006C2538">
              <w:rPr>
                <w:rFonts w:ascii="Times New Roman" w:hAnsi="Times New Roman"/>
                <w:bCs/>
                <w:sz w:val="22"/>
                <w:szCs w:val="22"/>
                <w:lang w:val="es-CO" w:eastAsia="en-US"/>
              </w:rPr>
              <w:t xml:space="preserve">Efectuado el cierre de las acciones culminadas y actualizado el estado de las </w:t>
            </w:r>
            <w:r w:rsidR="00481547" w:rsidRPr="006C2538">
              <w:rPr>
                <w:rFonts w:ascii="Times New Roman" w:hAnsi="Times New Roman"/>
                <w:bCs/>
                <w:sz w:val="22"/>
                <w:szCs w:val="22"/>
                <w:lang w:val="es-CO" w:eastAsia="en-US"/>
              </w:rPr>
              <w:t>acciones,</w:t>
            </w:r>
            <w:r w:rsidRPr="006C2538">
              <w:rPr>
                <w:rFonts w:ascii="Times New Roman" w:hAnsi="Times New Roman"/>
                <w:bCs/>
                <w:sz w:val="22"/>
                <w:szCs w:val="22"/>
                <w:lang w:val="es-CO" w:eastAsia="en-US"/>
              </w:rPr>
              <w:t xml:space="preserve"> la Secretaría Distrital de Planeación, registra un total 74 acciones,  de las cuales 56  son Internas, 14 de la Contraloría de  Bogotá y 4 de la Contraloría General de la República.</w:t>
            </w:r>
          </w:p>
          <w:p w:rsidR="0087261D" w:rsidRPr="006C2538" w:rsidRDefault="0087261D" w:rsidP="002A66C6">
            <w:pPr>
              <w:pStyle w:val="Prrafodelista"/>
              <w:spacing w:after="0" w:line="240" w:lineRule="auto"/>
              <w:ind w:left="0"/>
              <w:jc w:val="both"/>
              <w:rPr>
                <w:rFonts w:ascii="Times New Roman" w:hAnsi="Times New Roman"/>
                <w:b/>
              </w:rPr>
            </w:pPr>
          </w:p>
        </w:tc>
      </w:tr>
      <w:tr w:rsidR="00593E9D" w:rsidRPr="006C2538" w:rsidTr="00796CBE">
        <w:trPr>
          <w:trHeight w:val="1833"/>
        </w:trPr>
        <w:tc>
          <w:tcPr>
            <w:tcW w:w="9180" w:type="dxa"/>
          </w:tcPr>
          <w:p w:rsidR="00593E9D" w:rsidRPr="006C2538" w:rsidRDefault="00593E9D" w:rsidP="002A66C6">
            <w:pPr>
              <w:ind w:left="180" w:right="-1"/>
              <w:jc w:val="both"/>
              <w:rPr>
                <w:rFonts w:ascii="Times New Roman" w:hAnsi="Times New Roman"/>
                <w:b/>
                <w:sz w:val="22"/>
                <w:szCs w:val="22"/>
              </w:rPr>
            </w:pPr>
          </w:p>
          <w:p w:rsidR="00D23242" w:rsidRPr="006C2538" w:rsidRDefault="00593E9D" w:rsidP="002A66C6">
            <w:pPr>
              <w:ind w:right="-1"/>
              <w:jc w:val="both"/>
              <w:rPr>
                <w:rFonts w:ascii="Times New Roman" w:hAnsi="Times New Roman"/>
                <w:b/>
                <w:sz w:val="22"/>
                <w:szCs w:val="22"/>
              </w:rPr>
            </w:pPr>
            <w:r w:rsidRPr="006C2538">
              <w:rPr>
                <w:rFonts w:ascii="Times New Roman" w:hAnsi="Times New Roman"/>
                <w:b/>
                <w:sz w:val="22"/>
                <w:szCs w:val="22"/>
              </w:rPr>
              <w:t>DIFICULTADES:</w:t>
            </w:r>
            <w:r w:rsidR="000525BD" w:rsidRPr="006C2538">
              <w:rPr>
                <w:rFonts w:ascii="Times New Roman" w:hAnsi="Times New Roman"/>
                <w:b/>
                <w:sz w:val="22"/>
                <w:szCs w:val="22"/>
              </w:rPr>
              <w:t xml:space="preserve"> </w:t>
            </w:r>
          </w:p>
          <w:p w:rsidR="00D23242" w:rsidRPr="006C2538" w:rsidRDefault="00D23242" w:rsidP="002A66C6">
            <w:pPr>
              <w:ind w:right="-1"/>
              <w:jc w:val="both"/>
              <w:rPr>
                <w:rFonts w:ascii="Times New Roman" w:hAnsi="Times New Roman"/>
                <w:b/>
                <w:sz w:val="22"/>
                <w:szCs w:val="22"/>
              </w:rPr>
            </w:pPr>
          </w:p>
          <w:p w:rsidR="00AE6F86" w:rsidRDefault="00AE6F86" w:rsidP="002A66C6">
            <w:pPr>
              <w:ind w:right="-1"/>
              <w:jc w:val="both"/>
              <w:rPr>
                <w:rFonts w:ascii="Times New Roman" w:hAnsi="Times New Roman"/>
                <w:sz w:val="22"/>
                <w:szCs w:val="22"/>
              </w:rPr>
            </w:pPr>
            <w:r w:rsidRPr="00481547">
              <w:rPr>
                <w:rFonts w:ascii="Times New Roman" w:hAnsi="Times New Roman"/>
                <w:sz w:val="22"/>
                <w:szCs w:val="22"/>
              </w:rPr>
              <w:t>En las últimas vige</w:t>
            </w:r>
            <w:r w:rsidR="00481547">
              <w:rPr>
                <w:rFonts w:ascii="Times New Roman" w:hAnsi="Times New Roman"/>
                <w:sz w:val="22"/>
                <w:szCs w:val="22"/>
              </w:rPr>
              <w:t xml:space="preserve">ncias la SDP ha venido apoyando </w:t>
            </w:r>
            <w:r w:rsidRPr="00481547">
              <w:rPr>
                <w:rFonts w:ascii="Times New Roman" w:hAnsi="Times New Roman"/>
                <w:sz w:val="22"/>
                <w:szCs w:val="22"/>
              </w:rPr>
              <w:t xml:space="preserve">la gestión del Plan de Mejoramiento Institucional a través de un módulo adecuado en el aplicativo SIPA, con el objeto de documentar los seguimientos, aplicar tiempos y generar registros de la gestión, en todas las áreas de la entidad. Sin embargo, dicho módulo ha reportado algunas dificultades desde </w:t>
            </w:r>
            <w:r w:rsidR="008F5E7C" w:rsidRPr="00481547">
              <w:rPr>
                <w:rFonts w:ascii="Times New Roman" w:hAnsi="Times New Roman"/>
                <w:sz w:val="22"/>
                <w:szCs w:val="22"/>
              </w:rPr>
              <w:t xml:space="preserve">el punto de vista técnico, que han impactado </w:t>
            </w:r>
            <w:r w:rsidRPr="00481547">
              <w:rPr>
                <w:rFonts w:ascii="Times New Roman" w:hAnsi="Times New Roman"/>
                <w:sz w:val="22"/>
                <w:szCs w:val="22"/>
              </w:rPr>
              <w:t>la generación de los reportes e informes de manera oportuna. Es necesario adecuar dicho módulo para que efectivamente reporte las mejoras esperadas a partir de su implementación.</w:t>
            </w:r>
          </w:p>
          <w:p w:rsidR="00405878" w:rsidRPr="006C2538" w:rsidRDefault="00405878" w:rsidP="002A66C6">
            <w:pPr>
              <w:ind w:right="-1"/>
              <w:jc w:val="both"/>
              <w:rPr>
                <w:rFonts w:ascii="Times New Roman" w:hAnsi="Times New Roman"/>
                <w:sz w:val="22"/>
                <w:szCs w:val="22"/>
              </w:rPr>
            </w:pPr>
          </w:p>
        </w:tc>
      </w:tr>
    </w:tbl>
    <w:p w:rsidR="00D23242" w:rsidRDefault="00D23242" w:rsidP="002A66C6">
      <w:pPr>
        <w:jc w:val="both"/>
        <w:rPr>
          <w:rFonts w:ascii="Times New Roman" w:hAnsi="Times New Roman"/>
          <w:sz w:val="22"/>
          <w:szCs w:val="22"/>
        </w:rPr>
      </w:pPr>
    </w:p>
    <w:p w:rsidR="00405878" w:rsidRDefault="00405878" w:rsidP="002A66C6">
      <w:pPr>
        <w:jc w:val="both"/>
        <w:rPr>
          <w:rFonts w:ascii="Times New Roman" w:hAnsi="Times New Roman"/>
          <w:sz w:val="22"/>
          <w:szCs w:val="22"/>
        </w:rPr>
      </w:pPr>
    </w:p>
    <w:p w:rsidR="00405878" w:rsidRDefault="00405878" w:rsidP="002A66C6">
      <w:pPr>
        <w:jc w:val="both"/>
        <w:rPr>
          <w:rFonts w:ascii="Times New Roman" w:hAnsi="Times New Roman"/>
          <w:sz w:val="22"/>
          <w:szCs w:val="22"/>
        </w:rPr>
      </w:pPr>
    </w:p>
    <w:p w:rsidR="00D23242" w:rsidRPr="006C2538" w:rsidRDefault="00D23242" w:rsidP="002A66C6">
      <w:pPr>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6C2538" w:rsidTr="00E23F2B">
        <w:trPr>
          <w:trHeight w:val="464"/>
        </w:trPr>
        <w:tc>
          <w:tcPr>
            <w:tcW w:w="9322" w:type="dxa"/>
            <w:shd w:val="clear" w:color="auto" w:fill="CCCCCC"/>
            <w:vAlign w:val="center"/>
          </w:tcPr>
          <w:p w:rsidR="0012640D" w:rsidRPr="006C2538" w:rsidRDefault="00AE6F86" w:rsidP="002A66C6">
            <w:pPr>
              <w:ind w:right="-1"/>
              <w:jc w:val="both"/>
              <w:rPr>
                <w:rFonts w:ascii="Times New Roman" w:hAnsi="Times New Roman"/>
                <w:b/>
                <w:sz w:val="22"/>
                <w:szCs w:val="22"/>
              </w:rPr>
            </w:pPr>
            <w:r w:rsidRPr="006C2538">
              <w:rPr>
                <w:rFonts w:ascii="Times New Roman" w:hAnsi="Times New Roman"/>
                <w:b/>
                <w:sz w:val="22"/>
                <w:szCs w:val="22"/>
              </w:rPr>
              <w:t>3. EJE TRANSVERSAL: INFORMACIÓN Y COMUNICACIÓN</w:t>
            </w:r>
          </w:p>
        </w:tc>
      </w:tr>
      <w:tr w:rsidR="0012640D" w:rsidRPr="006C2538" w:rsidTr="00E23F2B">
        <w:tc>
          <w:tcPr>
            <w:tcW w:w="9322" w:type="dxa"/>
          </w:tcPr>
          <w:p w:rsidR="00405878" w:rsidRDefault="00405878" w:rsidP="002A66C6">
            <w:pPr>
              <w:jc w:val="both"/>
              <w:rPr>
                <w:rFonts w:ascii="Times New Roman" w:hAnsi="Times New Roman"/>
                <w:color w:val="000000"/>
                <w:sz w:val="22"/>
                <w:szCs w:val="22"/>
              </w:rPr>
            </w:pPr>
          </w:p>
          <w:p w:rsidR="000F5913" w:rsidRPr="00405878" w:rsidRDefault="00DD35C2" w:rsidP="002A66C6">
            <w:pPr>
              <w:jc w:val="both"/>
              <w:rPr>
                <w:rFonts w:ascii="Times New Roman" w:eastAsia="Calibri" w:hAnsi="Times New Roman"/>
                <w:b/>
                <w:color w:val="222222"/>
                <w:sz w:val="22"/>
                <w:szCs w:val="22"/>
                <w:shd w:val="clear" w:color="auto" w:fill="FFFFFF"/>
                <w:lang w:val="es-CO" w:eastAsia="en-US"/>
              </w:rPr>
            </w:pPr>
            <w:r w:rsidRPr="00405878">
              <w:rPr>
                <w:rFonts w:ascii="Times New Roman" w:hAnsi="Times New Roman"/>
                <w:b/>
                <w:bCs/>
                <w:color w:val="222222"/>
                <w:sz w:val="22"/>
                <w:szCs w:val="22"/>
                <w:lang w:val="es-CO" w:eastAsia="es-CO"/>
              </w:rPr>
              <w:t xml:space="preserve">3.1 </w:t>
            </w:r>
            <w:r w:rsidR="00AE6F86" w:rsidRPr="00405878">
              <w:rPr>
                <w:rFonts w:ascii="Times New Roman" w:hAnsi="Times New Roman"/>
                <w:b/>
                <w:bCs/>
                <w:color w:val="222222"/>
                <w:sz w:val="22"/>
                <w:szCs w:val="22"/>
                <w:lang w:val="es-CO" w:eastAsia="es-CO"/>
              </w:rPr>
              <w:t xml:space="preserve"> </w:t>
            </w:r>
            <w:r w:rsidR="00405878">
              <w:rPr>
                <w:rFonts w:ascii="Times New Roman" w:hAnsi="Times New Roman"/>
                <w:b/>
                <w:bCs/>
                <w:color w:val="222222"/>
                <w:sz w:val="22"/>
                <w:szCs w:val="22"/>
                <w:lang w:val="es-CO" w:eastAsia="es-CO"/>
              </w:rPr>
              <w:t xml:space="preserve">COMPONENTE </w:t>
            </w:r>
            <w:r w:rsidR="00AE6F86" w:rsidRPr="00405878">
              <w:rPr>
                <w:rFonts w:ascii="Times New Roman" w:eastAsia="Calibri" w:hAnsi="Times New Roman"/>
                <w:b/>
                <w:color w:val="222222"/>
                <w:sz w:val="22"/>
                <w:szCs w:val="22"/>
                <w:shd w:val="clear" w:color="auto" w:fill="FFFFFF"/>
                <w:lang w:val="es-CO" w:eastAsia="en-US"/>
              </w:rPr>
              <w:t>COMUNICACIÓN EXTERNA</w:t>
            </w:r>
          </w:p>
          <w:p w:rsidR="00405878" w:rsidRPr="00405878" w:rsidRDefault="00405878" w:rsidP="002A66C6">
            <w:pPr>
              <w:jc w:val="both"/>
              <w:rPr>
                <w:rFonts w:ascii="Times New Roman" w:eastAsia="Calibri" w:hAnsi="Times New Roman"/>
                <w:b/>
                <w:sz w:val="22"/>
                <w:szCs w:val="22"/>
                <w:lang w:val="es-ES" w:eastAsia="en-US"/>
              </w:rPr>
            </w:pPr>
          </w:p>
          <w:p w:rsidR="00DD35C2" w:rsidRPr="006C2538" w:rsidRDefault="00DD35C2" w:rsidP="002A66C6">
            <w:p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lastRenderedPageBreak/>
              <w:t xml:space="preserve">En comunicación externa se pusieron en agenda pública temas misionales como la presentación del Diagnóstico POT Decreto 190 y el proceso de participación para su divulgación, la legalización de 17 nuevos barrios en Bogotá, el nuevo Modelo de Desarrollo Rural Sostenible de la capital del país, el foro “La integración regional: una opción inaplazable”, el servicio que tiene la SDP para consulta de información de licencias de urbanismo y construcción en </w:t>
            </w:r>
            <w:r w:rsidRPr="00481547">
              <w:rPr>
                <w:rFonts w:ascii="Times New Roman" w:hAnsi="Times New Roman"/>
                <w:sz w:val="22"/>
                <w:szCs w:val="22"/>
                <w:lang w:val="es-ES"/>
              </w:rPr>
              <w:t>www.sdp.gov.co</w:t>
            </w:r>
            <w:r w:rsidRPr="006C2538">
              <w:rPr>
                <w:rFonts w:ascii="Times New Roman" w:hAnsi="Times New Roman"/>
                <w:sz w:val="22"/>
                <w:szCs w:val="22"/>
                <w:lang w:val="es-ES"/>
              </w:rPr>
              <w:t xml:space="preserve">, el proyecto aprobado por el Sistema General de Regalías ‘Fortalecimiento del Centro Interactivo Maloka para la apropiación social de la ciencia, tecnología e innovación en Bogotá’, el Día Internacional contra la Homofobia, el inicio del proceso para seleccionar curadores urbanos 1, 2 y 3, el proyecto de Acuerdo No. 239 de 2017, que modifica las condiciones de cobro de plusvalía y crea un fondo para el cumplimiento o compensación de cargas urbanísticas por </w:t>
            </w:r>
            <w:r w:rsidR="00481547" w:rsidRPr="006C2538">
              <w:rPr>
                <w:rFonts w:ascii="Times New Roman" w:hAnsi="Times New Roman"/>
                <w:sz w:val="22"/>
                <w:szCs w:val="22"/>
                <w:lang w:val="es-ES"/>
              </w:rPr>
              <w:t>edificabilidad</w:t>
            </w:r>
            <w:r w:rsidRPr="006C2538">
              <w:rPr>
                <w:rFonts w:ascii="Times New Roman" w:hAnsi="Times New Roman"/>
                <w:sz w:val="22"/>
                <w:szCs w:val="22"/>
                <w:lang w:val="es-ES"/>
              </w:rPr>
              <w:t xml:space="preserve">, el proyecto Lagos de Torca y el  apoyo de la Administración Distrital a la Marcha por la Ciudadanía Plena realizada en el marco del Día Internacional del Orgullo. </w:t>
            </w:r>
          </w:p>
          <w:p w:rsidR="00DD35C2" w:rsidRPr="006C2538" w:rsidRDefault="00DD35C2" w:rsidP="002A66C6">
            <w:pPr>
              <w:shd w:val="clear" w:color="auto" w:fill="FFFFFF"/>
              <w:jc w:val="both"/>
              <w:rPr>
                <w:rFonts w:ascii="Times New Roman" w:hAnsi="Times New Roman"/>
                <w:sz w:val="22"/>
                <w:szCs w:val="22"/>
                <w:lang w:val="es-ES"/>
              </w:rPr>
            </w:pPr>
          </w:p>
          <w:p w:rsidR="00DD35C2" w:rsidRPr="006C2538" w:rsidRDefault="00DD35C2" w:rsidP="002A66C6">
            <w:p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t xml:space="preserve">La divulgación de estos temas se realizó a través de boletines de prensa,  entrevistas exclusivas y suministro de información a varios medios entre los que se destacan impresos (El Tiempo, El Espectador, Publímetro, Diario ADN, Semana);  radiales (Caracol básica, la FM, W radio,  y RCN básica),  televisivos (Canal Capital. City TV, CM&amp; y Red </w:t>
            </w:r>
            <w:r w:rsidR="00481547" w:rsidRPr="006C2538">
              <w:rPr>
                <w:rFonts w:ascii="Times New Roman" w:hAnsi="Times New Roman"/>
                <w:sz w:val="22"/>
                <w:szCs w:val="22"/>
                <w:lang w:val="es-ES"/>
              </w:rPr>
              <w:t>Más</w:t>
            </w:r>
            <w:r w:rsidRPr="006C2538">
              <w:rPr>
                <w:rFonts w:ascii="Times New Roman" w:hAnsi="Times New Roman"/>
                <w:sz w:val="22"/>
                <w:szCs w:val="22"/>
                <w:lang w:val="es-ES"/>
              </w:rPr>
              <w:t xml:space="preserve"> Noticias).</w:t>
            </w:r>
          </w:p>
          <w:p w:rsidR="00DD35C2" w:rsidRPr="006C2538" w:rsidRDefault="00DD35C2" w:rsidP="002A66C6">
            <w:pPr>
              <w:shd w:val="clear" w:color="auto" w:fill="FFFFFF"/>
              <w:jc w:val="both"/>
              <w:rPr>
                <w:rFonts w:ascii="Times New Roman" w:hAnsi="Times New Roman"/>
                <w:sz w:val="22"/>
                <w:szCs w:val="22"/>
                <w:lang w:val="es-ES"/>
              </w:rPr>
            </w:pPr>
          </w:p>
          <w:p w:rsidR="00DD35C2" w:rsidRPr="006C2538" w:rsidRDefault="00DD35C2" w:rsidP="002A66C6">
            <w:p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t>Para divulgar el Diagnóstico de POT se convocó a rueda de prensa a todos los medios de comunicació</w:t>
            </w:r>
            <w:r w:rsidR="00481547">
              <w:rPr>
                <w:rFonts w:ascii="Times New Roman" w:hAnsi="Times New Roman"/>
                <w:sz w:val="22"/>
                <w:szCs w:val="22"/>
                <w:lang w:val="es-ES"/>
              </w:rPr>
              <w:t xml:space="preserve">n y se realizó ‘Gira de Medios’ </w:t>
            </w:r>
            <w:r w:rsidRPr="006C2538">
              <w:rPr>
                <w:rFonts w:ascii="Times New Roman" w:hAnsi="Times New Roman"/>
                <w:sz w:val="22"/>
                <w:szCs w:val="22"/>
                <w:lang w:val="es-ES"/>
              </w:rPr>
              <w:t>en diferentes medios de la ciudad por oferta y por demanda a donde se asistió con el Secretario Andrés Ortiz.</w:t>
            </w:r>
          </w:p>
          <w:p w:rsidR="00DD35C2" w:rsidRPr="006C2538" w:rsidRDefault="00DD35C2" w:rsidP="002A66C6">
            <w:pPr>
              <w:shd w:val="clear" w:color="auto" w:fill="FFFFFF"/>
              <w:jc w:val="both"/>
              <w:rPr>
                <w:rFonts w:ascii="Times New Roman" w:hAnsi="Times New Roman"/>
                <w:sz w:val="22"/>
                <w:szCs w:val="22"/>
                <w:lang w:val="es-ES"/>
              </w:rPr>
            </w:pPr>
          </w:p>
          <w:p w:rsidR="00DD35C2" w:rsidRPr="006C2538" w:rsidRDefault="00DD35C2" w:rsidP="002A66C6">
            <w:p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t xml:space="preserve">Por su parte, con el proyecto Lagos de Torca se continuó suministrando información a diferentes periodistas  y se terminó el diseño e impresión del libro específico para este tema. </w:t>
            </w:r>
          </w:p>
          <w:p w:rsidR="00DD35C2" w:rsidRPr="006C2538" w:rsidRDefault="00DD35C2" w:rsidP="002A66C6">
            <w:pPr>
              <w:shd w:val="clear" w:color="auto" w:fill="FFFFFF"/>
              <w:jc w:val="both"/>
              <w:rPr>
                <w:rFonts w:ascii="Times New Roman" w:hAnsi="Times New Roman"/>
                <w:sz w:val="22"/>
                <w:szCs w:val="22"/>
                <w:lang w:val="es-ES"/>
              </w:rPr>
            </w:pPr>
          </w:p>
          <w:p w:rsidR="00DD35C2" w:rsidRPr="006C2538" w:rsidRDefault="00DD35C2" w:rsidP="002A66C6">
            <w:pPr>
              <w:shd w:val="clear" w:color="auto" w:fill="FFFFFF"/>
              <w:jc w:val="both"/>
              <w:rPr>
                <w:rFonts w:ascii="Times New Roman" w:hAnsi="Times New Roman"/>
                <w:color w:val="222222"/>
                <w:sz w:val="22"/>
                <w:szCs w:val="22"/>
                <w:lang w:val="es-ES"/>
              </w:rPr>
            </w:pPr>
            <w:r w:rsidRPr="006C2538">
              <w:rPr>
                <w:rFonts w:ascii="Times New Roman" w:hAnsi="Times New Roman"/>
                <w:sz w:val="22"/>
                <w:szCs w:val="22"/>
                <w:lang w:val="es-ES"/>
              </w:rPr>
              <w:t>Se apoyaron los siguientes eventos programados  por diferentes dependencias de la entidad:</w:t>
            </w:r>
          </w:p>
          <w:p w:rsidR="00DD35C2" w:rsidRPr="006C2538" w:rsidRDefault="00DD35C2" w:rsidP="002A66C6">
            <w:pPr>
              <w:shd w:val="clear" w:color="auto" w:fill="FFFFFF"/>
              <w:jc w:val="both"/>
              <w:rPr>
                <w:rFonts w:ascii="Times New Roman" w:hAnsi="Times New Roman"/>
                <w:color w:val="222222"/>
                <w:sz w:val="22"/>
                <w:szCs w:val="22"/>
                <w:lang w:val="es-ES"/>
              </w:rPr>
            </w:pPr>
            <w:r w:rsidRPr="006C2538">
              <w:rPr>
                <w:rFonts w:ascii="Times New Roman" w:hAnsi="Times New Roman"/>
                <w:color w:val="222222"/>
                <w:sz w:val="22"/>
                <w:szCs w:val="22"/>
                <w:lang w:val="es-ES"/>
              </w:rPr>
              <w:t> </w:t>
            </w:r>
          </w:p>
          <w:p w:rsidR="00DD35C2" w:rsidRPr="006C2538" w:rsidRDefault="00DD35C2" w:rsidP="00481547">
            <w:pPr>
              <w:numPr>
                <w:ilvl w:val="0"/>
                <w:numId w:val="20"/>
              </w:num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t xml:space="preserve">Proceso de Participación en el marco de la legalización de barrios.  </w:t>
            </w:r>
          </w:p>
          <w:p w:rsidR="00DD35C2" w:rsidRPr="006C2538" w:rsidRDefault="00DD35C2" w:rsidP="002A66C6">
            <w:pPr>
              <w:shd w:val="clear" w:color="auto" w:fill="FFFFFF"/>
              <w:jc w:val="both"/>
              <w:rPr>
                <w:rFonts w:ascii="Times New Roman" w:hAnsi="Times New Roman"/>
                <w:sz w:val="22"/>
                <w:szCs w:val="22"/>
                <w:lang w:val="es-ES"/>
              </w:rPr>
            </w:pPr>
          </w:p>
          <w:p w:rsidR="00DD35C2" w:rsidRPr="006C2538" w:rsidRDefault="00DD35C2" w:rsidP="00481547">
            <w:pPr>
              <w:numPr>
                <w:ilvl w:val="0"/>
                <w:numId w:val="20"/>
              </w:numPr>
              <w:shd w:val="clear" w:color="auto" w:fill="FFFFFF"/>
              <w:jc w:val="both"/>
              <w:rPr>
                <w:rFonts w:ascii="Times New Roman" w:hAnsi="Times New Roman"/>
                <w:bCs/>
                <w:color w:val="222222"/>
                <w:sz w:val="22"/>
                <w:szCs w:val="22"/>
              </w:rPr>
            </w:pPr>
            <w:r w:rsidRPr="006C2538">
              <w:rPr>
                <w:rFonts w:ascii="Times New Roman" w:hAnsi="Times New Roman"/>
                <w:bCs/>
                <w:color w:val="222222"/>
                <w:sz w:val="22"/>
                <w:szCs w:val="22"/>
              </w:rPr>
              <w:t>Convocatoria y cubrimiento periodístico del foro “La integración regional: una opción inaplazable”</w:t>
            </w:r>
          </w:p>
          <w:p w:rsidR="00DD35C2" w:rsidRPr="006C2538" w:rsidRDefault="00DD35C2" w:rsidP="002A66C6">
            <w:pPr>
              <w:shd w:val="clear" w:color="auto" w:fill="FFFFFF"/>
              <w:jc w:val="both"/>
              <w:rPr>
                <w:rFonts w:ascii="Times New Roman" w:hAnsi="Times New Roman"/>
                <w:bCs/>
                <w:color w:val="222222"/>
                <w:sz w:val="22"/>
                <w:szCs w:val="22"/>
              </w:rPr>
            </w:pPr>
          </w:p>
          <w:p w:rsidR="00DD35C2" w:rsidRPr="006C2538" w:rsidRDefault="00DD35C2" w:rsidP="00481547">
            <w:pPr>
              <w:numPr>
                <w:ilvl w:val="0"/>
                <w:numId w:val="20"/>
              </w:numPr>
              <w:shd w:val="clear" w:color="auto" w:fill="FFFFFF"/>
              <w:jc w:val="both"/>
              <w:rPr>
                <w:rFonts w:ascii="Times New Roman" w:hAnsi="Times New Roman"/>
                <w:bCs/>
                <w:color w:val="222222"/>
                <w:sz w:val="22"/>
                <w:szCs w:val="22"/>
              </w:rPr>
            </w:pPr>
            <w:r w:rsidRPr="006C2538">
              <w:rPr>
                <w:rFonts w:ascii="Times New Roman" w:hAnsi="Times New Roman"/>
                <w:bCs/>
                <w:color w:val="222222"/>
                <w:sz w:val="22"/>
                <w:szCs w:val="22"/>
              </w:rPr>
              <w:t xml:space="preserve">Proceso de participación para dar a conocer Diagnóstico POT en localidades de Bogotá </w:t>
            </w:r>
          </w:p>
          <w:p w:rsidR="00DD35C2" w:rsidRPr="006C2538" w:rsidRDefault="00DD35C2" w:rsidP="002A66C6">
            <w:pPr>
              <w:shd w:val="clear" w:color="auto" w:fill="FFFFFF"/>
              <w:jc w:val="both"/>
              <w:rPr>
                <w:rFonts w:ascii="Times New Roman" w:hAnsi="Times New Roman"/>
                <w:bCs/>
                <w:color w:val="222222"/>
                <w:sz w:val="22"/>
                <w:szCs w:val="22"/>
              </w:rPr>
            </w:pPr>
          </w:p>
          <w:p w:rsidR="00DD35C2" w:rsidRDefault="00DD35C2" w:rsidP="002A66C6">
            <w:pPr>
              <w:shd w:val="clear" w:color="auto" w:fill="FFFFFF"/>
              <w:jc w:val="both"/>
              <w:rPr>
                <w:rFonts w:ascii="Times New Roman" w:hAnsi="Times New Roman"/>
                <w:bCs/>
                <w:sz w:val="22"/>
                <w:szCs w:val="22"/>
              </w:rPr>
            </w:pPr>
            <w:r w:rsidRPr="006C2538">
              <w:rPr>
                <w:rFonts w:ascii="Times New Roman" w:hAnsi="Times New Roman"/>
                <w:bCs/>
                <w:sz w:val="22"/>
                <w:szCs w:val="22"/>
              </w:rPr>
              <w:t>Se realizó la grabación, edición y difusión de 22 videos, entre los que se encuentran:</w:t>
            </w:r>
          </w:p>
          <w:p w:rsidR="00481547" w:rsidRPr="006C2538" w:rsidRDefault="00481547" w:rsidP="002A66C6">
            <w:pPr>
              <w:shd w:val="clear" w:color="auto" w:fill="FFFFFF"/>
              <w:jc w:val="both"/>
              <w:rPr>
                <w:rFonts w:ascii="Times New Roman" w:hAnsi="Times New Roman"/>
                <w:bCs/>
                <w:sz w:val="22"/>
                <w:szCs w:val="22"/>
              </w:rPr>
            </w:pPr>
          </w:p>
          <w:p w:rsidR="00DD35C2" w:rsidRPr="00481547" w:rsidRDefault="00DD35C2" w:rsidP="00481547">
            <w:pPr>
              <w:pStyle w:val="Prrafodelista"/>
              <w:numPr>
                <w:ilvl w:val="0"/>
                <w:numId w:val="21"/>
              </w:numPr>
              <w:shd w:val="clear" w:color="auto" w:fill="FFFFFF"/>
              <w:jc w:val="both"/>
              <w:rPr>
                <w:rFonts w:ascii="Times New Roman" w:hAnsi="Times New Roman"/>
                <w:bCs/>
              </w:rPr>
            </w:pPr>
            <w:r w:rsidRPr="00481547">
              <w:rPr>
                <w:rFonts w:ascii="Times New Roman" w:hAnsi="Times New Roman"/>
                <w:bCs/>
              </w:rPr>
              <w:t xml:space="preserve">-Preguntas de la ciudadanía para </w:t>
            </w:r>
            <w:r w:rsidRPr="00481547">
              <w:rPr>
                <w:rFonts w:ascii="Cambria Math" w:eastAsia="Arial Unicode MS" w:hAnsi="Cambria Math" w:cs="Cambria Math"/>
                <w:bCs/>
              </w:rPr>
              <w:t>​</w:t>
            </w:r>
            <w:r w:rsidRPr="00481547">
              <w:rPr>
                <w:rFonts w:ascii="Times New Roman" w:hAnsi="Times New Roman"/>
                <w:bCs/>
              </w:rPr>
              <w:t>la Rendición de Cuentas del Alcalde Mayor de Bogotá</w:t>
            </w:r>
          </w:p>
          <w:p w:rsidR="00DD35C2" w:rsidRPr="00481547" w:rsidRDefault="00DD35C2" w:rsidP="00481547">
            <w:pPr>
              <w:pStyle w:val="Prrafodelista"/>
              <w:numPr>
                <w:ilvl w:val="0"/>
                <w:numId w:val="21"/>
              </w:numPr>
              <w:shd w:val="clear" w:color="auto" w:fill="FFFFFF"/>
              <w:jc w:val="both"/>
              <w:rPr>
                <w:rFonts w:ascii="Times New Roman" w:hAnsi="Times New Roman"/>
                <w:bCs/>
              </w:rPr>
            </w:pPr>
            <w:r w:rsidRPr="00481547">
              <w:rPr>
                <w:rFonts w:ascii="Times New Roman" w:hAnsi="Times New Roman"/>
                <w:bCs/>
              </w:rPr>
              <w:t>-Importancia de los Humedales en el Norte de Bogotá y Lagos de Torca</w:t>
            </w:r>
          </w:p>
          <w:p w:rsidR="00DD35C2" w:rsidRPr="00481547" w:rsidRDefault="00DD35C2" w:rsidP="00481547">
            <w:pPr>
              <w:pStyle w:val="Prrafodelista"/>
              <w:numPr>
                <w:ilvl w:val="0"/>
                <w:numId w:val="21"/>
              </w:numPr>
              <w:shd w:val="clear" w:color="auto" w:fill="FFFFFF"/>
              <w:jc w:val="both"/>
              <w:rPr>
                <w:rFonts w:ascii="Times New Roman" w:hAnsi="Times New Roman"/>
                <w:bCs/>
              </w:rPr>
            </w:pPr>
            <w:r w:rsidRPr="00481547">
              <w:rPr>
                <w:rFonts w:ascii="Times New Roman" w:hAnsi="Times New Roman"/>
                <w:bCs/>
              </w:rPr>
              <w:t>-Explicación histórica de las diferentes identidades de género.</w:t>
            </w:r>
          </w:p>
          <w:p w:rsidR="00DD35C2" w:rsidRPr="00481547" w:rsidRDefault="00DD35C2" w:rsidP="00481547">
            <w:pPr>
              <w:pStyle w:val="Prrafodelista"/>
              <w:numPr>
                <w:ilvl w:val="0"/>
                <w:numId w:val="21"/>
              </w:numPr>
              <w:shd w:val="clear" w:color="auto" w:fill="FFFFFF"/>
              <w:jc w:val="both"/>
              <w:rPr>
                <w:rFonts w:ascii="Times New Roman" w:hAnsi="Times New Roman"/>
                <w:bCs/>
              </w:rPr>
            </w:pPr>
            <w:r w:rsidRPr="00481547">
              <w:rPr>
                <w:rFonts w:ascii="Times New Roman" w:hAnsi="Times New Roman"/>
                <w:bCs/>
              </w:rPr>
              <w:t>-Invitación a socializaciones del POT en Bogotá</w:t>
            </w:r>
          </w:p>
          <w:p w:rsidR="00DD35C2" w:rsidRPr="00481547" w:rsidRDefault="00DD35C2" w:rsidP="00481547">
            <w:pPr>
              <w:pStyle w:val="Prrafodelista"/>
              <w:numPr>
                <w:ilvl w:val="0"/>
                <w:numId w:val="21"/>
              </w:numPr>
              <w:shd w:val="clear" w:color="auto" w:fill="FFFFFF"/>
              <w:jc w:val="both"/>
              <w:rPr>
                <w:rFonts w:ascii="Times New Roman" w:hAnsi="Times New Roman"/>
                <w:bCs/>
              </w:rPr>
            </w:pPr>
            <w:r w:rsidRPr="00481547">
              <w:rPr>
                <w:rFonts w:ascii="Times New Roman" w:hAnsi="Times New Roman"/>
                <w:bCs/>
              </w:rPr>
              <w:t>-Entrevistas con ciudadanía en jornadas de socialización POT para redes sociales.</w:t>
            </w:r>
          </w:p>
          <w:p w:rsidR="00DD35C2" w:rsidRDefault="00DD35C2" w:rsidP="002A66C6">
            <w:pPr>
              <w:shd w:val="clear" w:color="auto" w:fill="FFFFFF"/>
              <w:jc w:val="both"/>
              <w:rPr>
                <w:rFonts w:ascii="Times New Roman" w:hAnsi="Times New Roman"/>
                <w:bCs/>
                <w:sz w:val="22"/>
                <w:szCs w:val="22"/>
              </w:rPr>
            </w:pPr>
          </w:p>
          <w:p w:rsidR="00481547" w:rsidRDefault="00481547" w:rsidP="002A66C6">
            <w:pPr>
              <w:shd w:val="clear" w:color="auto" w:fill="FFFFFF"/>
              <w:jc w:val="both"/>
              <w:rPr>
                <w:rFonts w:ascii="Times New Roman" w:hAnsi="Times New Roman"/>
                <w:bCs/>
                <w:sz w:val="22"/>
                <w:szCs w:val="22"/>
              </w:rPr>
            </w:pPr>
          </w:p>
          <w:p w:rsidR="00481547" w:rsidRDefault="00481547" w:rsidP="002A66C6">
            <w:pPr>
              <w:shd w:val="clear" w:color="auto" w:fill="FFFFFF"/>
              <w:jc w:val="both"/>
              <w:rPr>
                <w:rFonts w:ascii="Times New Roman" w:hAnsi="Times New Roman"/>
                <w:bCs/>
                <w:sz w:val="22"/>
                <w:szCs w:val="22"/>
              </w:rPr>
            </w:pPr>
          </w:p>
          <w:p w:rsidR="00481547" w:rsidRDefault="00481547" w:rsidP="002A66C6">
            <w:pPr>
              <w:shd w:val="clear" w:color="auto" w:fill="FFFFFF"/>
              <w:jc w:val="both"/>
              <w:rPr>
                <w:rFonts w:ascii="Times New Roman" w:hAnsi="Times New Roman"/>
                <w:bCs/>
                <w:sz w:val="22"/>
                <w:szCs w:val="22"/>
              </w:rPr>
            </w:pPr>
          </w:p>
          <w:p w:rsidR="00481547" w:rsidRPr="006C2538" w:rsidRDefault="00481547" w:rsidP="002A66C6">
            <w:pPr>
              <w:shd w:val="clear" w:color="auto" w:fill="FFFFFF"/>
              <w:jc w:val="both"/>
              <w:rPr>
                <w:rFonts w:ascii="Times New Roman" w:hAnsi="Times New Roman"/>
                <w:bCs/>
                <w:sz w:val="22"/>
                <w:szCs w:val="22"/>
              </w:rPr>
            </w:pPr>
          </w:p>
          <w:p w:rsidR="00DD35C2" w:rsidRPr="006C2538" w:rsidRDefault="00DD35C2" w:rsidP="002A66C6">
            <w:pPr>
              <w:shd w:val="clear" w:color="auto" w:fill="FFFFFF"/>
              <w:jc w:val="both"/>
              <w:rPr>
                <w:rFonts w:ascii="Times New Roman" w:hAnsi="Times New Roman"/>
                <w:bCs/>
                <w:sz w:val="22"/>
                <w:szCs w:val="22"/>
              </w:rPr>
            </w:pPr>
          </w:p>
          <w:p w:rsidR="00DD35C2" w:rsidRPr="006C2538" w:rsidRDefault="00DD35C2" w:rsidP="002A66C6">
            <w:pPr>
              <w:shd w:val="clear" w:color="auto" w:fill="FFFFFF"/>
              <w:jc w:val="both"/>
              <w:rPr>
                <w:rFonts w:ascii="Times New Roman" w:hAnsi="Times New Roman"/>
                <w:bCs/>
                <w:sz w:val="22"/>
                <w:szCs w:val="22"/>
              </w:rPr>
            </w:pPr>
            <w:r w:rsidRPr="006C2538">
              <w:rPr>
                <w:rFonts w:ascii="Times New Roman" w:hAnsi="Times New Roman"/>
                <w:b/>
                <w:bCs/>
                <w:sz w:val="22"/>
                <w:szCs w:val="22"/>
              </w:rPr>
              <w:t xml:space="preserve">Otras </w:t>
            </w:r>
            <w:r w:rsidR="00481547">
              <w:rPr>
                <w:rFonts w:ascii="Times New Roman" w:hAnsi="Times New Roman"/>
                <w:b/>
                <w:bCs/>
                <w:sz w:val="22"/>
                <w:szCs w:val="22"/>
              </w:rPr>
              <w:t>A</w:t>
            </w:r>
            <w:r w:rsidRPr="006C2538">
              <w:rPr>
                <w:rFonts w:ascii="Times New Roman" w:hAnsi="Times New Roman"/>
                <w:b/>
                <w:bCs/>
                <w:sz w:val="22"/>
                <w:szCs w:val="22"/>
              </w:rPr>
              <w:t>ctividades</w:t>
            </w:r>
            <w:r w:rsidR="00481547">
              <w:rPr>
                <w:rFonts w:ascii="Times New Roman" w:hAnsi="Times New Roman"/>
                <w:b/>
                <w:bCs/>
                <w:sz w:val="22"/>
                <w:szCs w:val="22"/>
              </w:rPr>
              <w:t xml:space="preserve"> Desarrolladas</w:t>
            </w:r>
            <w:r w:rsidRPr="006C2538">
              <w:rPr>
                <w:rFonts w:ascii="Times New Roman" w:hAnsi="Times New Roman"/>
                <w:b/>
                <w:bCs/>
                <w:sz w:val="22"/>
                <w:szCs w:val="22"/>
              </w:rPr>
              <w:t>:</w:t>
            </w:r>
            <w:r w:rsidRPr="006C2538">
              <w:rPr>
                <w:rFonts w:ascii="Times New Roman" w:hAnsi="Times New Roman"/>
                <w:bCs/>
                <w:sz w:val="22"/>
                <w:szCs w:val="22"/>
              </w:rPr>
              <w:t xml:space="preserve"> </w:t>
            </w:r>
          </w:p>
          <w:p w:rsidR="00481547" w:rsidRDefault="00481547" w:rsidP="002A66C6">
            <w:pPr>
              <w:shd w:val="clear" w:color="auto" w:fill="FFFFFF"/>
              <w:jc w:val="both"/>
              <w:rPr>
                <w:rFonts w:ascii="Times New Roman" w:hAnsi="Times New Roman"/>
                <w:bCs/>
                <w:sz w:val="22"/>
                <w:szCs w:val="22"/>
              </w:rPr>
            </w:pPr>
          </w:p>
          <w:p w:rsidR="00DD35C2" w:rsidRPr="00481547" w:rsidRDefault="00DD35C2" w:rsidP="00481547">
            <w:pPr>
              <w:pStyle w:val="Prrafodelista"/>
              <w:numPr>
                <w:ilvl w:val="0"/>
                <w:numId w:val="22"/>
              </w:numPr>
              <w:shd w:val="clear" w:color="auto" w:fill="FFFFFF"/>
              <w:spacing w:after="0"/>
              <w:jc w:val="both"/>
              <w:rPr>
                <w:rFonts w:ascii="Times New Roman" w:hAnsi="Times New Roman"/>
                <w:bCs/>
              </w:rPr>
            </w:pPr>
            <w:r w:rsidRPr="00481547">
              <w:rPr>
                <w:rFonts w:ascii="Times New Roman" w:hAnsi="Times New Roman"/>
                <w:bCs/>
              </w:rPr>
              <w:lastRenderedPageBreak/>
              <w:t xml:space="preserve">Elaboración de términos de referencia de los contratos de impresos y videos, y contratación de servicios de multimedia. </w:t>
            </w:r>
          </w:p>
          <w:p w:rsidR="00DD35C2" w:rsidRPr="006C2538" w:rsidRDefault="00DD35C2" w:rsidP="00481547">
            <w:pPr>
              <w:shd w:val="clear" w:color="auto" w:fill="FFFFFF"/>
              <w:jc w:val="both"/>
              <w:rPr>
                <w:rFonts w:ascii="Times New Roman" w:hAnsi="Times New Roman"/>
                <w:bCs/>
                <w:color w:val="FF0000"/>
                <w:sz w:val="22"/>
                <w:szCs w:val="22"/>
              </w:rPr>
            </w:pPr>
          </w:p>
          <w:p w:rsidR="00DD35C2" w:rsidRPr="00481547" w:rsidRDefault="00DD35C2" w:rsidP="00481547">
            <w:pPr>
              <w:pStyle w:val="Prrafodelista"/>
              <w:numPr>
                <w:ilvl w:val="0"/>
                <w:numId w:val="22"/>
              </w:numPr>
              <w:shd w:val="clear" w:color="auto" w:fill="FFFFFF"/>
              <w:spacing w:after="0"/>
              <w:jc w:val="both"/>
              <w:rPr>
                <w:rFonts w:ascii="Times New Roman" w:hAnsi="Times New Roman"/>
                <w:bCs/>
              </w:rPr>
            </w:pPr>
            <w:r w:rsidRPr="00481547">
              <w:rPr>
                <w:rFonts w:ascii="Times New Roman" w:hAnsi="Times New Roman"/>
                <w:bCs/>
              </w:rPr>
              <w:t xml:space="preserve">En  coordinación con la Dirección de Sistemas se continuó con el desarrollo del nuevo portal Web de la SDP. En este periodo se aprobaron los diseños y logotipos de tendrá esta página. Se sigue con la validación de los requisitos que deben contener las diferentes secciones. </w:t>
            </w:r>
          </w:p>
          <w:p w:rsidR="00DD35C2" w:rsidRPr="006C2538" w:rsidRDefault="00DD35C2" w:rsidP="00481547">
            <w:pPr>
              <w:shd w:val="clear" w:color="auto" w:fill="FFFFFF"/>
              <w:jc w:val="both"/>
              <w:rPr>
                <w:rFonts w:ascii="Times New Roman" w:hAnsi="Times New Roman"/>
                <w:bCs/>
                <w:color w:val="FF0000"/>
                <w:sz w:val="22"/>
                <w:szCs w:val="22"/>
              </w:rPr>
            </w:pPr>
          </w:p>
          <w:p w:rsidR="00DD35C2" w:rsidRPr="00481547" w:rsidRDefault="00DD35C2" w:rsidP="00481547">
            <w:pPr>
              <w:pStyle w:val="Prrafodelista"/>
              <w:numPr>
                <w:ilvl w:val="0"/>
                <w:numId w:val="22"/>
              </w:numPr>
              <w:shd w:val="clear" w:color="auto" w:fill="FFFFFF"/>
              <w:spacing w:after="0"/>
              <w:jc w:val="both"/>
              <w:rPr>
                <w:rFonts w:ascii="Times New Roman" w:hAnsi="Times New Roman"/>
                <w:bCs/>
              </w:rPr>
            </w:pPr>
            <w:r w:rsidRPr="00481547">
              <w:rPr>
                <w:rFonts w:ascii="Times New Roman" w:hAnsi="Times New Roman"/>
                <w:bCs/>
              </w:rPr>
              <w:t xml:space="preserve">Se mantiene el proceso de sinergia en la redes sociales institucionales en coordinación con la Alcaldía y las 13 secretarías,  se realiza un monitoreo diario en las redes  principalmente de los opositores a programas distritales y se envía monitoreo diario sobre las noticias del SDP registrada en los medios. </w:t>
            </w:r>
          </w:p>
          <w:p w:rsidR="00DD35C2" w:rsidRPr="006C2538" w:rsidRDefault="00DD35C2" w:rsidP="002A66C6">
            <w:pPr>
              <w:shd w:val="clear" w:color="auto" w:fill="FFFFFF"/>
              <w:jc w:val="both"/>
              <w:rPr>
                <w:rFonts w:ascii="Times New Roman" w:hAnsi="Times New Roman"/>
                <w:color w:val="222222"/>
                <w:sz w:val="22"/>
                <w:szCs w:val="22"/>
                <w:lang w:val="es-ES"/>
              </w:rPr>
            </w:pPr>
          </w:p>
          <w:p w:rsidR="00DD35C2" w:rsidRPr="00481547" w:rsidRDefault="00481547" w:rsidP="00481547">
            <w:pPr>
              <w:jc w:val="both"/>
              <w:rPr>
                <w:rFonts w:ascii="Times New Roman" w:hAnsi="Times New Roman"/>
                <w:b/>
                <w:color w:val="222222"/>
                <w:shd w:val="clear" w:color="auto" w:fill="FFFFFF"/>
              </w:rPr>
            </w:pPr>
            <w:r w:rsidRPr="00481547">
              <w:rPr>
                <w:rFonts w:ascii="Times New Roman" w:hAnsi="Times New Roman"/>
                <w:b/>
                <w:color w:val="222222"/>
                <w:shd w:val="clear" w:color="auto" w:fill="FFFFFF"/>
              </w:rPr>
              <w:t xml:space="preserve">3.2. </w:t>
            </w:r>
            <w:r>
              <w:rPr>
                <w:rFonts w:ascii="Times New Roman" w:hAnsi="Times New Roman"/>
                <w:b/>
                <w:color w:val="222222"/>
                <w:shd w:val="clear" w:color="auto" w:fill="FFFFFF"/>
              </w:rPr>
              <w:t xml:space="preserve">COMPONENTE </w:t>
            </w:r>
            <w:r w:rsidRPr="00481547">
              <w:rPr>
                <w:rFonts w:ascii="Times New Roman" w:hAnsi="Times New Roman"/>
                <w:b/>
                <w:color w:val="222222"/>
                <w:shd w:val="clear" w:color="auto" w:fill="FFFFFF"/>
              </w:rPr>
              <w:t>COMUNICACIÓN INTERNA:</w:t>
            </w:r>
          </w:p>
          <w:p w:rsidR="00481547" w:rsidRDefault="00481547" w:rsidP="002A66C6">
            <w:pPr>
              <w:shd w:val="clear" w:color="auto" w:fill="FFFFFF"/>
              <w:jc w:val="both"/>
              <w:rPr>
                <w:rFonts w:ascii="Times New Roman" w:hAnsi="Times New Roman"/>
                <w:sz w:val="22"/>
                <w:szCs w:val="22"/>
                <w:lang w:val="es-ES"/>
              </w:rPr>
            </w:pPr>
          </w:p>
          <w:p w:rsidR="00DD35C2" w:rsidRPr="006C2538" w:rsidRDefault="00DD35C2" w:rsidP="002A66C6">
            <w:pPr>
              <w:shd w:val="clear" w:color="auto" w:fill="FFFFFF"/>
              <w:jc w:val="both"/>
              <w:rPr>
                <w:rFonts w:ascii="Times New Roman" w:hAnsi="Times New Roman"/>
                <w:sz w:val="22"/>
                <w:szCs w:val="22"/>
                <w:lang w:val="es-ES"/>
              </w:rPr>
            </w:pPr>
            <w:r w:rsidRPr="006C2538">
              <w:rPr>
                <w:rFonts w:ascii="Times New Roman" w:hAnsi="Times New Roman"/>
                <w:sz w:val="22"/>
                <w:szCs w:val="22"/>
                <w:lang w:val="es-ES"/>
              </w:rPr>
              <w:t xml:space="preserve">Durante este periodo se han trabajado los siguientes temas: </w:t>
            </w:r>
          </w:p>
          <w:p w:rsidR="00DD35C2" w:rsidRPr="006C2538" w:rsidRDefault="00DD35C2" w:rsidP="002A66C6">
            <w:pPr>
              <w:jc w:val="both"/>
              <w:rPr>
                <w:rFonts w:ascii="Times New Roman" w:hAnsi="Times New Roman"/>
                <w:sz w:val="22"/>
                <w:szCs w:val="22"/>
                <w:lang w:val="es-ES"/>
              </w:rPr>
            </w:pPr>
          </w:p>
          <w:p w:rsid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Movilidad Sostenible</w:t>
            </w:r>
            <w:r w:rsidRPr="00481547">
              <w:rPr>
                <w:rFonts w:ascii="Times New Roman" w:eastAsia="Times New Roman" w:hAnsi="Times New Roman"/>
                <w:lang w:val="es-ES" w:eastAsia="es-ES"/>
              </w:rPr>
              <w:t>: Se continuó con la convocatoria y divulgación  a las diferentes actividades en torno al Día Sin Carro Distrital, que se realiza cada primer jueves del mes.</w:t>
            </w:r>
            <w:r w:rsidR="00481547" w:rsidRPr="00481547">
              <w:rPr>
                <w:rFonts w:ascii="Times New Roman" w:eastAsia="Times New Roman" w:hAnsi="Times New Roman"/>
                <w:lang w:val="es-ES" w:eastAsia="es-ES"/>
              </w:rPr>
              <w:t xml:space="preserve"> </w:t>
            </w:r>
            <w:r w:rsidRPr="00481547">
              <w:rPr>
                <w:rFonts w:ascii="Times New Roman" w:eastAsia="Times New Roman" w:hAnsi="Times New Roman"/>
                <w:lang w:val="es-ES" w:eastAsia="es-ES"/>
              </w:rPr>
              <w:t>Durante estos meses se motivó a los funcionarios y contratistas a venir en bicicleta o a pie a la SDP. La entidad participó en El Reto contra entidades distritales</w:t>
            </w:r>
            <w:r w:rsidR="00481547" w:rsidRPr="00481547">
              <w:rPr>
                <w:rFonts w:ascii="Times New Roman" w:eastAsia="Times New Roman" w:hAnsi="Times New Roman"/>
                <w:lang w:val="es-ES" w:eastAsia="es-ES"/>
              </w:rPr>
              <w:t xml:space="preserve">. </w:t>
            </w:r>
            <w:r w:rsidRPr="00481547">
              <w:rPr>
                <w:rFonts w:ascii="Times New Roman" w:eastAsia="Times New Roman" w:hAnsi="Times New Roman"/>
                <w:lang w:val="es-ES" w:eastAsia="es-ES"/>
              </w:rPr>
              <w:t>Se motivó a los funcionarios a participar de la encuesta distrital ‘¿Cómo te mueves por Bogotá?’.</w:t>
            </w:r>
          </w:p>
          <w:p w:rsidR="00481547" w:rsidRPr="00481547" w:rsidRDefault="00481547" w:rsidP="00481547">
            <w:pPr>
              <w:pStyle w:val="Prrafodelista"/>
              <w:spacing w:after="0"/>
              <w:ind w:left="360"/>
              <w:jc w:val="both"/>
              <w:rPr>
                <w:rFonts w:ascii="Times New Roman" w:eastAsia="Times New Roman" w:hAnsi="Times New Roman"/>
                <w:lang w:val="es-ES" w:eastAsia="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Clima organizacional</w:t>
            </w:r>
            <w:r w:rsidRPr="00481547">
              <w:rPr>
                <w:rFonts w:ascii="Times New Roman" w:hAnsi="Times New Roman"/>
                <w:lang w:val="es-ES"/>
              </w:rPr>
              <w:t xml:space="preserve">: Apoyamos el mejoramiento del Clima Organizacional de la Entidad a través de diferentes actividades como: Día de la Madre, Día del Padre, Día de la Mujer, Día del Hombre y el Día Internacional de las Familias. Se realizaron diferentes piezas gráficas para convocar a los talleres brindados por la Dirección de Gestión Humana para celebrar los Días de la Mujer y el Hombre, y para el Día de las Familias convocamos a los funcionarios a compartirnos fotos de sus familias que fueron divulgadas en redes sociales y al interior de la entidad. </w:t>
            </w:r>
          </w:p>
          <w:p w:rsidR="00481547" w:rsidRPr="00481547" w:rsidRDefault="00481547" w:rsidP="00481547">
            <w:pPr>
              <w:pStyle w:val="Prrafodelista"/>
              <w:spacing w:after="0"/>
              <w:ind w:left="360"/>
              <w:jc w:val="both"/>
              <w:rPr>
                <w:rFonts w:ascii="Times New Roman" w:eastAsia="Times New Roman" w:hAnsi="Times New Roman"/>
                <w:lang w:val="es-ES" w:eastAsia="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PIGA:</w:t>
            </w:r>
            <w:r w:rsidRPr="00481547">
              <w:rPr>
                <w:rFonts w:ascii="Times New Roman" w:hAnsi="Times New Roman"/>
                <w:lang w:val="es-ES"/>
              </w:rPr>
              <w:t xml:space="preserve"> Esta campaña se mantuvo durante este periodo.  Se realizaron piezas gráficas y la divulgación de las mismas en temas como el Día del Reciclador, la </w:t>
            </w:r>
            <w:r w:rsidRPr="00481547">
              <w:rPr>
                <w:rFonts w:ascii="Times New Roman" w:hAnsi="Times New Roman"/>
                <w:color w:val="222222"/>
                <w:shd w:val="clear" w:color="auto" w:fill="FFFFFF"/>
              </w:rPr>
              <w:t xml:space="preserve">caminata ecológica a la Reserva El Delirio, el taller </w:t>
            </w:r>
            <w:r w:rsidRPr="00481547">
              <w:rPr>
                <w:rFonts w:ascii="Times New Roman" w:hAnsi="Times New Roman"/>
                <w:lang w:val="es-ES"/>
              </w:rPr>
              <w:t>para la elaboración de ramos ecológicos</w:t>
            </w:r>
            <w:r w:rsidRPr="00481547">
              <w:rPr>
                <w:rFonts w:ascii="Times New Roman" w:hAnsi="Times New Roman"/>
                <w:color w:val="222222"/>
                <w:shd w:val="clear" w:color="auto" w:fill="FFFFFF"/>
              </w:rPr>
              <w:t xml:space="preserve">, la siembra de árboles en Monserrate y cómo reciclaje.  </w:t>
            </w:r>
          </w:p>
          <w:p w:rsidR="00481547" w:rsidRPr="00481547" w:rsidRDefault="00481547" w:rsidP="00481547">
            <w:pPr>
              <w:pStyle w:val="Prrafodelista"/>
              <w:rPr>
                <w:rFonts w:ascii="Times New Roman" w:hAnsi="Times New Roman"/>
                <w:b/>
                <w:lang w:val="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Acoso Laboral:</w:t>
            </w:r>
            <w:r w:rsidRPr="00481547">
              <w:rPr>
                <w:rFonts w:ascii="Times New Roman" w:hAnsi="Times New Roman"/>
                <w:lang w:val="es-ES"/>
              </w:rPr>
              <w:t xml:space="preserve"> se continuó con la divulgación de las piezas de comunicación</w:t>
            </w:r>
            <w:r w:rsidRPr="00481547">
              <w:rPr>
                <w:rFonts w:ascii="Times New Roman" w:hAnsi="Times New Roman"/>
                <w:b/>
                <w:lang w:val="es-ES"/>
              </w:rPr>
              <w:t xml:space="preserve"> </w:t>
            </w:r>
            <w:r w:rsidRPr="00481547">
              <w:rPr>
                <w:rFonts w:ascii="Times New Roman" w:hAnsi="Times New Roman"/>
                <w:lang w:val="es-ES"/>
              </w:rPr>
              <w:t>que tenían como fin dar a conocer los integrantes del Comité de Convivencia Laboral de la SDP, sus  funciones y el procedimiento de denunciar algún caso de acoso laboral y sexual.</w:t>
            </w:r>
          </w:p>
          <w:p w:rsidR="00481547" w:rsidRPr="00481547" w:rsidRDefault="00481547" w:rsidP="00481547">
            <w:pPr>
              <w:pStyle w:val="Prrafodelista"/>
              <w:rPr>
                <w:rFonts w:ascii="Times New Roman" w:hAnsi="Times New Roman"/>
                <w:b/>
                <w:lang w:val="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 xml:space="preserve">Auditorías de Control Interno, de Calidad e ICONTECT: </w:t>
            </w:r>
            <w:r w:rsidRPr="00481547">
              <w:rPr>
                <w:rFonts w:ascii="Times New Roman" w:hAnsi="Times New Roman"/>
                <w:lang w:val="es-ES"/>
              </w:rPr>
              <w:t xml:space="preserve">se realizaron piezas gráficas que permitieron dar a conocer los cronogramas estas 3 auditorías que se realizaron en estos meses del año, así como algunos </w:t>
            </w:r>
            <w:r w:rsidR="00481547" w:rsidRPr="00481547">
              <w:rPr>
                <w:rFonts w:ascii="Times New Roman" w:hAnsi="Times New Roman"/>
                <w:lang w:val="es-ES"/>
              </w:rPr>
              <w:t>tips</w:t>
            </w:r>
            <w:r w:rsidRPr="00481547">
              <w:rPr>
                <w:rFonts w:ascii="Times New Roman" w:hAnsi="Times New Roman"/>
                <w:lang w:val="es-ES"/>
              </w:rPr>
              <w:t xml:space="preserve"> para que los funcionarios se prepararan para las mismas. </w:t>
            </w:r>
          </w:p>
          <w:p w:rsidR="00481547" w:rsidRDefault="00481547" w:rsidP="00481547">
            <w:pPr>
              <w:pStyle w:val="Prrafodelista"/>
              <w:rPr>
                <w:rFonts w:ascii="Times New Roman" w:hAnsi="Times New Roman"/>
                <w:b/>
                <w:lang w:val="es-ES"/>
              </w:rPr>
            </w:pPr>
          </w:p>
          <w:p w:rsidR="00481547" w:rsidRDefault="00481547" w:rsidP="00481547">
            <w:pPr>
              <w:pStyle w:val="Prrafodelista"/>
              <w:rPr>
                <w:rFonts w:ascii="Times New Roman" w:hAnsi="Times New Roman"/>
                <w:b/>
                <w:lang w:val="es-ES"/>
              </w:rPr>
            </w:pPr>
          </w:p>
          <w:p w:rsidR="00481547" w:rsidRPr="00481547" w:rsidRDefault="00481547" w:rsidP="00481547">
            <w:pPr>
              <w:pStyle w:val="Prrafodelista"/>
              <w:rPr>
                <w:rFonts w:ascii="Times New Roman" w:hAnsi="Times New Roman"/>
                <w:b/>
                <w:lang w:val="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lastRenderedPageBreak/>
              <w:t>#OjoAlDato:</w:t>
            </w:r>
            <w:r w:rsidRPr="00481547">
              <w:rPr>
                <w:rFonts w:ascii="Times New Roman" w:hAnsi="Times New Roman"/>
                <w:lang w:val="es-ES"/>
              </w:rPr>
              <w:t xml:space="preserve"> con el fin de dar a conocer los servicios que presta la Dirección de Gestión Humana, se realizaron varias piezas gráficas que fueron divulgadas a través de los medios internos de la SDP. Entre los temas remitidos en este periodo estuvieron: Horario SDP, Bienes y Rentas, Retención en la Fuente, horas extras y permisos. Esta campaña fue denominada #OjoAlDato</w:t>
            </w:r>
          </w:p>
          <w:p w:rsidR="00481547" w:rsidRPr="00481547" w:rsidRDefault="00481547" w:rsidP="00481547">
            <w:pPr>
              <w:pStyle w:val="Prrafodelista"/>
              <w:spacing w:after="0"/>
              <w:ind w:left="360"/>
              <w:jc w:val="both"/>
              <w:rPr>
                <w:rFonts w:ascii="Times New Roman" w:eastAsia="Times New Roman" w:hAnsi="Times New Roman"/>
                <w:lang w:val="es-ES" w:eastAsia="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Haz un ciudadano feliz:</w:t>
            </w:r>
            <w:r w:rsidRPr="00481547">
              <w:rPr>
                <w:rFonts w:ascii="Times New Roman" w:hAnsi="Times New Roman"/>
                <w:lang w:val="es-ES"/>
              </w:rPr>
              <w:t xml:space="preserve"> se produjeron diferentes piezas gráficas para sensibilizar a los funcionarios y darles </w:t>
            </w:r>
            <w:r w:rsidR="00481547" w:rsidRPr="00481547">
              <w:rPr>
                <w:rFonts w:ascii="Times New Roman" w:hAnsi="Times New Roman"/>
                <w:lang w:val="es-ES"/>
              </w:rPr>
              <w:t>tips</w:t>
            </w:r>
            <w:r w:rsidRPr="00481547">
              <w:rPr>
                <w:rFonts w:ascii="Times New Roman" w:hAnsi="Times New Roman"/>
                <w:lang w:val="es-ES"/>
              </w:rPr>
              <w:t xml:space="preserve"> sobre el trato que deben dar a los ciudadanos que llaman, escriben o visitan la SDP. Esta campaña inició con una Trivia Ciudadana que buscó poner a los funcionarios en los zapatos de los ciudadanos cuando hacen alguna solicitud. </w:t>
            </w:r>
          </w:p>
          <w:p w:rsidR="00481547" w:rsidRPr="00481547" w:rsidRDefault="00481547" w:rsidP="00481547">
            <w:pPr>
              <w:pStyle w:val="Prrafodelista"/>
              <w:rPr>
                <w:rFonts w:ascii="Times New Roman" w:hAnsi="Times New Roman"/>
                <w:b/>
                <w:lang w:val="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 xml:space="preserve">Participación POT: </w:t>
            </w:r>
            <w:r w:rsidRPr="00481547">
              <w:rPr>
                <w:rFonts w:ascii="Times New Roman" w:hAnsi="Times New Roman"/>
                <w:lang w:val="es-ES"/>
              </w:rPr>
              <w:t xml:space="preserve">Se divulgaron al interior de la entidad las invitaciones de las diferentes jornadas de socialización POT que se han realizado en las localidades. También se apoyó la socialización que realizó el Secretario Andrés Ortiz a todos los funcionarios de la entidad.  </w:t>
            </w:r>
          </w:p>
          <w:p w:rsidR="00481547" w:rsidRPr="00481547" w:rsidRDefault="00481547" w:rsidP="00481547">
            <w:pPr>
              <w:pStyle w:val="Prrafodelista"/>
              <w:rPr>
                <w:rFonts w:ascii="Times New Roman" w:hAnsi="Times New Roman"/>
                <w:b/>
                <w:lang w:val="es-ES"/>
              </w:rPr>
            </w:pPr>
          </w:p>
          <w:p w:rsidR="00481547"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Plan Padrino’ de Transmilenio:</w:t>
            </w:r>
            <w:r w:rsidRPr="00481547">
              <w:rPr>
                <w:rFonts w:ascii="Times New Roman" w:hAnsi="Times New Roman"/>
                <w:lang w:val="es-ES"/>
              </w:rPr>
              <w:t xml:space="preserve"> se apoyó a Transmilenio en la socialización de las nuevas rutas fáciles. Se convocó un grupo de funcionarios para que salieran a la estación Virrey el pasado 17 de junio, a contarle a la ciudadanía sobre estos cambios.  También se divulgaron las piezas gráficas distritales al interior de la entidad. </w:t>
            </w:r>
          </w:p>
          <w:p w:rsidR="00481547" w:rsidRPr="00481547" w:rsidRDefault="00481547" w:rsidP="00481547">
            <w:pPr>
              <w:pStyle w:val="Prrafodelista"/>
              <w:rPr>
                <w:rFonts w:ascii="Times New Roman" w:hAnsi="Times New Roman"/>
                <w:b/>
                <w:lang w:val="es-ES"/>
              </w:rPr>
            </w:pPr>
          </w:p>
          <w:p w:rsidR="00481547" w:rsidRPr="00481547" w:rsidRDefault="00DD35C2" w:rsidP="00481547">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Tenemos algo en común:</w:t>
            </w:r>
            <w:r w:rsidRPr="00481547">
              <w:rPr>
                <w:rFonts w:ascii="Times New Roman" w:hAnsi="Times New Roman"/>
                <w:lang w:val="es-ES"/>
              </w:rPr>
              <w:t xml:space="preserve"> apoyamos la divulgación de la campaña distrital ‘Tenemos algo en común’, que busca mostrar que todos somos diferentes pero tenemos cosas en común. Las piezas se han emitido por nuestro correo masivo las piezas y se han dispuesto en nuestras carteleras virtuales.</w:t>
            </w:r>
          </w:p>
          <w:p w:rsidR="00481547" w:rsidRPr="00481547" w:rsidRDefault="00481547" w:rsidP="00481547">
            <w:pPr>
              <w:pStyle w:val="Prrafodelista"/>
              <w:rPr>
                <w:rFonts w:ascii="Times New Roman" w:hAnsi="Times New Roman"/>
                <w:b/>
                <w:lang w:val="es-ES"/>
              </w:rPr>
            </w:pPr>
          </w:p>
          <w:p w:rsidR="00DD35C2" w:rsidRPr="00481547" w:rsidRDefault="00DD35C2" w:rsidP="002A66C6">
            <w:pPr>
              <w:pStyle w:val="Prrafodelista"/>
              <w:numPr>
                <w:ilvl w:val="0"/>
                <w:numId w:val="24"/>
              </w:numPr>
              <w:spacing w:after="0"/>
              <w:jc w:val="both"/>
              <w:rPr>
                <w:rFonts w:ascii="Times New Roman" w:eastAsia="Times New Roman" w:hAnsi="Times New Roman"/>
                <w:lang w:val="es-ES" w:eastAsia="es-ES"/>
              </w:rPr>
            </w:pPr>
            <w:r w:rsidRPr="00481547">
              <w:rPr>
                <w:rFonts w:ascii="Times New Roman" w:hAnsi="Times New Roman"/>
                <w:b/>
                <w:lang w:val="es-ES"/>
              </w:rPr>
              <w:t>Visibilización de información relevante, proyectos y decisiones de interés interno</w:t>
            </w:r>
            <w:r w:rsidR="00481547">
              <w:rPr>
                <w:rFonts w:ascii="Times New Roman" w:hAnsi="Times New Roman"/>
                <w:b/>
                <w:lang w:val="es-ES"/>
              </w:rPr>
              <w:t xml:space="preserve">: </w:t>
            </w:r>
            <w:r w:rsidRPr="00481547">
              <w:rPr>
                <w:rFonts w:ascii="Times New Roman" w:hAnsi="Times New Roman"/>
                <w:lang w:val="es-ES"/>
              </w:rPr>
              <w:t>A través de los medios de comunicación de la SDP. Esto con el apoyo de todas las diferentes subsecretarías, oficinas y direcciones.</w:t>
            </w:r>
            <w:r w:rsidRPr="00481547">
              <w:rPr>
                <w:rFonts w:ascii="Times New Roman" w:hAnsi="Times New Roman"/>
                <w:i/>
                <w:iCs/>
                <w:color w:val="222222"/>
                <w:shd w:val="clear" w:color="auto" w:fill="FFFFFF"/>
              </w:rPr>
              <w:t xml:space="preserve"> </w:t>
            </w:r>
          </w:p>
          <w:p w:rsidR="00FA6B7D" w:rsidRPr="006C2538" w:rsidRDefault="00FA6B7D" w:rsidP="002A66C6">
            <w:pPr>
              <w:jc w:val="both"/>
              <w:rPr>
                <w:rFonts w:ascii="Times New Roman" w:hAnsi="Times New Roman"/>
                <w:color w:val="222222"/>
                <w:sz w:val="22"/>
                <w:szCs w:val="22"/>
                <w:lang w:eastAsia="es-CO"/>
              </w:rPr>
            </w:pPr>
          </w:p>
        </w:tc>
      </w:tr>
      <w:tr w:rsidR="004832DC" w:rsidRPr="006C2538" w:rsidTr="00E23F2B">
        <w:tc>
          <w:tcPr>
            <w:tcW w:w="9322" w:type="dxa"/>
          </w:tcPr>
          <w:p w:rsidR="005A3909" w:rsidRPr="006C2538" w:rsidRDefault="005A3909" w:rsidP="002A66C6">
            <w:pPr>
              <w:pStyle w:val="Default"/>
              <w:jc w:val="both"/>
              <w:rPr>
                <w:b/>
                <w:bCs/>
                <w:sz w:val="22"/>
                <w:szCs w:val="22"/>
                <w:lang w:val="es-ES_tradnl"/>
              </w:rPr>
            </w:pPr>
          </w:p>
          <w:p w:rsidR="007E2FF1" w:rsidRDefault="004832DC" w:rsidP="00F211E3">
            <w:pPr>
              <w:jc w:val="both"/>
              <w:rPr>
                <w:rFonts w:ascii="Times New Roman" w:hAnsi="Times New Roman"/>
                <w:bCs/>
                <w:sz w:val="22"/>
                <w:szCs w:val="22"/>
                <w:lang w:val="es-ES"/>
              </w:rPr>
            </w:pPr>
            <w:r w:rsidRPr="006C2538">
              <w:rPr>
                <w:rFonts w:ascii="Times New Roman" w:hAnsi="Times New Roman"/>
                <w:b/>
                <w:bCs/>
                <w:sz w:val="22"/>
                <w:szCs w:val="22"/>
              </w:rPr>
              <w:t>DIFICULTADES:</w:t>
            </w:r>
            <w:r w:rsidR="00B60025" w:rsidRPr="006C2538">
              <w:rPr>
                <w:rFonts w:ascii="Times New Roman" w:hAnsi="Times New Roman"/>
                <w:bCs/>
                <w:sz w:val="22"/>
                <w:szCs w:val="22"/>
                <w:lang w:val="es-ES"/>
              </w:rPr>
              <w:t xml:space="preserve"> </w:t>
            </w:r>
            <w:r w:rsidR="00481547">
              <w:rPr>
                <w:rFonts w:ascii="Times New Roman" w:hAnsi="Times New Roman"/>
                <w:bCs/>
                <w:sz w:val="22"/>
                <w:szCs w:val="22"/>
                <w:lang w:val="es-ES"/>
              </w:rPr>
              <w:t xml:space="preserve">Si bien desde la vigencia anterior la entidad implementó algunas estrategias relacionadas con la vinculación de un gran número de funcionarios nuevos, en virtud del concurso de méritos 323; es necesario el fortalecimiento de algunos mecanismos mediante los cuales se pueda conservar la memoria institucional </w:t>
            </w:r>
            <w:r w:rsidR="00F211E3">
              <w:rPr>
                <w:rFonts w:ascii="Times New Roman" w:hAnsi="Times New Roman"/>
                <w:bCs/>
                <w:sz w:val="22"/>
                <w:szCs w:val="22"/>
                <w:lang w:val="es-ES"/>
              </w:rPr>
              <w:t xml:space="preserve">y capitalizar la experiencia </w:t>
            </w:r>
            <w:r w:rsidR="00481547">
              <w:rPr>
                <w:rFonts w:ascii="Times New Roman" w:hAnsi="Times New Roman"/>
                <w:bCs/>
                <w:sz w:val="22"/>
                <w:szCs w:val="22"/>
                <w:lang w:val="es-ES"/>
              </w:rPr>
              <w:t xml:space="preserve">de los funcionarios que dejan sus cargos, ya que en la mayoría de los casos llevan vinculados varios años a la entidad y en el momento de su retiro es importante </w:t>
            </w:r>
            <w:r w:rsidR="00F211E3">
              <w:rPr>
                <w:rFonts w:ascii="Times New Roman" w:hAnsi="Times New Roman"/>
                <w:bCs/>
                <w:sz w:val="22"/>
                <w:szCs w:val="22"/>
                <w:lang w:val="es-ES"/>
              </w:rPr>
              <w:t xml:space="preserve">implementar estrategias que permitan </w:t>
            </w:r>
            <w:r w:rsidR="00481547">
              <w:rPr>
                <w:rFonts w:ascii="Times New Roman" w:hAnsi="Times New Roman"/>
                <w:bCs/>
                <w:sz w:val="22"/>
                <w:szCs w:val="22"/>
                <w:lang w:val="es-ES"/>
              </w:rPr>
              <w:t xml:space="preserve">conservar </w:t>
            </w:r>
            <w:r w:rsidR="00F211E3">
              <w:rPr>
                <w:rFonts w:ascii="Times New Roman" w:hAnsi="Times New Roman"/>
                <w:bCs/>
                <w:sz w:val="22"/>
                <w:szCs w:val="22"/>
                <w:lang w:val="es-ES"/>
              </w:rPr>
              <w:t xml:space="preserve">dicha </w:t>
            </w:r>
            <w:r w:rsidR="00481547">
              <w:rPr>
                <w:rFonts w:ascii="Times New Roman" w:hAnsi="Times New Roman"/>
                <w:bCs/>
                <w:sz w:val="22"/>
                <w:szCs w:val="22"/>
                <w:lang w:val="es-ES"/>
              </w:rPr>
              <w:t xml:space="preserve">información </w:t>
            </w:r>
            <w:r w:rsidR="00F211E3">
              <w:rPr>
                <w:rFonts w:ascii="Times New Roman" w:hAnsi="Times New Roman"/>
                <w:bCs/>
                <w:sz w:val="22"/>
                <w:szCs w:val="22"/>
                <w:lang w:val="es-ES"/>
              </w:rPr>
              <w:t>laboral.</w:t>
            </w:r>
          </w:p>
          <w:p w:rsidR="00F211E3" w:rsidRPr="00F211E3" w:rsidRDefault="00F211E3" w:rsidP="00F211E3">
            <w:pPr>
              <w:jc w:val="both"/>
              <w:rPr>
                <w:rFonts w:ascii="Times New Roman" w:hAnsi="Times New Roman"/>
                <w:sz w:val="22"/>
                <w:szCs w:val="22"/>
                <w:lang w:val="es-ES"/>
              </w:rPr>
            </w:pPr>
          </w:p>
        </w:tc>
      </w:tr>
    </w:tbl>
    <w:p w:rsidR="0012640D" w:rsidRPr="006C2538" w:rsidRDefault="0012640D" w:rsidP="002A66C6">
      <w:pPr>
        <w:ind w:right="-1"/>
        <w:jc w:val="both"/>
        <w:rPr>
          <w:rFonts w:ascii="Times New Roman" w:hAnsi="Times New Roman"/>
          <w:sz w:val="22"/>
          <w:szCs w:val="22"/>
        </w:rPr>
      </w:pPr>
    </w:p>
    <w:sectPr w:rsidR="0012640D" w:rsidRPr="006C2538" w:rsidSect="002753A6">
      <w:headerReference w:type="default" r:id="rId10"/>
      <w:footerReference w:type="default" r:id="rId11"/>
      <w:pgSz w:w="11906" w:h="16838"/>
      <w:pgMar w:top="1985" w:right="1134" w:bottom="1418" w:left="1701"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04" w:rsidRDefault="00232504">
      <w:r>
        <w:separator/>
      </w:r>
    </w:p>
  </w:endnote>
  <w:endnote w:type="continuationSeparator" w:id="0">
    <w:p w:rsidR="00232504" w:rsidRDefault="0023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rsidP="002753A6">
    <w:pPr>
      <w:jc w:val="right"/>
    </w:pPr>
    <w:r>
      <w:rPr>
        <w:rFonts w:ascii="Tahoma" w:hAnsi="Tahoma" w:cs="Tahoma"/>
        <w:noProof/>
        <w:sz w:val="16"/>
        <w:lang w:val="es-CO" w:eastAsia="es-CO"/>
      </w:rPr>
      <w:drawing>
        <wp:inline distT="0" distB="0" distL="0" distR="0">
          <wp:extent cx="5638800" cy="809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809625"/>
                  </a:xfrm>
                  <a:prstGeom prst="rect">
                    <a:avLst/>
                  </a:prstGeom>
                  <a:noFill/>
                  <a:ln>
                    <a:noFill/>
                  </a:ln>
                </pic:spPr>
              </pic:pic>
            </a:graphicData>
          </a:graphic>
        </wp:inline>
      </w:drawing>
    </w:r>
    <w:r>
      <w:rPr>
        <w:rFonts w:ascii="Tahoma" w:hAnsi="Tahoma" w:cs="Tahom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04" w:rsidRDefault="00232504">
      <w:r>
        <w:separator/>
      </w:r>
    </w:p>
  </w:footnote>
  <w:footnote w:type="continuationSeparator" w:id="0">
    <w:p w:rsidR="00232504" w:rsidRDefault="0023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pPr>
      <w:pStyle w:val="Encabezado"/>
      <w:jc w:val="center"/>
    </w:pPr>
    <w:r>
      <w:rPr>
        <w:noProof/>
        <w:lang w:val="es-CO" w:eastAsia="es-CO"/>
      </w:rPr>
      <w:drawing>
        <wp:inline distT="0" distB="0" distL="0" distR="0">
          <wp:extent cx="723900" cy="695325"/>
          <wp:effectExtent l="0" t="0" r="0" b="9525"/>
          <wp:docPr id="2" name="Imagen 2" descr="logo_SD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DP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482"/>
    <w:multiLevelType w:val="hybridMultilevel"/>
    <w:tmpl w:val="4E1A961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8CB0341"/>
    <w:multiLevelType w:val="hybridMultilevel"/>
    <w:tmpl w:val="E93091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CA00D80"/>
    <w:multiLevelType w:val="hybridMultilevel"/>
    <w:tmpl w:val="1B025F7C"/>
    <w:lvl w:ilvl="0" w:tplc="0C0A0005">
      <w:start w:val="1"/>
      <w:numFmt w:val="bullet"/>
      <w:lvlText w:val=""/>
      <w:lvlJc w:val="left"/>
      <w:pPr>
        <w:ind w:left="502" w:hanging="360"/>
      </w:pPr>
      <w:rPr>
        <w:rFonts w:ascii="Wingdings" w:hAnsi="Wingding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389247D"/>
    <w:multiLevelType w:val="hybridMultilevel"/>
    <w:tmpl w:val="F410ABF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C15FEC"/>
    <w:multiLevelType w:val="hybridMultilevel"/>
    <w:tmpl w:val="291A3EB0"/>
    <w:lvl w:ilvl="0" w:tplc="0C0A000D">
      <w:start w:val="1"/>
      <w:numFmt w:val="bullet"/>
      <w:lvlText w:val=""/>
      <w:lvlJc w:val="left"/>
      <w:pPr>
        <w:ind w:left="623" w:hanging="360"/>
      </w:pPr>
      <w:rPr>
        <w:rFonts w:ascii="Wingdings" w:hAnsi="Wingdings" w:hint="default"/>
      </w:rPr>
    </w:lvl>
    <w:lvl w:ilvl="1" w:tplc="0C0A0003" w:tentative="1">
      <w:start w:val="1"/>
      <w:numFmt w:val="bullet"/>
      <w:lvlText w:val="o"/>
      <w:lvlJc w:val="left"/>
      <w:pPr>
        <w:ind w:left="1343" w:hanging="360"/>
      </w:pPr>
      <w:rPr>
        <w:rFonts w:ascii="Courier New" w:hAnsi="Courier New" w:cs="Courier New" w:hint="default"/>
      </w:rPr>
    </w:lvl>
    <w:lvl w:ilvl="2" w:tplc="0C0A0005" w:tentative="1">
      <w:start w:val="1"/>
      <w:numFmt w:val="bullet"/>
      <w:lvlText w:val=""/>
      <w:lvlJc w:val="left"/>
      <w:pPr>
        <w:ind w:left="2063" w:hanging="360"/>
      </w:pPr>
      <w:rPr>
        <w:rFonts w:ascii="Wingdings" w:hAnsi="Wingdings" w:hint="default"/>
      </w:rPr>
    </w:lvl>
    <w:lvl w:ilvl="3" w:tplc="0C0A0001" w:tentative="1">
      <w:start w:val="1"/>
      <w:numFmt w:val="bullet"/>
      <w:lvlText w:val=""/>
      <w:lvlJc w:val="left"/>
      <w:pPr>
        <w:ind w:left="2783" w:hanging="360"/>
      </w:pPr>
      <w:rPr>
        <w:rFonts w:ascii="Symbol" w:hAnsi="Symbol" w:hint="default"/>
      </w:rPr>
    </w:lvl>
    <w:lvl w:ilvl="4" w:tplc="0C0A0003" w:tentative="1">
      <w:start w:val="1"/>
      <w:numFmt w:val="bullet"/>
      <w:lvlText w:val="o"/>
      <w:lvlJc w:val="left"/>
      <w:pPr>
        <w:ind w:left="3503" w:hanging="360"/>
      </w:pPr>
      <w:rPr>
        <w:rFonts w:ascii="Courier New" w:hAnsi="Courier New" w:cs="Courier New" w:hint="default"/>
      </w:rPr>
    </w:lvl>
    <w:lvl w:ilvl="5" w:tplc="0C0A0005" w:tentative="1">
      <w:start w:val="1"/>
      <w:numFmt w:val="bullet"/>
      <w:lvlText w:val=""/>
      <w:lvlJc w:val="left"/>
      <w:pPr>
        <w:ind w:left="4223" w:hanging="360"/>
      </w:pPr>
      <w:rPr>
        <w:rFonts w:ascii="Wingdings" w:hAnsi="Wingdings" w:hint="default"/>
      </w:rPr>
    </w:lvl>
    <w:lvl w:ilvl="6" w:tplc="0C0A0001" w:tentative="1">
      <w:start w:val="1"/>
      <w:numFmt w:val="bullet"/>
      <w:lvlText w:val=""/>
      <w:lvlJc w:val="left"/>
      <w:pPr>
        <w:ind w:left="4943" w:hanging="360"/>
      </w:pPr>
      <w:rPr>
        <w:rFonts w:ascii="Symbol" w:hAnsi="Symbol" w:hint="default"/>
      </w:rPr>
    </w:lvl>
    <w:lvl w:ilvl="7" w:tplc="0C0A0003" w:tentative="1">
      <w:start w:val="1"/>
      <w:numFmt w:val="bullet"/>
      <w:lvlText w:val="o"/>
      <w:lvlJc w:val="left"/>
      <w:pPr>
        <w:ind w:left="5663" w:hanging="360"/>
      </w:pPr>
      <w:rPr>
        <w:rFonts w:ascii="Courier New" w:hAnsi="Courier New" w:cs="Courier New" w:hint="default"/>
      </w:rPr>
    </w:lvl>
    <w:lvl w:ilvl="8" w:tplc="0C0A0005" w:tentative="1">
      <w:start w:val="1"/>
      <w:numFmt w:val="bullet"/>
      <w:lvlText w:val=""/>
      <w:lvlJc w:val="left"/>
      <w:pPr>
        <w:ind w:left="6383" w:hanging="360"/>
      </w:pPr>
      <w:rPr>
        <w:rFonts w:ascii="Wingdings" w:hAnsi="Wingdings" w:hint="default"/>
      </w:rPr>
    </w:lvl>
  </w:abstractNum>
  <w:abstractNum w:abstractNumId="5">
    <w:nsid w:val="17E309FD"/>
    <w:multiLevelType w:val="hybridMultilevel"/>
    <w:tmpl w:val="B9406A5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EBE1356"/>
    <w:multiLevelType w:val="hybridMultilevel"/>
    <w:tmpl w:val="DDB06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5279E6"/>
    <w:multiLevelType w:val="multilevel"/>
    <w:tmpl w:val="05F0144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8E67F0"/>
    <w:multiLevelType w:val="hybridMultilevel"/>
    <w:tmpl w:val="036EE6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B9B1CA1"/>
    <w:multiLevelType w:val="hybridMultilevel"/>
    <w:tmpl w:val="183CF9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321435"/>
    <w:multiLevelType w:val="hybridMultilevel"/>
    <w:tmpl w:val="0622C2AC"/>
    <w:lvl w:ilvl="0" w:tplc="F4C23B7C">
      <w:start w:val="1"/>
      <w:numFmt w:val="bullet"/>
      <w:lvlText w:val=""/>
      <w:lvlJc w:val="left"/>
      <w:pPr>
        <w:ind w:left="360" w:hanging="360"/>
      </w:pPr>
      <w:rPr>
        <w:rFonts w:ascii="Wingdings" w:hAnsi="Wingding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68559A4"/>
    <w:multiLevelType w:val="hybridMultilevel"/>
    <w:tmpl w:val="557E5C14"/>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2929A3"/>
    <w:multiLevelType w:val="hybridMultilevel"/>
    <w:tmpl w:val="FF5E45A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B7C4EC1"/>
    <w:multiLevelType w:val="hybridMultilevel"/>
    <w:tmpl w:val="F488CE14"/>
    <w:lvl w:ilvl="0" w:tplc="0C0A000D">
      <w:start w:val="1"/>
      <w:numFmt w:val="bullet"/>
      <w:lvlText w:val=""/>
      <w:lvlJc w:val="left"/>
      <w:pPr>
        <w:ind w:left="1068" w:hanging="360"/>
      </w:pPr>
      <w:rPr>
        <w:rFonts w:ascii="Wingdings" w:hAnsi="Wingdings" w:hint="default"/>
      </w:rPr>
    </w:lvl>
    <w:lvl w:ilvl="1" w:tplc="0C0A000D">
      <w:start w:val="1"/>
      <w:numFmt w:val="bullet"/>
      <w:lvlText w:val=""/>
      <w:lvlJc w:val="left"/>
      <w:pPr>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BAA2596"/>
    <w:multiLevelType w:val="hybridMultilevel"/>
    <w:tmpl w:val="2AD247A6"/>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CAF4F67"/>
    <w:multiLevelType w:val="hybridMultilevel"/>
    <w:tmpl w:val="769C9D0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950548E"/>
    <w:multiLevelType w:val="hybridMultilevel"/>
    <w:tmpl w:val="35DA42C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ABC51D4"/>
    <w:multiLevelType w:val="hybridMultilevel"/>
    <w:tmpl w:val="005C2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DB57074"/>
    <w:multiLevelType w:val="hybridMultilevel"/>
    <w:tmpl w:val="DE46E6E0"/>
    <w:lvl w:ilvl="0" w:tplc="0C0A000D">
      <w:start w:val="1"/>
      <w:numFmt w:val="bullet"/>
      <w:lvlText w:val=""/>
      <w:lvlJc w:val="left"/>
      <w:pPr>
        <w:ind w:left="862" w:hanging="360"/>
      </w:pPr>
      <w:rPr>
        <w:rFonts w:ascii="Wingdings" w:hAnsi="Wingdings" w:hint="default"/>
      </w:rPr>
    </w:lvl>
    <w:lvl w:ilvl="1" w:tplc="240A0003">
      <w:start w:val="1"/>
      <w:numFmt w:val="bullet"/>
      <w:lvlText w:val="o"/>
      <w:lvlJc w:val="left"/>
      <w:pPr>
        <w:ind w:left="1582" w:hanging="360"/>
      </w:pPr>
      <w:rPr>
        <w:rFonts w:ascii="Courier New" w:hAnsi="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9">
    <w:nsid w:val="52C210EB"/>
    <w:multiLevelType w:val="hybridMultilevel"/>
    <w:tmpl w:val="2C088D3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CBD6C13"/>
    <w:multiLevelType w:val="hybridMultilevel"/>
    <w:tmpl w:val="E392E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CE4260C"/>
    <w:multiLevelType w:val="hybridMultilevel"/>
    <w:tmpl w:val="97BA4600"/>
    <w:lvl w:ilvl="0" w:tplc="0C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05C43E0"/>
    <w:multiLevelType w:val="multilevel"/>
    <w:tmpl w:val="63DA03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B484F3E"/>
    <w:multiLevelType w:val="hybridMultilevel"/>
    <w:tmpl w:val="82BE27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2"/>
  </w:num>
  <w:num w:numId="4">
    <w:abstractNumId w:val="15"/>
  </w:num>
  <w:num w:numId="5">
    <w:abstractNumId w:val="18"/>
  </w:num>
  <w:num w:numId="6">
    <w:abstractNumId w:val="21"/>
  </w:num>
  <w:num w:numId="7">
    <w:abstractNumId w:val="13"/>
  </w:num>
  <w:num w:numId="8">
    <w:abstractNumId w:val="11"/>
  </w:num>
  <w:num w:numId="9">
    <w:abstractNumId w:val="14"/>
  </w:num>
  <w:num w:numId="10">
    <w:abstractNumId w:val="5"/>
  </w:num>
  <w:num w:numId="11">
    <w:abstractNumId w:val="2"/>
  </w:num>
  <w:num w:numId="12">
    <w:abstractNumId w:val="3"/>
  </w:num>
  <w:num w:numId="13">
    <w:abstractNumId w:val="8"/>
  </w:num>
  <w:num w:numId="14">
    <w:abstractNumId w:val="16"/>
  </w:num>
  <w:num w:numId="15">
    <w:abstractNumId w:val="4"/>
  </w:num>
  <w:num w:numId="16">
    <w:abstractNumId w:val="10"/>
  </w:num>
  <w:num w:numId="17">
    <w:abstractNumId w:val="12"/>
  </w:num>
  <w:num w:numId="18">
    <w:abstractNumId w:val="0"/>
  </w:num>
  <w:num w:numId="19">
    <w:abstractNumId w:val="19"/>
  </w:num>
  <w:num w:numId="20">
    <w:abstractNumId w:val="9"/>
  </w:num>
  <w:num w:numId="21">
    <w:abstractNumId w:val="20"/>
  </w:num>
  <w:num w:numId="22">
    <w:abstractNumId w:val="23"/>
  </w:num>
  <w:num w:numId="23">
    <w:abstractNumId w:val="6"/>
  </w:num>
  <w:num w:numId="2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0F"/>
    <w:rsid w:val="00002E8C"/>
    <w:rsid w:val="000046E3"/>
    <w:rsid w:val="000054E6"/>
    <w:rsid w:val="00006A4D"/>
    <w:rsid w:val="00006AF4"/>
    <w:rsid w:val="00007AED"/>
    <w:rsid w:val="00010974"/>
    <w:rsid w:val="00011BCB"/>
    <w:rsid w:val="0001247F"/>
    <w:rsid w:val="000129AF"/>
    <w:rsid w:val="00012F87"/>
    <w:rsid w:val="0001324C"/>
    <w:rsid w:val="000135E5"/>
    <w:rsid w:val="00013AC2"/>
    <w:rsid w:val="000140B5"/>
    <w:rsid w:val="0001422F"/>
    <w:rsid w:val="00014A45"/>
    <w:rsid w:val="00015C26"/>
    <w:rsid w:val="00017E69"/>
    <w:rsid w:val="000207D1"/>
    <w:rsid w:val="00021817"/>
    <w:rsid w:val="000370AC"/>
    <w:rsid w:val="00040B6C"/>
    <w:rsid w:val="00043B1D"/>
    <w:rsid w:val="000450AF"/>
    <w:rsid w:val="000454A8"/>
    <w:rsid w:val="0004633A"/>
    <w:rsid w:val="00046561"/>
    <w:rsid w:val="00046C4C"/>
    <w:rsid w:val="000478C7"/>
    <w:rsid w:val="000525BD"/>
    <w:rsid w:val="00053099"/>
    <w:rsid w:val="000542A7"/>
    <w:rsid w:val="00055F2E"/>
    <w:rsid w:val="000565C8"/>
    <w:rsid w:val="0005790E"/>
    <w:rsid w:val="00060BF1"/>
    <w:rsid w:val="0006320E"/>
    <w:rsid w:val="00064058"/>
    <w:rsid w:val="00067576"/>
    <w:rsid w:val="00067651"/>
    <w:rsid w:val="00067B9A"/>
    <w:rsid w:val="00067D6E"/>
    <w:rsid w:val="00067FC7"/>
    <w:rsid w:val="00070E13"/>
    <w:rsid w:val="0007330A"/>
    <w:rsid w:val="00073962"/>
    <w:rsid w:val="000749E8"/>
    <w:rsid w:val="00074C47"/>
    <w:rsid w:val="000758AC"/>
    <w:rsid w:val="00076598"/>
    <w:rsid w:val="0007799F"/>
    <w:rsid w:val="000808B6"/>
    <w:rsid w:val="00083760"/>
    <w:rsid w:val="00084229"/>
    <w:rsid w:val="00085918"/>
    <w:rsid w:val="00086004"/>
    <w:rsid w:val="00087AF0"/>
    <w:rsid w:val="0009504B"/>
    <w:rsid w:val="00095D44"/>
    <w:rsid w:val="00095F84"/>
    <w:rsid w:val="00097823"/>
    <w:rsid w:val="000A0D8F"/>
    <w:rsid w:val="000A19E1"/>
    <w:rsid w:val="000A2773"/>
    <w:rsid w:val="000A2B66"/>
    <w:rsid w:val="000A686A"/>
    <w:rsid w:val="000B4314"/>
    <w:rsid w:val="000B4F81"/>
    <w:rsid w:val="000B53D4"/>
    <w:rsid w:val="000C1AF6"/>
    <w:rsid w:val="000C207F"/>
    <w:rsid w:val="000C2C99"/>
    <w:rsid w:val="000C347A"/>
    <w:rsid w:val="000C49B9"/>
    <w:rsid w:val="000C755F"/>
    <w:rsid w:val="000D00EE"/>
    <w:rsid w:val="000D086D"/>
    <w:rsid w:val="000D15F8"/>
    <w:rsid w:val="000D1CEA"/>
    <w:rsid w:val="000D21CF"/>
    <w:rsid w:val="000D5695"/>
    <w:rsid w:val="000D5EC4"/>
    <w:rsid w:val="000D7993"/>
    <w:rsid w:val="000E1460"/>
    <w:rsid w:val="000E1FE7"/>
    <w:rsid w:val="000E429A"/>
    <w:rsid w:val="000F111C"/>
    <w:rsid w:val="000F292A"/>
    <w:rsid w:val="000F306B"/>
    <w:rsid w:val="000F3F48"/>
    <w:rsid w:val="000F429E"/>
    <w:rsid w:val="000F5913"/>
    <w:rsid w:val="000F753C"/>
    <w:rsid w:val="00100F3E"/>
    <w:rsid w:val="00101768"/>
    <w:rsid w:val="001030BE"/>
    <w:rsid w:val="00103417"/>
    <w:rsid w:val="00103E09"/>
    <w:rsid w:val="00105CC6"/>
    <w:rsid w:val="00106A75"/>
    <w:rsid w:val="00110D24"/>
    <w:rsid w:val="0011245B"/>
    <w:rsid w:val="00120D61"/>
    <w:rsid w:val="00120FF4"/>
    <w:rsid w:val="00122ECB"/>
    <w:rsid w:val="0012466F"/>
    <w:rsid w:val="00125CC2"/>
    <w:rsid w:val="0012640D"/>
    <w:rsid w:val="00126D0C"/>
    <w:rsid w:val="001300C2"/>
    <w:rsid w:val="001303A4"/>
    <w:rsid w:val="00131A39"/>
    <w:rsid w:val="00132396"/>
    <w:rsid w:val="00132842"/>
    <w:rsid w:val="00134BD2"/>
    <w:rsid w:val="00135748"/>
    <w:rsid w:val="001365A8"/>
    <w:rsid w:val="00141680"/>
    <w:rsid w:val="0014194F"/>
    <w:rsid w:val="00144870"/>
    <w:rsid w:val="00147624"/>
    <w:rsid w:val="00155807"/>
    <w:rsid w:val="001558D6"/>
    <w:rsid w:val="00160220"/>
    <w:rsid w:val="00160CC9"/>
    <w:rsid w:val="001617DB"/>
    <w:rsid w:val="0016193F"/>
    <w:rsid w:val="00162178"/>
    <w:rsid w:val="00165DC0"/>
    <w:rsid w:val="00166D92"/>
    <w:rsid w:val="00167171"/>
    <w:rsid w:val="00167597"/>
    <w:rsid w:val="00171484"/>
    <w:rsid w:val="0017169E"/>
    <w:rsid w:val="00171F37"/>
    <w:rsid w:val="0017306E"/>
    <w:rsid w:val="001749A1"/>
    <w:rsid w:val="001764A0"/>
    <w:rsid w:val="00177724"/>
    <w:rsid w:val="00181A9F"/>
    <w:rsid w:val="001833D8"/>
    <w:rsid w:val="001860DC"/>
    <w:rsid w:val="0018722F"/>
    <w:rsid w:val="0019229D"/>
    <w:rsid w:val="00193BE4"/>
    <w:rsid w:val="00193D1A"/>
    <w:rsid w:val="00193E17"/>
    <w:rsid w:val="00193EA4"/>
    <w:rsid w:val="001955A3"/>
    <w:rsid w:val="00197D16"/>
    <w:rsid w:val="001A1388"/>
    <w:rsid w:val="001A18D3"/>
    <w:rsid w:val="001A22D7"/>
    <w:rsid w:val="001A26CA"/>
    <w:rsid w:val="001A340F"/>
    <w:rsid w:val="001A44DE"/>
    <w:rsid w:val="001C0321"/>
    <w:rsid w:val="001C1787"/>
    <w:rsid w:val="001C2E21"/>
    <w:rsid w:val="001C3D4C"/>
    <w:rsid w:val="001C541A"/>
    <w:rsid w:val="001C5CB0"/>
    <w:rsid w:val="001D0002"/>
    <w:rsid w:val="001D19A0"/>
    <w:rsid w:val="001D21D7"/>
    <w:rsid w:val="001D395A"/>
    <w:rsid w:val="001D3E00"/>
    <w:rsid w:val="001D3E6D"/>
    <w:rsid w:val="001D5178"/>
    <w:rsid w:val="001D6917"/>
    <w:rsid w:val="001E3150"/>
    <w:rsid w:val="001E3AC2"/>
    <w:rsid w:val="001E6A54"/>
    <w:rsid w:val="001E6FFB"/>
    <w:rsid w:val="001E7A88"/>
    <w:rsid w:val="001F040E"/>
    <w:rsid w:val="001F2BCD"/>
    <w:rsid w:val="001F2C45"/>
    <w:rsid w:val="001F5778"/>
    <w:rsid w:val="001F6B11"/>
    <w:rsid w:val="002002B0"/>
    <w:rsid w:val="0020062E"/>
    <w:rsid w:val="00202D24"/>
    <w:rsid w:val="002048F9"/>
    <w:rsid w:val="00205D34"/>
    <w:rsid w:val="00207601"/>
    <w:rsid w:val="00213C65"/>
    <w:rsid w:val="0021462F"/>
    <w:rsid w:val="002165C0"/>
    <w:rsid w:val="00220E83"/>
    <w:rsid w:val="00223946"/>
    <w:rsid w:val="00224606"/>
    <w:rsid w:val="0023227E"/>
    <w:rsid w:val="00232504"/>
    <w:rsid w:val="00232996"/>
    <w:rsid w:val="00232C9D"/>
    <w:rsid w:val="00233078"/>
    <w:rsid w:val="00234182"/>
    <w:rsid w:val="00240EFE"/>
    <w:rsid w:val="00242B1E"/>
    <w:rsid w:val="00244850"/>
    <w:rsid w:val="00247377"/>
    <w:rsid w:val="00247F06"/>
    <w:rsid w:val="0025142A"/>
    <w:rsid w:val="00254EDE"/>
    <w:rsid w:val="002555DA"/>
    <w:rsid w:val="00255949"/>
    <w:rsid w:val="00256324"/>
    <w:rsid w:val="00260F9D"/>
    <w:rsid w:val="0026186D"/>
    <w:rsid w:val="002632D7"/>
    <w:rsid w:val="002633FE"/>
    <w:rsid w:val="00264FE6"/>
    <w:rsid w:val="0026619A"/>
    <w:rsid w:val="00266ED1"/>
    <w:rsid w:val="002703AD"/>
    <w:rsid w:val="002709DB"/>
    <w:rsid w:val="002753A6"/>
    <w:rsid w:val="00277366"/>
    <w:rsid w:val="0027759F"/>
    <w:rsid w:val="00277F5F"/>
    <w:rsid w:val="00282DAD"/>
    <w:rsid w:val="00282DAE"/>
    <w:rsid w:val="00282E94"/>
    <w:rsid w:val="002833E9"/>
    <w:rsid w:val="0028553C"/>
    <w:rsid w:val="002928E8"/>
    <w:rsid w:val="002942E2"/>
    <w:rsid w:val="00294A94"/>
    <w:rsid w:val="0029605E"/>
    <w:rsid w:val="002A00FB"/>
    <w:rsid w:val="002A1E7F"/>
    <w:rsid w:val="002A216C"/>
    <w:rsid w:val="002A66C6"/>
    <w:rsid w:val="002B38C0"/>
    <w:rsid w:val="002B4216"/>
    <w:rsid w:val="002B66F0"/>
    <w:rsid w:val="002B6D45"/>
    <w:rsid w:val="002B7EC7"/>
    <w:rsid w:val="002C58DB"/>
    <w:rsid w:val="002D3EAB"/>
    <w:rsid w:val="002D4CF6"/>
    <w:rsid w:val="002D7233"/>
    <w:rsid w:val="002E32D0"/>
    <w:rsid w:val="002E539A"/>
    <w:rsid w:val="002F508E"/>
    <w:rsid w:val="002F5D63"/>
    <w:rsid w:val="002F7E9B"/>
    <w:rsid w:val="00303049"/>
    <w:rsid w:val="00303235"/>
    <w:rsid w:val="003035E5"/>
    <w:rsid w:val="0031201B"/>
    <w:rsid w:val="00312BE7"/>
    <w:rsid w:val="00312F84"/>
    <w:rsid w:val="0031513E"/>
    <w:rsid w:val="003213A7"/>
    <w:rsid w:val="0032186E"/>
    <w:rsid w:val="00326DE4"/>
    <w:rsid w:val="00327696"/>
    <w:rsid w:val="0033166D"/>
    <w:rsid w:val="00332682"/>
    <w:rsid w:val="00333927"/>
    <w:rsid w:val="00341813"/>
    <w:rsid w:val="003432AA"/>
    <w:rsid w:val="00345437"/>
    <w:rsid w:val="00345509"/>
    <w:rsid w:val="003467DF"/>
    <w:rsid w:val="00346E54"/>
    <w:rsid w:val="003508EF"/>
    <w:rsid w:val="00351D36"/>
    <w:rsid w:val="003538A9"/>
    <w:rsid w:val="003555E3"/>
    <w:rsid w:val="00355919"/>
    <w:rsid w:val="00356850"/>
    <w:rsid w:val="00361D11"/>
    <w:rsid w:val="003626E9"/>
    <w:rsid w:val="00363FAD"/>
    <w:rsid w:val="00365B2F"/>
    <w:rsid w:val="003679BC"/>
    <w:rsid w:val="00374094"/>
    <w:rsid w:val="0037699B"/>
    <w:rsid w:val="00380E08"/>
    <w:rsid w:val="003813AB"/>
    <w:rsid w:val="00385C92"/>
    <w:rsid w:val="00385F35"/>
    <w:rsid w:val="003864B0"/>
    <w:rsid w:val="0038749E"/>
    <w:rsid w:val="003878F2"/>
    <w:rsid w:val="0039108B"/>
    <w:rsid w:val="00392A2A"/>
    <w:rsid w:val="00393154"/>
    <w:rsid w:val="0039358B"/>
    <w:rsid w:val="00396608"/>
    <w:rsid w:val="00396B89"/>
    <w:rsid w:val="00396D52"/>
    <w:rsid w:val="003A0E71"/>
    <w:rsid w:val="003A2659"/>
    <w:rsid w:val="003A32EF"/>
    <w:rsid w:val="003A3775"/>
    <w:rsid w:val="003A4E41"/>
    <w:rsid w:val="003A5603"/>
    <w:rsid w:val="003A610A"/>
    <w:rsid w:val="003B08E7"/>
    <w:rsid w:val="003B31CE"/>
    <w:rsid w:val="003B3228"/>
    <w:rsid w:val="003B78B8"/>
    <w:rsid w:val="003C4476"/>
    <w:rsid w:val="003C6885"/>
    <w:rsid w:val="003D0B03"/>
    <w:rsid w:val="003D2239"/>
    <w:rsid w:val="003D4279"/>
    <w:rsid w:val="003D45A7"/>
    <w:rsid w:val="003D5A3F"/>
    <w:rsid w:val="003D6AE0"/>
    <w:rsid w:val="003D7970"/>
    <w:rsid w:val="003E0A19"/>
    <w:rsid w:val="003E1494"/>
    <w:rsid w:val="003E2DD1"/>
    <w:rsid w:val="003E52D6"/>
    <w:rsid w:val="003E5388"/>
    <w:rsid w:val="003E550A"/>
    <w:rsid w:val="003E5587"/>
    <w:rsid w:val="003F08FF"/>
    <w:rsid w:val="003F17CB"/>
    <w:rsid w:val="003F2713"/>
    <w:rsid w:val="003F2FB2"/>
    <w:rsid w:val="003F31A4"/>
    <w:rsid w:val="003F5215"/>
    <w:rsid w:val="00402399"/>
    <w:rsid w:val="00403638"/>
    <w:rsid w:val="00403B2F"/>
    <w:rsid w:val="00404ED6"/>
    <w:rsid w:val="0040575C"/>
    <w:rsid w:val="00405878"/>
    <w:rsid w:val="004070E4"/>
    <w:rsid w:val="00407A78"/>
    <w:rsid w:val="0041079E"/>
    <w:rsid w:val="00411325"/>
    <w:rsid w:val="00411B11"/>
    <w:rsid w:val="00411B34"/>
    <w:rsid w:val="00412AEB"/>
    <w:rsid w:val="00413CFE"/>
    <w:rsid w:val="0041513C"/>
    <w:rsid w:val="0042198F"/>
    <w:rsid w:val="00422C4C"/>
    <w:rsid w:val="00422FFE"/>
    <w:rsid w:val="00426937"/>
    <w:rsid w:val="00431B6A"/>
    <w:rsid w:val="00433319"/>
    <w:rsid w:val="00434709"/>
    <w:rsid w:val="00434B2D"/>
    <w:rsid w:val="00436140"/>
    <w:rsid w:val="00440308"/>
    <w:rsid w:val="004411F1"/>
    <w:rsid w:val="0044771E"/>
    <w:rsid w:val="0044777D"/>
    <w:rsid w:val="00452D25"/>
    <w:rsid w:val="004542A5"/>
    <w:rsid w:val="00457F81"/>
    <w:rsid w:val="00461450"/>
    <w:rsid w:val="00462E92"/>
    <w:rsid w:val="004635F6"/>
    <w:rsid w:val="00465897"/>
    <w:rsid w:val="0046611A"/>
    <w:rsid w:val="00466C34"/>
    <w:rsid w:val="00472688"/>
    <w:rsid w:val="00473E79"/>
    <w:rsid w:val="004750B4"/>
    <w:rsid w:val="00477296"/>
    <w:rsid w:val="004804B0"/>
    <w:rsid w:val="00481547"/>
    <w:rsid w:val="0048199C"/>
    <w:rsid w:val="004832DC"/>
    <w:rsid w:val="00484BB4"/>
    <w:rsid w:val="0048538C"/>
    <w:rsid w:val="004914BD"/>
    <w:rsid w:val="00491CDD"/>
    <w:rsid w:val="00491EF4"/>
    <w:rsid w:val="00492390"/>
    <w:rsid w:val="00496365"/>
    <w:rsid w:val="004A006E"/>
    <w:rsid w:val="004A01F8"/>
    <w:rsid w:val="004A68E1"/>
    <w:rsid w:val="004A70B7"/>
    <w:rsid w:val="004B109B"/>
    <w:rsid w:val="004B5D83"/>
    <w:rsid w:val="004C1B2E"/>
    <w:rsid w:val="004C453B"/>
    <w:rsid w:val="004D117B"/>
    <w:rsid w:val="004D4DCD"/>
    <w:rsid w:val="004D75E0"/>
    <w:rsid w:val="004E08B3"/>
    <w:rsid w:val="004E24A8"/>
    <w:rsid w:val="004E3C6C"/>
    <w:rsid w:val="004E4248"/>
    <w:rsid w:val="004E5104"/>
    <w:rsid w:val="004E5448"/>
    <w:rsid w:val="004E5A46"/>
    <w:rsid w:val="004E6B6F"/>
    <w:rsid w:val="004E7C94"/>
    <w:rsid w:val="004F2B38"/>
    <w:rsid w:val="004F5737"/>
    <w:rsid w:val="004F6176"/>
    <w:rsid w:val="004F6603"/>
    <w:rsid w:val="005001AA"/>
    <w:rsid w:val="00500BA8"/>
    <w:rsid w:val="00500EC4"/>
    <w:rsid w:val="00501DAE"/>
    <w:rsid w:val="0050367F"/>
    <w:rsid w:val="005056ED"/>
    <w:rsid w:val="0050591C"/>
    <w:rsid w:val="005068FC"/>
    <w:rsid w:val="005076B4"/>
    <w:rsid w:val="00507D9F"/>
    <w:rsid w:val="005101C9"/>
    <w:rsid w:val="00510245"/>
    <w:rsid w:val="0051284A"/>
    <w:rsid w:val="00513B8D"/>
    <w:rsid w:val="00513C12"/>
    <w:rsid w:val="00516D99"/>
    <w:rsid w:val="0051764B"/>
    <w:rsid w:val="005200ED"/>
    <w:rsid w:val="00520E40"/>
    <w:rsid w:val="0052449E"/>
    <w:rsid w:val="0052723A"/>
    <w:rsid w:val="005276E8"/>
    <w:rsid w:val="00530CF7"/>
    <w:rsid w:val="0053541B"/>
    <w:rsid w:val="00536B0A"/>
    <w:rsid w:val="005405FC"/>
    <w:rsid w:val="005408A5"/>
    <w:rsid w:val="00544620"/>
    <w:rsid w:val="005451D9"/>
    <w:rsid w:val="005464BA"/>
    <w:rsid w:val="00546AA6"/>
    <w:rsid w:val="0054704C"/>
    <w:rsid w:val="00550C5E"/>
    <w:rsid w:val="005526AD"/>
    <w:rsid w:val="005534BE"/>
    <w:rsid w:val="005560E7"/>
    <w:rsid w:val="00556614"/>
    <w:rsid w:val="00560A7F"/>
    <w:rsid w:val="00562087"/>
    <w:rsid w:val="00562199"/>
    <w:rsid w:val="00563AD3"/>
    <w:rsid w:val="00563D51"/>
    <w:rsid w:val="0056453E"/>
    <w:rsid w:val="005654BB"/>
    <w:rsid w:val="00565893"/>
    <w:rsid w:val="00567940"/>
    <w:rsid w:val="00572FB4"/>
    <w:rsid w:val="00576361"/>
    <w:rsid w:val="00576D97"/>
    <w:rsid w:val="00576DE4"/>
    <w:rsid w:val="00580885"/>
    <w:rsid w:val="0058377A"/>
    <w:rsid w:val="0058523F"/>
    <w:rsid w:val="0058611A"/>
    <w:rsid w:val="00590066"/>
    <w:rsid w:val="00593E9D"/>
    <w:rsid w:val="005959F7"/>
    <w:rsid w:val="005A245E"/>
    <w:rsid w:val="005A27FB"/>
    <w:rsid w:val="005A280F"/>
    <w:rsid w:val="005A2940"/>
    <w:rsid w:val="005A388C"/>
    <w:rsid w:val="005A3909"/>
    <w:rsid w:val="005A6CBE"/>
    <w:rsid w:val="005A6E15"/>
    <w:rsid w:val="005A726F"/>
    <w:rsid w:val="005A754F"/>
    <w:rsid w:val="005A7DA6"/>
    <w:rsid w:val="005B17C8"/>
    <w:rsid w:val="005B2A0D"/>
    <w:rsid w:val="005B2E9F"/>
    <w:rsid w:val="005B3680"/>
    <w:rsid w:val="005B373A"/>
    <w:rsid w:val="005B56C7"/>
    <w:rsid w:val="005C1E9F"/>
    <w:rsid w:val="005C3B5E"/>
    <w:rsid w:val="005C531E"/>
    <w:rsid w:val="005C5E6B"/>
    <w:rsid w:val="005C6F2C"/>
    <w:rsid w:val="005C79F5"/>
    <w:rsid w:val="005C7CDF"/>
    <w:rsid w:val="005C7E06"/>
    <w:rsid w:val="005D0E19"/>
    <w:rsid w:val="005D126B"/>
    <w:rsid w:val="005D5E78"/>
    <w:rsid w:val="005D7FD4"/>
    <w:rsid w:val="005E0E75"/>
    <w:rsid w:val="005E3234"/>
    <w:rsid w:val="005E3328"/>
    <w:rsid w:val="005E373D"/>
    <w:rsid w:val="005E41B8"/>
    <w:rsid w:val="005E4251"/>
    <w:rsid w:val="005E5012"/>
    <w:rsid w:val="005E583F"/>
    <w:rsid w:val="005E6EDC"/>
    <w:rsid w:val="005E7C02"/>
    <w:rsid w:val="005F3FAA"/>
    <w:rsid w:val="005F66E4"/>
    <w:rsid w:val="00600FB5"/>
    <w:rsid w:val="006010F6"/>
    <w:rsid w:val="006013ED"/>
    <w:rsid w:val="00601E52"/>
    <w:rsid w:val="00602CE4"/>
    <w:rsid w:val="00604073"/>
    <w:rsid w:val="00610CA1"/>
    <w:rsid w:val="00613A82"/>
    <w:rsid w:val="00613DCB"/>
    <w:rsid w:val="00615FBC"/>
    <w:rsid w:val="00616799"/>
    <w:rsid w:val="006171A0"/>
    <w:rsid w:val="0061764B"/>
    <w:rsid w:val="00621268"/>
    <w:rsid w:val="00621A11"/>
    <w:rsid w:val="00621C80"/>
    <w:rsid w:val="006266B8"/>
    <w:rsid w:val="00626FCB"/>
    <w:rsid w:val="006277E3"/>
    <w:rsid w:val="00630D3A"/>
    <w:rsid w:val="00632FA3"/>
    <w:rsid w:val="0063331B"/>
    <w:rsid w:val="0063734C"/>
    <w:rsid w:val="00641C1D"/>
    <w:rsid w:val="00645738"/>
    <w:rsid w:val="00645A10"/>
    <w:rsid w:val="006468D4"/>
    <w:rsid w:val="0065012A"/>
    <w:rsid w:val="00651CD0"/>
    <w:rsid w:val="0065210D"/>
    <w:rsid w:val="00655722"/>
    <w:rsid w:val="00655ACE"/>
    <w:rsid w:val="00657D35"/>
    <w:rsid w:val="0066026F"/>
    <w:rsid w:val="00664742"/>
    <w:rsid w:val="00664D56"/>
    <w:rsid w:val="006655AB"/>
    <w:rsid w:val="00675A39"/>
    <w:rsid w:val="00681D00"/>
    <w:rsid w:val="00683574"/>
    <w:rsid w:val="00684100"/>
    <w:rsid w:val="00684B93"/>
    <w:rsid w:val="00685746"/>
    <w:rsid w:val="006911A4"/>
    <w:rsid w:val="00691D00"/>
    <w:rsid w:val="0069261F"/>
    <w:rsid w:val="006948C7"/>
    <w:rsid w:val="006A0935"/>
    <w:rsid w:val="006A0A15"/>
    <w:rsid w:val="006A3082"/>
    <w:rsid w:val="006A39BF"/>
    <w:rsid w:val="006A52B9"/>
    <w:rsid w:val="006A5598"/>
    <w:rsid w:val="006B4628"/>
    <w:rsid w:val="006B46F3"/>
    <w:rsid w:val="006B67AD"/>
    <w:rsid w:val="006C0A30"/>
    <w:rsid w:val="006C15BF"/>
    <w:rsid w:val="006C17A8"/>
    <w:rsid w:val="006C2538"/>
    <w:rsid w:val="006C52EC"/>
    <w:rsid w:val="006C6568"/>
    <w:rsid w:val="006D19C6"/>
    <w:rsid w:val="006D56DB"/>
    <w:rsid w:val="006E0289"/>
    <w:rsid w:val="006E4312"/>
    <w:rsid w:val="006E485D"/>
    <w:rsid w:val="006E4EE7"/>
    <w:rsid w:val="006E5831"/>
    <w:rsid w:val="006E5B56"/>
    <w:rsid w:val="006E6BC8"/>
    <w:rsid w:val="006E726D"/>
    <w:rsid w:val="006E79D3"/>
    <w:rsid w:val="006F252D"/>
    <w:rsid w:val="006F2DD8"/>
    <w:rsid w:val="006F33BC"/>
    <w:rsid w:val="006F4637"/>
    <w:rsid w:val="006F631D"/>
    <w:rsid w:val="006F6811"/>
    <w:rsid w:val="0070215A"/>
    <w:rsid w:val="00702208"/>
    <w:rsid w:val="00703F6D"/>
    <w:rsid w:val="00711AF3"/>
    <w:rsid w:val="0071378F"/>
    <w:rsid w:val="007179FF"/>
    <w:rsid w:val="0072005D"/>
    <w:rsid w:val="0072312E"/>
    <w:rsid w:val="00726A09"/>
    <w:rsid w:val="00730AF4"/>
    <w:rsid w:val="00731A74"/>
    <w:rsid w:val="00735244"/>
    <w:rsid w:val="00735AAF"/>
    <w:rsid w:val="0073615D"/>
    <w:rsid w:val="00740DAB"/>
    <w:rsid w:val="00740EE8"/>
    <w:rsid w:val="0074140B"/>
    <w:rsid w:val="0074158E"/>
    <w:rsid w:val="007417DD"/>
    <w:rsid w:val="0074385C"/>
    <w:rsid w:val="00745D82"/>
    <w:rsid w:val="00750E72"/>
    <w:rsid w:val="0076053A"/>
    <w:rsid w:val="00760FDC"/>
    <w:rsid w:val="0076527D"/>
    <w:rsid w:val="007661EA"/>
    <w:rsid w:val="00766EAB"/>
    <w:rsid w:val="0077290B"/>
    <w:rsid w:val="00774125"/>
    <w:rsid w:val="0077649A"/>
    <w:rsid w:val="007771B4"/>
    <w:rsid w:val="00777587"/>
    <w:rsid w:val="007817D8"/>
    <w:rsid w:val="00782F8B"/>
    <w:rsid w:val="007917B8"/>
    <w:rsid w:val="00791E73"/>
    <w:rsid w:val="00792848"/>
    <w:rsid w:val="00793842"/>
    <w:rsid w:val="00796CBE"/>
    <w:rsid w:val="00797A89"/>
    <w:rsid w:val="007A04EF"/>
    <w:rsid w:val="007A1D13"/>
    <w:rsid w:val="007A30A1"/>
    <w:rsid w:val="007A410A"/>
    <w:rsid w:val="007A51B8"/>
    <w:rsid w:val="007A57B4"/>
    <w:rsid w:val="007A5830"/>
    <w:rsid w:val="007A5F1C"/>
    <w:rsid w:val="007A78FE"/>
    <w:rsid w:val="007B5D3C"/>
    <w:rsid w:val="007C0973"/>
    <w:rsid w:val="007C15B4"/>
    <w:rsid w:val="007C5CDB"/>
    <w:rsid w:val="007C77E0"/>
    <w:rsid w:val="007D027A"/>
    <w:rsid w:val="007D082E"/>
    <w:rsid w:val="007D3A4C"/>
    <w:rsid w:val="007D6CF2"/>
    <w:rsid w:val="007E212A"/>
    <w:rsid w:val="007E2FF1"/>
    <w:rsid w:val="007F22E3"/>
    <w:rsid w:val="007F3ECD"/>
    <w:rsid w:val="007F54FC"/>
    <w:rsid w:val="007F5CA2"/>
    <w:rsid w:val="00802F57"/>
    <w:rsid w:val="00803F98"/>
    <w:rsid w:val="0080485E"/>
    <w:rsid w:val="00804867"/>
    <w:rsid w:val="00804A67"/>
    <w:rsid w:val="00805086"/>
    <w:rsid w:val="00806D5A"/>
    <w:rsid w:val="00806DF8"/>
    <w:rsid w:val="00810D0B"/>
    <w:rsid w:val="008141E0"/>
    <w:rsid w:val="00815F70"/>
    <w:rsid w:val="008172B6"/>
    <w:rsid w:val="0081784E"/>
    <w:rsid w:val="0082488B"/>
    <w:rsid w:val="00824A3C"/>
    <w:rsid w:val="00826493"/>
    <w:rsid w:val="00827650"/>
    <w:rsid w:val="00832669"/>
    <w:rsid w:val="00833AE7"/>
    <w:rsid w:val="00836108"/>
    <w:rsid w:val="00836929"/>
    <w:rsid w:val="00842651"/>
    <w:rsid w:val="00842D43"/>
    <w:rsid w:val="008445C2"/>
    <w:rsid w:val="0084482E"/>
    <w:rsid w:val="00845419"/>
    <w:rsid w:val="00846FF4"/>
    <w:rsid w:val="00853D68"/>
    <w:rsid w:val="00855439"/>
    <w:rsid w:val="00856B9B"/>
    <w:rsid w:val="008571FA"/>
    <w:rsid w:val="0086074C"/>
    <w:rsid w:val="00863CA7"/>
    <w:rsid w:val="0087261D"/>
    <w:rsid w:val="00872A76"/>
    <w:rsid w:val="00872F52"/>
    <w:rsid w:val="00873140"/>
    <w:rsid w:val="00873245"/>
    <w:rsid w:val="008740EC"/>
    <w:rsid w:val="00876D50"/>
    <w:rsid w:val="008826FC"/>
    <w:rsid w:val="00883B8B"/>
    <w:rsid w:val="00885F7D"/>
    <w:rsid w:val="00891FEC"/>
    <w:rsid w:val="0089299F"/>
    <w:rsid w:val="008943A0"/>
    <w:rsid w:val="0089650F"/>
    <w:rsid w:val="008974EC"/>
    <w:rsid w:val="008A2198"/>
    <w:rsid w:val="008A4AD0"/>
    <w:rsid w:val="008A6C25"/>
    <w:rsid w:val="008A70F5"/>
    <w:rsid w:val="008B0C91"/>
    <w:rsid w:val="008B2D4A"/>
    <w:rsid w:val="008B4D63"/>
    <w:rsid w:val="008B581A"/>
    <w:rsid w:val="008C4496"/>
    <w:rsid w:val="008C6A8D"/>
    <w:rsid w:val="008C7056"/>
    <w:rsid w:val="008C7A66"/>
    <w:rsid w:val="008D0082"/>
    <w:rsid w:val="008D7D73"/>
    <w:rsid w:val="008E017F"/>
    <w:rsid w:val="008E0B90"/>
    <w:rsid w:val="008E291E"/>
    <w:rsid w:val="008E43BC"/>
    <w:rsid w:val="008E5F36"/>
    <w:rsid w:val="008E777E"/>
    <w:rsid w:val="008F01BA"/>
    <w:rsid w:val="008F0BED"/>
    <w:rsid w:val="008F219B"/>
    <w:rsid w:val="008F500F"/>
    <w:rsid w:val="008F5D58"/>
    <w:rsid w:val="008F5E7C"/>
    <w:rsid w:val="008F611A"/>
    <w:rsid w:val="008F7843"/>
    <w:rsid w:val="00901506"/>
    <w:rsid w:val="0090385C"/>
    <w:rsid w:val="00907C7F"/>
    <w:rsid w:val="00914CF0"/>
    <w:rsid w:val="00914CFD"/>
    <w:rsid w:val="009220AE"/>
    <w:rsid w:val="0092250B"/>
    <w:rsid w:val="009252FD"/>
    <w:rsid w:val="009272D1"/>
    <w:rsid w:val="00927626"/>
    <w:rsid w:val="0093361C"/>
    <w:rsid w:val="00935449"/>
    <w:rsid w:val="00935A5E"/>
    <w:rsid w:val="009376BF"/>
    <w:rsid w:val="00940BD9"/>
    <w:rsid w:val="00942737"/>
    <w:rsid w:val="00942C18"/>
    <w:rsid w:val="00942CB1"/>
    <w:rsid w:val="009438D0"/>
    <w:rsid w:val="00945840"/>
    <w:rsid w:val="00945A7B"/>
    <w:rsid w:val="0095338D"/>
    <w:rsid w:val="00954B4E"/>
    <w:rsid w:val="009562B6"/>
    <w:rsid w:val="00957EE3"/>
    <w:rsid w:val="0096101C"/>
    <w:rsid w:val="00961F1A"/>
    <w:rsid w:val="0096320A"/>
    <w:rsid w:val="00963F9F"/>
    <w:rsid w:val="00964451"/>
    <w:rsid w:val="00965827"/>
    <w:rsid w:val="00971560"/>
    <w:rsid w:val="00971783"/>
    <w:rsid w:val="00973E4D"/>
    <w:rsid w:val="00980580"/>
    <w:rsid w:val="0098135D"/>
    <w:rsid w:val="00986F10"/>
    <w:rsid w:val="0099019A"/>
    <w:rsid w:val="00991EC4"/>
    <w:rsid w:val="00993C22"/>
    <w:rsid w:val="009941F1"/>
    <w:rsid w:val="00994299"/>
    <w:rsid w:val="009945B4"/>
    <w:rsid w:val="00994F7B"/>
    <w:rsid w:val="00996119"/>
    <w:rsid w:val="009A048D"/>
    <w:rsid w:val="009A0912"/>
    <w:rsid w:val="009A3208"/>
    <w:rsid w:val="009A5304"/>
    <w:rsid w:val="009A5C3A"/>
    <w:rsid w:val="009B076C"/>
    <w:rsid w:val="009B37D2"/>
    <w:rsid w:val="009C2B04"/>
    <w:rsid w:val="009C4430"/>
    <w:rsid w:val="009C7272"/>
    <w:rsid w:val="009D2E2B"/>
    <w:rsid w:val="009D2FBD"/>
    <w:rsid w:val="009D58B7"/>
    <w:rsid w:val="009D5EF3"/>
    <w:rsid w:val="009D5F42"/>
    <w:rsid w:val="009E191F"/>
    <w:rsid w:val="009E30C1"/>
    <w:rsid w:val="009E4C11"/>
    <w:rsid w:val="009E682B"/>
    <w:rsid w:val="009F00F5"/>
    <w:rsid w:val="009F0753"/>
    <w:rsid w:val="009F3986"/>
    <w:rsid w:val="009F7105"/>
    <w:rsid w:val="00A00CFF"/>
    <w:rsid w:val="00A0156F"/>
    <w:rsid w:val="00A01EA7"/>
    <w:rsid w:val="00A024D0"/>
    <w:rsid w:val="00A05819"/>
    <w:rsid w:val="00A05D99"/>
    <w:rsid w:val="00A07E24"/>
    <w:rsid w:val="00A07EAF"/>
    <w:rsid w:val="00A1071E"/>
    <w:rsid w:val="00A1114F"/>
    <w:rsid w:val="00A14A96"/>
    <w:rsid w:val="00A20789"/>
    <w:rsid w:val="00A22D92"/>
    <w:rsid w:val="00A250D8"/>
    <w:rsid w:val="00A253CD"/>
    <w:rsid w:val="00A32FB4"/>
    <w:rsid w:val="00A352AA"/>
    <w:rsid w:val="00A3650D"/>
    <w:rsid w:val="00A37F8D"/>
    <w:rsid w:val="00A50737"/>
    <w:rsid w:val="00A51302"/>
    <w:rsid w:val="00A51E9E"/>
    <w:rsid w:val="00A522FD"/>
    <w:rsid w:val="00A52BF3"/>
    <w:rsid w:val="00A549C4"/>
    <w:rsid w:val="00A56939"/>
    <w:rsid w:val="00A56A07"/>
    <w:rsid w:val="00A623A9"/>
    <w:rsid w:val="00A663F3"/>
    <w:rsid w:val="00A67C96"/>
    <w:rsid w:val="00A713F5"/>
    <w:rsid w:val="00A71813"/>
    <w:rsid w:val="00A74336"/>
    <w:rsid w:val="00A83E60"/>
    <w:rsid w:val="00A8560B"/>
    <w:rsid w:val="00A871E7"/>
    <w:rsid w:val="00A87B37"/>
    <w:rsid w:val="00A87DEC"/>
    <w:rsid w:val="00A87E64"/>
    <w:rsid w:val="00A90C16"/>
    <w:rsid w:val="00A91B71"/>
    <w:rsid w:val="00A921EE"/>
    <w:rsid w:val="00A92C0B"/>
    <w:rsid w:val="00A93DDF"/>
    <w:rsid w:val="00A940C9"/>
    <w:rsid w:val="00A94ED8"/>
    <w:rsid w:val="00A955F1"/>
    <w:rsid w:val="00A96070"/>
    <w:rsid w:val="00A964C5"/>
    <w:rsid w:val="00AA0A49"/>
    <w:rsid w:val="00AA0DD8"/>
    <w:rsid w:val="00AA2328"/>
    <w:rsid w:val="00AA26EB"/>
    <w:rsid w:val="00AA6356"/>
    <w:rsid w:val="00AB2808"/>
    <w:rsid w:val="00AB2C64"/>
    <w:rsid w:val="00AB4FBC"/>
    <w:rsid w:val="00AB5280"/>
    <w:rsid w:val="00AB54C6"/>
    <w:rsid w:val="00AB6C99"/>
    <w:rsid w:val="00AB7DB8"/>
    <w:rsid w:val="00AC216B"/>
    <w:rsid w:val="00AD5516"/>
    <w:rsid w:val="00AE0086"/>
    <w:rsid w:val="00AE30DB"/>
    <w:rsid w:val="00AE338D"/>
    <w:rsid w:val="00AE46CC"/>
    <w:rsid w:val="00AE578C"/>
    <w:rsid w:val="00AE6F86"/>
    <w:rsid w:val="00AE7CED"/>
    <w:rsid w:val="00AF0055"/>
    <w:rsid w:val="00AF026D"/>
    <w:rsid w:val="00AF0B9E"/>
    <w:rsid w:val="00AF0EFB"/>
    <w:rsid w:val="00AF3993"/>
    <w:rsid w:val="00AF3E4C"/>
    <w:rsid w:val="00AF60A0"/>
    <w:rsid w:val="00B017D1"/>
    <w:rsid w:val="00B04F9F"/>
    <w:rsid w:val="00B06001"/>
    <w:rsid w:val="00B06E1E"/>
    <w:rsid w:val="00B0790A"/>
    <w:rsid w:val="00B07B9A"/>
    <w:rsid w:val="00B113C5"/>
    <w:rsid w:val="00B150E9"/>
    <w:rsid w:val="00B15AD5"/>
    <w:rsid w:val="00B16ACF"/>
    <w:rsid w:val="00B22FDB"/>
    <w:rsid w:val="00B24807"/>
    <w:rsid w:val="00B24D08"/>
    <w:rsid w:val="00B2520A"/>
    <w:rsid w:val="00B26B71"/>
    <w:rsid w:val="00B26EE3"/>
    <w:rsid w:val="00B31AD6"/>
    <w:rsid w:val="00B31E6E"/>
    <w:rsid w:val="00B32231"/>
    <w:rsid w:val="00B32A0F"/>
    <w:rsid w:val="00B36403"/>
    <w:rsid w:val="00B43550"/>
    <w:rsid w:val="00B43966"/>
    <w:rsid w:val="00B474EC"/>
    <w:rsid w:val="00B47EA2"/>
    <w:rsid w:val="00B515E5"/>
    <w:rsid w:val="00B5577D"/>
    <w:rsid w:val="00B57B81"/>
    <w:rsid w:val="00B60025"/>
    <w:rsid w:val="00B60CA6"/>
    <w:rsid w:val="00B6203E"/>
    <w:rsid w:val="00B65004"/>
    <w:rsid w:val="00B667DC"/>
    <w:rsid w:val="00B70BAC"/>
    <w:rsid w:val="00B72BB7"/>
    <w:rsid w:val="00B73749"/>
    <w:rsid w:val="00B738A0"/>
    <w:rsid w:val="00B745FB"/>
    <w:rsid w:val="00B75E19"/>
    <w:rsid w:val="00B76084"/>
    <w:rsid w:val="00B77660"/>
    <w:rsid w:val="00B77BDD"/>
    <w:rsid w:val="00B82279"/>
    <w:rsid w:val="00B82E28"/>
    <w:rsid w:val="00B853F9"/>
    <w:rsid w:val="00B85413"/>
    <w:rsid w:val="00B876FD"/>
    <w:rsid w:val="00B87DCA"/>
    <w:rsid w:val="00B90349"/>
    <w:rsid w:val="00B909FA"/>
    <w:rsid w:val="00B91202"/>
    <w:rsid w:val="00B9157E"/>
    <w:rsid w:val="00B91BF8"/>
    <w:rsid w:val="00B92C08"/>
    <w:rsid w:val="00B95706"/>
    <w:rsid w:val="00B96AAB"/>
    <w:rsid w:val="00B970B3"/>
    <w:rsid w:val="00BA078D"/>
    <w:rsid w:val="00BA33DE"/>
    <w:rsid w:val="00BA5734"/>
    <w:rsid w:val="00BB0F6D"/>
    <w:rsid w:val="00BB1A80"/>
    <w:rsid w:val="00BB2472"/>
    <w:rsid w:val="00BB24D5"/>
    <w:rsid w:val="00BB43BE"/>
    <w:rsid w:val="00BB44FA"/>
    <w:rsid w:val="00BB58B7"/>
    <w:rsid w:val="00BB7D78"/>
    <w:rsid w:val="00BC0DF0"/>
    <w:rsid w:val="00BD5A21"/>
    <w:rsid w:val="00BD68DE"/>
    <w:rsid w:val="00BE10BD"/>
    <w:rsid w:val="00BE246B"/>
    <w:rsid w:val="00BE3A1A"/>
    <w:rsid w:val="00BE4F83"/>
    <w:rsid w:val="00BE59CC"/>
    <w:rsid w:val="00BE77C9"/>
    <w:rsid w:val="00BE7E94"/>
    <w:rsid w:val="00BF2599"/>
    <w:rsid w:val="00BF25F3"/>
    <w:rsid w:val="00BF4610"/>
    <w:rsid w:val="00C00369"/>
    <w:rsid w:val="00C0087D"/>
    <w:rsid w:val="00C036C4"/>
    <w:rsid w:val="00C04145"/>
    <w:rsid w:val="00C04AC3"/>
    <w:rsid w:val="00C07619"/>
    <w:rsid w:val="00C11666"/>
    <w:rsid w:val="00C12C93"/>
    <w:rsid w:val="00C12D22"/>
    <w:rsid w:val="00C13DB9"/>
    <w:rsid w:val="00C17BA5"/>
    <w:rsid w:val="00C22107"/>
    <w:rsid w:val="00C34A35"/>
    <w:rsid w:val="00C35F08"/>
    <w:rsid w:val="00C37420"/>
    <w:rsid w:val="00C402E0"/>
    <w:rsid w:val="00C42E78"/>
    <w:rsid w:val="00C453A7"/>
    <w:rsid w:val="00C47A0B"/>
    <w:rsid w:val="00C47C86"/>
    <w:rsid w:val="00C56393"/>
    <w:rsid w:val="00C564B0"/>
    <w:rsid w:val="00C56633"/>
    <w:rsid w:val="00C6177B"/>
    <w:rsid w:val="00C62426"/>
    <w:rsid w:val="00C62A88"/>
    <w:rsid w:val="00C65248"/>
    <w:rsid w:val="00C66D44"/>
    <w:rsid w:val="00C66F87"/>
    <w:rsid w:val="00C709D0"/>
    <w:rsid w:val="00C7194C"/>
    <w:rsid w:val="00C71BE5"/>
    <w:rsid w:val="00C72348"/>
    <w:rsid w:val="00C72BCE"/>
    <w:rsid w:val="00C74609"/>
    <w:rsid w:val="00C7687B"/>
    <w:rsid w:val="00C77147"/>
    <w:rsid w:val="00C779A7"/>
    <w:rsid w:val="00C83B9F"/>
    <w:rsid w:val="00C84E90"/>
    <w:rsid w:val="00C85ADF"/>
    <w:rsid w:val="00C909DF"/>
    <w:rsid w:val="00C90A45"/>
    <w:rsid w:val="00C9145C"/>
    <w:rsid w:val="00C95AA0"/>
    <w:rsid w:val="00C96022"/>
    <w:rsid w:val="00C96B33"/>
    <w:rsid w:val="00CA12FF"/>
    <w:rsid w:val="00CA162B"/>
    <w:rsid w:val="00CA38AD"/>
    <w:rsid w:val="00CA615B"/>
    <w:rsid w:val="00CB023C"/>
    <w:rsid w:val="00CB1885"/>
    <w:rsid w:val="00CB2503"/>
    <w:rsid w:val="00CB532B"/>
    <w:rsid w:val="00CB5637"/>
    <w:rsid w:val="00CB6DF9"/>
    <w:rsid w:val="00CC051C"/>
    <w:rsid w:val="00CC1043"/>
    <w:rsid w:val="00CC4AA7"/>
    <w:rsid w:val="00CC4B32"/>
    <w:rsid w:val="00CC629A"/>
    <w:rsid w:val="00CD1279"/>
    <w:rsid w:val="00CD1667"/>
    <w:rsid w:val="00CD33D3"/>
    <w:rsid w:val="00CD3F10"/>
    <w:rsid w:val="00CD4532"/>
    <w:rsid w:val="00CE1948"/>
    <w:rsid w:val="00CE1D30"/>
    <w:rsid w:val="00CE1F33"/>
    <w:rsid w:val="00CE32F7"/>
    <w:rsid w:val="00CE371D"/>
    <w:rsid w:val="00CE50D3"/>
    <w:rsid w:val="00CE5E13"/>
    <w:rsid w:val="00CF01FA"/>
    <w:rsid w:val="00CF21F7"/>
    <w:rsid w:val="00D04EA6"/>
    <w:rsid w:val="00D05637"/>
    <w:rsid w:val="00D05E69"/>
    <w:rsid w:val="00D075E5"/>
    <w:rsid w:val="00D106A8"/>
    <w:rsid w:val="00D20A02"/>
    <w:rsid w:val="00D22006"/>
    <w:rsid w:val="00D23242"/>
    <w:rsid w:val="00D2377E"/>
    <w:rsid w:val="00D23E7B"/>
    <w:rsid w:val="00D2490E"/>
    <w:rsid w:val="00D2731B"/>
    <w:rsid w:val="00D274FF"/>
    <w:rsid w:val="00D27B23"/>
    <w:rsid w:val="00D30DEC"/>
    <w:rsid w:val="00D312CF"/>
    <w:rsid w:val="00D337EE"/>
    <w:rsid w:val="00D3394C"/>
    <w:rsid w:val="00D353C2"/>
    <w:rsid w:val="00D3768F"/>
    <w:rsid w:val="00D401FC"/>
    <w:rsid w:val="00D40650"/>
    <w:rsid w:val="00D4471A"/>
    <w:rsid w:val="00D44FFE"/>
    <w:rsid w:val="00D464B6"/>
    <w:rsid w:val="00D467E1"/>
    <w:rsid w:val="00D472C6"/>
    <w:rsid w:val="00D575FB"/>
    <w:rsid w:val="00D60DC2"/>
    <w:rsid w:val="00D63152"/>
    <w:rsid w:val="00D652C8"/>
    <w:rsid w:val="00D654E3"/>
    <w:rsid w:val="00D65A04"/>
    <w:rsid w:val="00D667DC"/>
    <w:rsid w:val="00D66B2D"/>
    <w:rsid w:val="00D77102"/>
    <w:rsid w:val="00D77362"/>
    <w:rsid w:val="00D81E3E"/>
    <w:rsid w:val="00D837BA"/>
    <w:rsid w:val="00D83BC1"/>
    <w:rsid w:val="00D9300E"/>
    <w:rsid w:val="00D934B1"/>
    <w:rsid w:val="00D93D32"/>
    <w:rsid w:val="00D95703"/>
    <w:rsid w:val="00DA045D"/>
    <w:rsid w:val="00DA07B9"/>
    <w:rsid w:val="00DA15DE"/>
    <w:rsid w:val="00DA1CF1"/>
    <w:rsid w:val="00DA1D33"/>
    <w:rsid w:val="00DA3189"/>
    <w:rsid w:val="00DA6EAF"/>
    <w:rsid w:val="00DA7ED0"/>
    <w:rsid w:val="00DB7996"/>
    <w:rsid w:val="00DC17D5"/>
    <w:rsid w:val="00DC2CE1"/>
    <w:rsid w:val="00DC544D"/>
    <w:rsid w:val="00DD2B0A"/>
    <w:rsid w:val="00DD35C2"/>
    <w:rsid w:val="00DD7DB7"/>
    <w:rsid w:val="00DE0C16"/>
    <w:rsid w:val="00DE11C5"/>
    <w:rsid w:val="00DE302B"/>
    <w:rsid w:val="00DF2B45"/>
    <w:rsid w:val="00DF2E2A"/>
    <w:rsid w:val="00DF5A0A"/>
    <w:rsid w:val="00DF6302"/>
    <w:rsid w:val="00E00397"/>
    <w:rsid w:val="00E00749"/>
    <w:rsid w:val="00E02836"/>
    <w:rsid w:val="00E030A1"/>
    <w:rsid w:val="00E110F8"/>
    <w:rsid w:val="00E114E5"/>
    <w:rsid w:val="00E1200E"/>
    <w:rsid w:val="00E16152"/>
    <w:rsid w:val="00E16548"/>
    <w:rsid w:val="00E20473"/>
    <w:rsid w:val="00E226AD"/>
    <w:rsid w:val="00E23127"/>
    <w:rsid w:val="00E23F2B"/>
    <w:rsid w:val="00E252A5"/>
    <w:rsid w:val="00E26B7E"/>
    <w:rsid w:val="00E31355"/>
    <w:rsid w:val="00E31C21"/>
    <w:rsid w:val="00E3419E"/>
    <w:rsid w:val="00E40F08"/>
    <w:rsid w:val="00E427FB"/>
    <w:rsid w:val="00E45D56"/>
    <w:rsid w:val="00E5128C"/>
    <w:rsid w:val="00E5225E"/>
    <w:rsid w:val="00E552A7"/>
    <w:rsid w:val="00E553E4"/>
    <w:rsid w:val="00E55B38"/>
    <w:rsid w:val="00E567F3"/>
    <w:rsid w:val="00E61C64"/>
    <w:rsid w:val="00E631A6"/>
    <w:rsid w:val="00E63B4C"/>
    <w:rsid w:val="00E63F61"/>
    <w:rsid w:val="00E64809"/>
    <w:rsid w:val="00E7093D"/>
    <w:rsid w:val="00E73486"/>
    <w:rsid w:val="00E7692B"/>
    <w:rsid w:val="00E76F4B"/>
    <w:rsid w:val="00E77BCA"/>
    <w:rsid w:val="00E80B03"/>
    <w:rsid w:val="00E84FDF"/>
    <w:rsid w:val="00E8762D"/>
    <w:rsid w:val="00E87A62"/>
    <w:rsid w:val="00E950F3"/>
    <w:rsid w:val="00E95221"/>
    <w:rsid w:val="00EA2BA8"/>
    <w:rsid w:val="00EA31C7"/>
    <w:rsid w:val="00EA45C8"/>
    <w:rsid w:val="00EA481D"/>
    <w:rsid w:val="00EA64D0"/>
    <w:rsid w:val="00EA7E5A"/>
    <w:rsid w:val="00EB3B12"/>
    <w:rsid w:val="00EB5138"/>
    <w:rsid w:val="00EB5D97"/>
    <w:rsid w:val="00EB5EF0"/>
    <w:rsid w:val="00EC11D9"/>
    <w:rsid w:val="00EC1308"/>
    <w:rsid w:val="00EC2004"/>
    <w:rsid w:val="00EC63E8"/>
    <w:rsid w:val="00ED01D4"/>
    <w:rsid w:val="00ED15C0"/>
    <w:rsid w:val="00ED1F81"/>
    <w:rsid w:val="00ED3ECA"/>
    <w:rsid w:val="00ED7775"/>
    <w:rsid w:val="00ED78F0"/>
    <w:rsid w:val="00EE0406"/>
    <w:rsid w:val="00EE265E"/>
    <w:rsid w:val="00EE26E0"/>
    <w:rsid w:val="00EE3E48"/>
    <w:rsid w:val="00EE4039"/>
    <w:rsid w:val="00EE48F3"/>
    <w:rsid w:val="00EE7BE6"/>
    <w:rsid w:val="00EF0556"/>
    <w:rsid w:val="00EF08BA"/>
    <w:rsid w:val="00EF4457"/>
    <w:rsid w:val="00EF4AE8"/>
    <w:rsid w:val="00EF6AFC"/>
    <w:rsid w:val="00F02EFA"/>
    <w:rsid w:val="00F035D4"/>
    <w:rsid w:val="00F05188"/>
    <w:rsid w:val="00F0726D"/>
    <w:rsid w:val="00F13419"/>
    <w:rsid w:val="00F1469C"/>
    <w:rsid w:val="00F15598"/>
    <w:rsid w:val="00F162CC"/>
    <w:rsid w:val="00F16387"/>
    <w:rsid w:val="00F165CA"/>
    <w:rsid w:val="00F16EA1"/>
    <w:rsid w:val="00F211E3"/>
    <w:rsid w:val="00F26C0C"/>
    <w:rsid w:val="00F26C29"/>
    <w:rsid w:val="00F26FC7"/>
    <w:rsid w:val="00F307CD"/>
    <w:rsid w:val="00F3093E"/>
    <w:rsid w:val="00F344B1"/>
    <w:rsid w:val="00F37ED4"/>
    <w:rsid w:val="00F41D37"/>
    <w:rsid w:val="00F479E9"/>
    <w:rsid w:val="00F52068"/>
    <w:rsid w:val="00F53790"/>
    <w:rsid w:val="00F550DC"/>
    <w:rsid w:val="00F57750"/>
    <w:rsid w:val="00F6128F"/>
    <w:rsid w:val="00F625A2"/>
    <w:rsid w:val="00F63094"/>
    <w:rsid w:val="00F7032D"/>
    <w:rsid w:val="00F72C94"/>
    <w:rsid w:val="00F72DC8"/>
    <w:rsid w:val="00F75C52"/>
    <w:rsid w:val="00F77113"/>
    <w:rsid w:val="00F77655"/>
    <w:rsid w:val="00F8159E"/>
    <w:rsid w:val="00F82AFB"/>
    <w:rsid w:val="00F8480A"/>
    <w:rsid w:val="00F8678C"/>
    <w:rsid w:val="00F87064"/>
    <w:rsid w:val="00F91DDA"/>
    <w:rsid w:val="00F92CC8"/>
    <w:rsid w:val="00F95080"/>
    <w:rsid w:val="00F952F5"/>
    <w:rsid w:val="00F96F21"/>
    <w:rsid w:val="00F979DB"/>
    <w:rsid w:val="00FA2E14"/>
    <w:rsid w:val="00FA3BEA"/>
    <w:rsid w:val="00FA5D7C"/>
    <w:rsid w:val="00FA6B7D"/>
    <w:rsid w:val="00FB0C83"/>
    <w:rsid w:val="00FB229E"/>
    <w:rsid w:val="00FB3566"/>
    <w:rsid w:val="00FB3E30"/>
    <w:rsid w:val="00FB3F95"/>
    <w:rsid w:val="00FB5D92"/>
    <w:rsid w:val="00FB6D11"/>
    <w:rsid w:val="00FB719D"/>
    <w:rsid w:val="00FB71B1"/>
    <w:rsid w:val="00FB7E79"/>
    <w:rsid w:val="00FD060E"/>
    <w:rsid w:val="00FD15B5"/>
    <w:rsid w:val="00FD1C44"/>
    <w:rsid w:val="00FD23F0"/>
    <w:rsid w:val="00FD242B"/>
    <w:rsid w:val="00FD511F"/>
    <w:rsid w:val="00FD56CC"/>
    <w:rsid w:val="00FD79F0"/>
    <w:rsid w:val="00FE05A7"/>
    <w:rsid w:val="00FE4BA0"/>
    <w:rsid w:val="00FE4D48"/>
    <w:rsid w:val="00FE526A"/>
    <w:rsid w:val="00FE6A59"/>
    <w:rsid w:val="00FF38D8"/>
    <w:rsid w:val="00FF54CD"/>
    <w:rsid w:val="00FF58FE"/>
    <w:rsid w:val="00FF5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5E326F-8F7F-4041-8901-EBA000AA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A0F"/>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aliases w:val="ft"/>
    <w:basedOn w:val="Normal"/>
    <w:semiHidden/>
    <w:rsid w:val="00B32A0F"/>
    <w:rPr>
      <w:sz w:val="20"/>
      <w:lang w:val="es-ES"/>
    </w:rPr>
  </w:style>
  <w:style w:type="character" w:styleId="Refdenotaalpie">
    <w:name w:val="footnote reference"/>
    <w:semiHidden/>
    <w:rsid w:val="00B32A0F"/>
    <w:rPr>
      <w:vertAlign w:val="superscript"/>
    </w:rPr>
  </w:style>
  <w:style w:type="character" w:styleId="Hipervnculo">
    <w:name w:val="Hyperlink"/>
    <w:rsid w:val="00BB0F6D"/>
    <w:rPr>
      <w:color w:val="0000FF"/>
      <w:u w:val="single"/>
    </w:rPr>
  </w:style>
  <w:style w:type="table" w:styleId="Tablaconcuadrcula">
    <w:name w:val="Table Grid"/>
    <w:basedOn w:val="Tablanormal"/>
    <w:rsid w:val="007A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sid w:val="00BE59CC"/>
    <w:rPr>
      <w:color w:val="800080"/>
      <w:u w:val="single"/>
    </w:rPr>
  </w:style>
  <w:style w:type="paragraph" w:styleId="NormalWeb">
    <w:name w:val="Normal (Web)"/>
    <w:basedOn w:val="Normal"/>
    <w:uiPriority w:val="99"/>
    <w:rsid w:val="00015C26"/>
    <w:pPr>
      <w:spacing w:before="100" w:beforeAutospacing="1" w:after="100" w:afterAutospacing="1"/>
    </w:pPr>
    <w:rPr>
      <w:rFonts w:ascii="Times New Roman" w:hAnsi="Times New Roman"/>
      <w:szCs w:val="24"/>
      <w:lang w:val="es-ES"/>
    </w:rPr>
  </w:style>
  <w:style w:type="paragraph" w:styleId="Prrafodelista">
    <w:name w:val="List Paragraph"/>
    <w:basedOn w:val="Normal"/>
    <w:link w:val="PrrafodelistaCar"/>
    <w:uiPriority w:val="99"/>
    <w:qFormat/>
    <w:rsid w:val="00FE6A59"/>
    <w:pPr>
      <w:spacing w:after="200" w:line="276" w:lineRule="auto"/>
      <w:ind w:left="720"/>
      <w:contextualSpacing/>
    </w:pPr>
    <w:rPr>
      <w:rFonts w:ascii="Calibri" w:eastAsia="Calibri" w:hAnsi="Calibri"/>
      <w:sz w:val="22"/>
      <w:szCs w:val="22"/>
      <w:lang w:val="es-CO" w:eastAsia="en-US"/>
    </w:rPr>
  </w:style>
  <w:style w:type="paragraph" w:styleId="Subttulo">
    <w:name w:val="Subtitle"/>
    <w:basedOn w:val="Normal"/>
    <w:next w:val="Normal"/>
    <w:link w:val="SubttuloCar"/>
    <w:qFormat/>
    <w:rsid w:val="006F252D"/>
    <w:pPr>
      <w:spacing w:after="60"/>
      <w:jc w:val="center"/>
      <w:outlineLvl w:val="1"/>
    </w:pPr>
    <w:rPr>
      <w:rFonts w:ascii="Cambria" w:hAnsi="Cambria"/>
      <w:szCs w:val="24"/>
    </w:rPr>
  </w:style>
  <w:style w:type="character" w:customStyle="1" w:styleId="SubttuloCar">
    <w:name w:val="Subtítulo Car"/>
    <w:link w:val="Subttulo"/>
    <w:rsid w:val="006F252D"/>
    <w:rPr>
      <w:rFonts w:ascii="Cambria" w:eastAsia="Times New Roman" w:hAnsi="Cambria" w:cs="Times New Roman"/>
      <w:sz w:val="24"/>
      <w:szCs w:val="24"/>
      <w:lang w:val="es-ES_tradnl" w:eastAsia="es-ES"/>
    </w:rPr>
  </w:style>
  <w:style w:type="character" w:customStyle="1" w:styleId="PrrafodelistaCar">
    <w:name w:val="Párrafo de lista Car"/>
    <w:link w:val="Prrafodelista"/>
    <w:uiPriority w:val="99"/>
    <w:rsid w:val="00B26B71"/>
    <w:rPr>
      <w:rFonts w:ascii="Calibri" w:eastAsia="Calibri" w:hAnsi="Calibri"/>
      <w:sz w:val="22"/>
      <w:szCs w:val="22"/>
      <w:lang w:eastAsia="en-US"/>
    </w:rPr>
  </w:style>
  <w:style w:type="character" w:customStyle="1" w:styleId="apple-converted-space">
    <w:name w:val="apple-converted-space"/>
    <w:rsid w:val="00FB5D92"/>
  </w:style>
  <w:style w:type="paragraph" w:styleId="Textoindependiente">
    <w:name w:val="Body Text"/>
    <w:basedOn w:val="Normal"/>
    <w:link w:val="TextoindependienteCar"/>
    <w:uiPriority w:val="99"/>
    <w:rsid w:val="00434B2D"/>
    <w:pPr>
      <w:autoSpaceDE w:val="0"/>
      <w:autoSpaceDN w:val="0"/>
      <w:jc w:val="both"/>
    </w:pPr>
    <w:rPr>
      <w:rFonts w:ascii="Times New Roman" w:hAnsi="Times New Roman"/>
      <w:color w:val="008080"/>
      <w:szCs w:val="24"/>
      <w:lang w:val="es-MX"/>
    </w:rPr>
  </w:style>
  <w:style w:type="character" w:customStyle="1" w:styleId="TextoindependienteCar">
    <w:name w:val="Texto independiente Car"/>
    <w:link w:val="Textoindependiente"/>
    <w:uiPriority w:val="99"/>
    <w:rsid w:val="00434B2D"/>
    <w:rPr>
      <w:color w:val="008080"/>
      <w:sz w:val="24"/>
      <w:szCs w:val="24"/>
      <w:lang w:val="es-MX" w:eastAsia="es-ES"/>
    </w:rPr>
  </w:style>
  <w:style w:type="paragraph" w:customStyle="1" w:styleId="Normal1">
    <w:name w:val="Normal1"/>
    <w:basedOn w:val="Normal"/>
    <w:rsid w:val="001365A8"/>
    <w:rPr>
      <w:rFonts w:ascii="Times New Roman" w:hAnsi="Times New Roman"/>
      <w:szCs w:val="24"/>
      <w:lang w:val="es-ES"/>
    </w:rPr>
  </w:style>
  <w:style w:type="paragraph" w:customStyle="1" w:styleId="Default">
    <w:name w:val="Default"/>
    <w:rsid w:val="004832DC"/>
    <w:pPr>
      <w:autoSpaceDE w:val="0"/>
      <w:autoSpaceDN w:val="0"/>
      <w:adjustRightInd w:val="0"/>
    </w:pPr>
    <w:rPr>
      <w:rFonts w:eastAsia="Calibri"/>
      <w:color w:val="000000"/>
      <w:sz w:val="24"/>
      <w:szCs w:val="24"/>
      <w:lang w:val="es-CO" w:eastAsia="en-US"/>
    </w:rPr>
  </w:style>
  <w:style w:type="character" w:styleId="Textoennegrita">
    <w:name w:val="Strong"/>
    <w:qFormat/>
    <w:rsid w:val="00A05D99"/>
    <w:rPr>
      <w:b/>
      <w:bCs/>
    </w:rPr>
  </w:style>
  <w:style w:type="paragraph" w:styleId="Sangradetextonormal">
    <w:name w:val="Body Text Indent"/>
    <w:basedOn w:val="Normal"/>
    <w:link w:val="SangradetextonormalCar"/>
    <w:rsid w:val="002928E8"/>
    <w:pPr>
      <w:spacing w:after="120"/>
      <w:ind w:left="283"/>
    </w:pPr>
  </w:style>
  <w:style w:type="character" w:customStyle="1" w:styleId="SangradetextonormalCar">
    <w:name w:val="Sangría de texto normal Car"/>
    <w:link w:val="Sangradetextonormal"/>
    <w:rsid w:val="002928E8"/>
    <w:rPr>
      <w:rFonts w:ascii="Arial" w:hAnsi="Arial"/>
      <w:sz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928E8"/>
    <w:pPr>
      <w:spacing w:after="0"/>
      <w:ind w:left="360" w:firstLine="360"/>
      <w:jc w:val="both"/>
    </w:pPr>
    <w:rPr>
      <w:lang w:val="es-CO" w:eastAsia="en-US"/>
    </w:rPr>
  </w:style>
  <w:style w:type="character" w:customStyle="1" w:styleId="Textoindependienteprimerasangra2Car">
    <w:name w:val="Texto independiente primera sangría 2 Car"/>
    <w:link w:val="Textoindependienteprimerasangra2"/>
    <w:uiPriority w:val="99"/>
    <w:rsid w:val="002928E8"/>
    <w:rPr>
      <w:rFonts w:ascii="Arial" w:hAnsi="Arial"/>
      <w:sz w:val="24"/>
      <w:lang w:val="es-ES_tradnl" w:eastAsia="en-US"/>
    </w:rPr>
  </w:style>
  <w:style w:type="paragraph" w:customStyle="1" w:styleId="pa7">
    <w:name w:val="pa7"/>
    <w:basedOn w:val="Normal"/>
    <w:uiPriority w:val="99"/>
    <w:rsid w:val="002928E8"/>
    <w:pPr>
      <w:spacing w:before="100" w:beforeAutospacing="1" w:after="100" w:afterAutospacing="1"/>
    </w:pPr>
    <w:rPr>
      <w:rFonts w:ascii="Times New Roman" w:hAnsi="Times New Roman"/>
      <w:szCs w:val="24"/>
      <w:lang w:val="es-CO" w:eastAsia="es-CO"/>
    </w:rPr>
  </w:style>
  <w:style w:type="paragraph" w:styleId="Sangra2detindependiente">
    <w:name w:val="Body Text Indent 2"/>
    <w:basedOn w:val="Normal"/>
    <w:link w:val="Sangra2detindependienteCar"/>
    <w:rsid w:val="009F3986"/>
    <w:pPr>
      <w:spacing w:after="120" w:line="480" w:lineRule="auto"/>
      <w:ind w:left="283"/>
    </w:pPr>
  </w:style>
  <w:style w:type="character" w:customStyle="1" w:styleId="Sangra2detindependienteCar">
    <w:name w:val="Sangría 2 de t. independiente Car"/>
    <w:link w:val="Sangra2detindependiente"/>
    <w:rsid w:val="009F3986"/>
    <w:rPr>
      <w:rFonts w:ascii="Arial" w:hAnsi="Arial"/>
      <w:sz w:val="24"/>
      <w:lang w:val="es-ES_tradnl" w:eastAsia="es-ES"/>
    </w:rPr>
  </w:style>
  <w:style w:type="paragraph" w:customStyle="1" w:styleId="Prrafodelista1">
    <w:name w:val="Párrafo de lista1"/>
    <w:basedOn w:val="Normal"/>
    <w:rsid w:val="00AF3993"/>
    <w:pPr>
      <w:ind w:left="720"/>
      <w:contextualSpacing/>
      <w:jc w:val="both"/>
    </w:pPr>
    <w:rPr>
      <w:rFonts w:eastAsia="Calibri"/>
      <w:lang w:val="es-CO" w:eastAsia="en-US"/>
    </w:rPr>
  </w:style>
  <w:style w:type="paragraph" w:styleId="Textoindependiente3">
    <w:name w:val="Body Text 3"/>
    <w:basedOn w:val="Normal"/>
    <w:link w:val="Textoindependiente3Car"/>
    <w:semiHidden/>
    <w:unhideWhenUsed/>
    <w:rsid w:val="0027759F"/>
    <w:pPr>
      <w:spacing w:after="120"/>
    </w:pPr>
    <w:rPr>
      <w:sz w:val="16"/>
      <w:szCs w:val="16"/>
    </w:rPr>
  </w:style>
  <w:style w:type="character" w:customStyle="1" w:styleId="Textoindependiente3Car">
    <w:name w:val="Texto independiente 3 Car"/>
    <w:basedOn w:val="Fuentedeprrafopredeter"/>
    <w:link w:val="Textoindependiente3"/>
    <w:semiHidden/>
    <w:rsid w:val="0027759F"/>
    <w:rPr>
      <w:rFonts w:ascii="Arial" w:hAnsi="Arial"/>
      <w:sz w:val="16"/>
      <w:szCs w:val="16"/>
      <w:lang w:val="es-ES_tradnl"/>
    </w:rPr>
  </w:style>
  <w:style w:type="paragraph" w:styleId="Textodeglobo">
    <w:name w:val="Balloon Text"/>
    <w:basedOn w:val="Normal"/>
    <w:link w:val="TextodegloboCar"/>
    <w:semiHidden/>
    <w:unhideWhenUsed/>
    <w:rsid w:val="00134BD2"/>
    <w:rPr>
      <w:rFonts w:ascii="Tahoma" w:hAnsi="Tahoma" w:cs="Tahoma"/>
      <w:sz w:val="16"/>
      <w:szCs w:val="16"/>
    </w:rPr>
  </w:style>
  <w:style w:type="character" w:customStyle="1" w:styleId="TextodegloboCar">
    <w:name w:val="Texto de globo Car"/>
    <w:basedOn w:val="Fuentedeprrafopredeter"/>
    <w:link w:val="Textodeglobo"/>
    <w:semiHidden/>
    <w:rsid w:val="00134BD2"/>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008">
      <w:bodyDiv w:val="1"/>
      <w:marLeft w:val="0"/>
      <w:marRight w:val="0"/>
      <w:marTop w:val="0"/>
      <w:marBottom w:val="0"/>
      <w:divBdr>
        <w:top w:val="none" w:sz="0" w:space="0" w:color="auto"/>
        <w:left w:val="none" w:sz="0" w:space="0" w:color="auto"/>
        <w:bottom w:val="none" w:sz="0" w:space="0" w:color="auto"/>
        <w:right w:val="none" w:sz="0" w:space="0" w:color="auto"/>
      </w:divBdr>
    </w:div>
    <w:div w:id="251210500">
      <w:bodyDiv w:val="1"/>
      <w:marLeft w:val="0"/>
      <w:marRight w:val="0"/>
      <w:marTop w:val="0"/>
      <w:marBottom w:val="0"/>
      <w:divBdr>
        <w:top w:val="none" w:sz="0" w:space="0" w:color="auto"/>
        <w:left w:val="none" w:sz="0" w:space="0" w:color="auto"/>
        <w:bottom w:val="none" w:sz="0" w:space="0" w:color="auto"/>
        <w:right w:val="none" w:sz="0" w:space="0" w:color="auto"/>
      </w:divBdr>
    </w:div>
    <w:div w:id="298803565">
      <w:bodyDiv w:val="1"/>
      <w:marLeft w:val="0"/>
      <w:marRight w:val="0"/>
      <w:marTop w:val="0"/>
      <w:marBottom w:val="0"/>
      <w:divBdr>
        <w:top w:val="none" w:sz="0" w:space="0" w:color="auto"/>
        <w:left w:val="none" w:sz="0" w:space="0" w:color="auto"/>
        <w:bottom w:val="none" w:sz="0" w:space="0" w:color="auto"/>
        <w:right w:val="none" w:sz="0" w:space="0" w:color="auto"/>
      </w:divBdr>
      <w:divsChild>
        <w:div w:id="393285138">
          <w:marLeft w:val="0"/>
          <w:marRight w:val="0"/>
          <w:marTop w:val="0"/>
          <w:marBottom w:val="0"/>
          <w:divBdr>
            <w:top w:val="none" w:sz="0" w:space="0" w:color="auto"/>
            <w:left w:val="none" w:sz="0" w:space="0" w:color="auto"/>
            <w:bottom w:val="none" w:sz="0" w:space="0" w:color="auto"/>
            <w:right w:val="none" w:sz="0" w:space="0" w:color="auto"/>
          </w:divBdr>
        </w:div>
        <w:div w:id="1231967515">
          <w:marLeft w:val="0"/>
          <w:marRight w:val="0"/>
          <w:marTop w:val="0"/>
          <w:marBottom w:val="0"/>
          <w:divBdr>
            <w:top w:val="none" w:sz="0" w:space="0" w:color="auto"/>
            <w:left w:val="none" w:sz="0" w:space="0" w:color="auto"/>
            <w:bottom w:val="none" w:sz="0" w:space="0" w:color="auto"/>
            <w:right w:val="none" w:sz="0" w:space="0" w:color="auto"/>
          </w:divBdr>
        </w:div>
        <w:div w:id="545605987">
          <w:marLeft w:val="0"/>
          <w:marRight w:val="0"/>
          <w:marTop w:val="0"/>
          <w:marBottom w:val="0"/>
          <w:divBdr>
            <w:top w:val="none" w:sz="0" w:space="0" w:color="auto"/>
            <w:left w:val="none" w:sz="0" w:space="0" w:color="auto"/>
            <w:bottom w:val="none" w:sz="0" w:space="0" w:color="auto"/>
            <w:right w:val="none" w:sz="0" w:space="0" w:color="auto"/>
          </w:divBdr>
          <w:divsChild>
            <w:div w:id="33585202">
              <w:marLeft w:val="0"/>
              <w:marRight w:val="0"/>
              <w:marTop w:val="0"/>
              <w:marBottom w:val="0"/>
              <w:divBdr>
                <w:top w:val="none" w:sz="0" w:space="0" w:color="auto"/>
                <w:left w:val="none" w:sz="0" w:space="0" w:color="auto"/>
                <w:bottom w:val="none" w:sz="0" w:space="0" w:color="auto"/>
                <w:right w:val="none" w:sz="0" w:space="0" w:color="auto"/>
              </w:divBdr>
            </w:div>
            <w:div w:id="1243686687">
              <w:marLeft w:val="0"/>
              <w:marRight w:val="0"/>
              <w:marTop w:val="0"/>
              <w:marBottom w:val="0"/>
              <w:divBdr>
                <w:top w:val="none" w:sz="0" w:space="0" w:color="auto"/>
                <w:left w:val="none" w:sz="0" w:space="0" w:color="auto"/>
                <w:bottom w:val="none" w:sz="0" w:space="0" w:color="auto"/>
                <w:right w:val="none" w:sz="0" w:space="0" w:color="auto"/>
              </w:divBdr>
            </w:div>
            <w:div w:id="1901207792">
              <w:marLeft w:val="0"/>
              <w:marRight w:val="0"/>
              <w:marTop w:val="0"/>
              <w:marBottom w:val="0"/>
              <w:divBdr>
                <w:top w:val="none" w:sz="0" w:space="0" w:color="auto"/>
                <w:left w:val="none" w:sz="0" w:space="0" w:color="auto"/>
                <w:bottom w:val="none" w:sz="0" w:space="0" w:color="auto"/>
                <w:right w:val="none" w:sz="0" w:space="0" w:color="auto"/>
              </w:divBdr>
            </w:div>
          </w:divsChild>
        </w:div>
        <w:div w:id="178084413">
          <w:marLeft w:val="0"/>
          <w:marRight w:val="0"/>
          <w:marTop w:val="0"/>
          <w:marBottom w:val="0"/>
          <w:divBdr>
            <w:top w:val="none" w:sz="0" w:space="0" w:color="auto"/>
            <w:left w:val="none" w:sz="0" w:space="0" w:color="auto"/>
            <w:bottom w:val="none" w:sz="0" w:space="0" w:color="auto"/>
            <w:right w:val="none" w:sz="0" w:space="0" w:color="auto"/>
          </w:divBdr>
        </w:div>
        <w:div w:id="36898602">
          <w:marLeft w:val="0"/>
          <w:marRight w:val="0"/>
          <w:marTop w:val="0"/>
          <w:marBottom w:val="0"/>
          <w:divBdr>
            <w:top w:val="none" w:sz="0" w:space="0" w:color="auto"/>
            <w:left w:val="none" w:sz="0" w:space="0" w:color="auto"/>
            <w:bottom w:val="none" w:sz="0" w:space="0" w:color="auto"/>
            <w:right w:val="none" w:sz="0" w:space="0" w:color="auto"/>
          </w:divBdr>
        </w:div>
        <w:div w:id="1513566713">
          <w:marLeft w:val="0"/>
          <w:marRight w:val="0"/>
          <w:marTop w:val="0"/>
          <w:marBottom w:val="0"/>
          <w:divBdr>
            <w:top w:val="none" w:sz="0" w:space="0" w:color="auto"/>
            <w:left w:val="none" w:sz="0" w:space="0" w:color="auto"/>
            <w:bottom w:val="none" w:sz="0" w:space="0" w:color="auto"/>
            <w:right w:val="none" w:sz="0" w:space="0" w:color="auto"/>
          </w:divBdr>
        </w:div>
        <w:div w:id="648822090">
          <w:marLeft w:val="0"/>
          <w:marRight w:val="0"/>
          <w:marTop w:val="0"/>
          <w:marBottom w:val="0"/>
          <w:divBdr>
            <w:top w:val="none" w:sz="0" w:space="0" w:color="auto"/>
            <w:left w:val="none" w:sz="0" w:space="0" w:color="auto"/>
            <w:bottom w:val="none" w:sz="0" w:space="0" w:color="auto"/>
            <w:right w:val="none" w:sz="0" w:space="0" w:color="auto"/>
          </w:divBdr>
        </w:div>
        <w:div w:id="1373530893">
          <w:marLeft w:val="0"/>
          <w:marRight w:val="0"/>
          <w:marTop w:val="0"/>
          <w:marBottom w:val="0"/>
          <w:divBdr>
            <w:top w:val="none" w:sz="0" w:space="0" w:color="auto"/>
            <w:left w:val="none" w:sz="0" w:space="0" w:color="auto"/>
            <w:bottom w:val="none" w:sz="0" w:space="0" w:color="auto"/>
            <w:right w:val="none" w:sz="0" w:space="0" w:color="auto"/>
          </w:divBdr>
        </w:div>
        <w:div w:id="1765302127">
          <w:marLeft w:val="0"/>
          <w:marRight w:val="0"/>
          <w:marTop w:val="0"/>
          <w:marBottom w:val="0"/>
          <w:divBdr>
            <w:top w:val="none" w:sz="0" w:space="0" w:color="auto"/>
            <w:left w:val="none" w:sz="0" w:space="0" w:color="auto"/>
            <w:bottom w:val="none" w:sz="0" w:space="0" w:color="auto"/>
            <w:right w:val="none" w:sz="0" w:space="0" w:color="auto"/>
          </w:divBdr>
        </w:div>
        <w:div w:id="1071856080">
          <w:marLeft w:val="0"/>
          <w:marRight w:val="0"/>
          <w:marTop w:val="0"/>
          <w:marBottom w:val="0"/>
          <w:divBdr>
            <w:top w:val="none" w:sz="0" w:space="0" w:color="auto"/>
            <w:left w:val="none" w:sz="0" w:space="0" w:color="auto"/>
            <w:bottom w:val="none" w:sz="0" w:space="0" w:color="auto"/>
            <w:right w:val="none" w:sz="0" w:space="0" w:color="auto"/>
          </w:divBdr>
        </w:div>
        <w:div w:id="2073429189">
          <w:marLeft w:val="0"/>
          <w:marRight w:val="0"/>
          <w:marTop w:val="0"/>
          <w:marBottom w:val="0"/>
          <w:divBdr>
            <w:top w:val="none" w:sz="0" w:space="0" w:color="auto"/>
            <w:left w:val="none" w:sz="0" w:space="0" w:color="auto"/>
            <w:bottom w:val="none" w:sz="0" w:space="0" w:color="auto"/>
            <w:right w:val="none" w:sz="0" w:space="0" w:color="auto"/>
          </w:divBdr>
        </w:div>
        <w:div w:id="140119341">
          <w:marLeft w:val="0"/>
          <w:marRight w:val="0"/>
          <w:marTop w:val="0"/>
          <w:marBottom w:val="0"/>
          <w:divBdr>
            <w:top w:val="none" w:sz="0" w:space="0" w:color="auto"/>
            <w:left w:val="none" w:sz="0" w:space="0" w:color="auto"/>
            <w:bottom w:val="none" w:sz="0" w:space="0" w:color="auto"/>
            <w:right w:val="none" w:sz="0" w:space="0" w:color="auto"/>
          </w:divBdr>
        </w:div>
        <w:div w:id="1898780354">
          <w:marLeft w:val="0"/>
          <w:marRight w:val="0"/>
          <w:marTop w:val="0"/>
          <w:marBottom w:val="0"/>
          <w:divBdr>
            <w:top w:val="none" w:sz="0" w:space="0" w:color="auto"/>
            <w:left w:val="none" w:sz="0" w:space="0" w:color="auto"/>
            <w:bottom w:val="none" w:sz="0" w:space="0" w:color="auto"/>
            <w:right w:val="none" w:sz="0" w:space="0" w:color="auto"/>
          </w:divBdr>
        </w:div>
        <w:div w:id="265162730">
          <w:marLeft w:val="0"/>
          <w:marRight w:val="0"/>
          <w:marTop w:val="0"/>
          <w:marBottom w:val="0"/>
          <w:divBdr>
            <w:top w:val="none" w:sz="0" w:space="0" w:color="auto"/>
            <w:left w:val="none" w:sz="0" w:space="0" w:color="auto"/>
            <w:bottom w:val="none" w:sz="0" w:space="0" w:color="auto"/>
            <w:right w:val="none" w:sz="0" w:space="0" w:color="auto"/>
          </w:divBdr>
        </w:div>
        <w:div w:id="1588031419">
          <w:marLeft w:val="0"/>
          <w:marRight w:val="0"/>
          <w:marTop w:val="0"/>
          <w:marBottom w:val="0"/>
          <w:divBdr>
            <w:top w:val="none" w:sz="0" w:space="0" w:color="auto"/>
            <w:left w:val="none" w:sz="0" w:space="0" w:color="auto"/>
            <w:bottom w:val="none" w:sz="0" w:space="0" w:color="auto"/>
            <w:right w:val="none" w:sz="0" w:space="0" w:color="auto"/>
          </w:divBdr>
          <w:divsChild>
            <w:div w:id="151526333">
              <w:marLeft w:val="0"/>
              <w:marRight w:val="0"/>
              <w:marTop w:val="0"/>
              <w:marBottom w:val="0"/>
              <w:divBdr>
                <w:top w:val="none" w:sz="0" w:space="0" w:color="auto"/>
                <w:left w:val="none" w:sz="0" w:space="0" w:color="auto"/>
                <w:bottom w:val="none" w:sz="0" w:space="0" w:color="auto"/>
                <w:right w:val="none" w:sz="0" w:space="0" w:color="auto"/>
              </w:divBdr>
            </w:div>
            <w:div w:id="925460730">
              <w:marLeft w:val="0"/>
              <w:marRight w:val="0"/>
              <w:marTop w:val="0"/>
              <w:marBottom w:val="0"/>
              <w:divBdr>
                <w:top w:val="none" w:sz="0" w:space="0" w:color="auto"/>
                <w:left w:val="none" w:sz="0" w:space="0" w:color="auto"/>
                <w:bottom w:val="none" w:sz="0" w:space="0" w:color="auto"/>
                <w:right w:val="none" w:sz="0" w:space="0" w:color="auto"/>
              </w:divBdr>
            </w:div>
            <w:div w:id="1946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3985">
      <w:bodyDiv w:val="1"/>
      <w:marLeft w:val="0"/>
      <w:marRight w:val="0"/>
      <w:marTop w:val="0"/>
      <w:marBottom w:val="0"/>
      <w:divBdr>
        <w:top w:val="none" w:sz="0" w:space="0" w:color="auto"/>
        <w:left w:val="none" w:sz="0" w:space="0" w:color="auto"/>
        <w:bottom w:val="none" w:sz="0" w:space="0" w:color="auto"/>
        <w:right w:val="none" w:sz="0" w:space="0" w:color="auto"/>
      </w:divBdr>
    </w:div>
    <w:div w:id="325517638">
      <w:bodyDiv w:val="1"/>
      <w:marLeft w:val="0"/>
      <w:marRight w:val="0"/>
      <w:marTop w:val="0"/>
      <w:marBottom w:val="0"/>
      <w:divBdr>
        <w:top w:val="none" w:sz="0" w:space="0" w:color="auto"/>
        <w:left w:val="none" w:sz="0" w:space="0" w:color="auto"/>
        <w:bottom w:val="none" w:sz="0" w:space="0" w:color="auto"/>
        <w:right w:val="none" w:sz="0" w:space="0" w:color="auto"/>
      </w:divBdr>
    </w:div>
    <w:div w:id="338235550">
      <w:bodyDiv w:val="1"/>
      <w:marLeft w:val="0"/>
      <w:marRight w:val="0"/>
      <w:marTop w:val="0"/>
      <w:marBottom w:val="0"/>
      <w:divBdr>
        <w:top w:val="none" w:sz="0" w:space="0" w:color="auto"/>
        <w:left w:val="none" w:sz="0" w:space="0" w:color="auto"/>
        <w:bottom w:val="none" w:sz="0" w:space="0" w:color="auto"/>
        <w:right w:val="none" w:sz="0" w:space="0" w:color="auto"/>
      </w:divBdr>
    </w:div>
    <w:div w:id="436876490">
      <w:bodyDiv w:val="1"/>
      <w:marLeft w:val="0"/>
      <w:marRight w:val="0"/>
      <w:marTop w:val="0"/>
      <w:marBottom w:val="0"/>
      <w:divBdr>
        <w:top w:val="none" w:sz="0" w:space="0" w:color="auto"/>
        <w:left w:val="none" w:sz="0" w:space="0" w:color="auto"/>
        <w:bottom w:val="none" w:sz="0" w:space="0" w:color="auto"/>
        <w:right w:val="none" w:sz="0" w:space="0" w:color="auto"/>
      </w:divBdr>
    </w:div>
    <w:div w:id="572397174">
      <w:bodyDiv w:val="1"/>
      <w:marLeft w:val="0"/>
      <w:marRight w:val="0"/>
      <w:marTop w:val="0"/>
      <w:marBottom w:val="0"/>
      <w:divBdr>
        <w:top w:val="none" w:sz="0" w:space="0" w:color="auto"/>
        <w:left w:val="none" w:sz="0" w:space="0" w:color="auto"/>
        <w:bottom w:val="none" w:sz="0" w:space="0" w:color="auto"/>
        <w:right w:val="none" w:sz="0" w:space="0" w:color="auto"/>
      </w:divBdr>
    </w:div>
    <w:div w:id="608581583">
      <w:bodyDiv w:val="1"/>
      <w:marLeft w:val="0"/>
      <w:marRight w:val="0"/>
      <w:marTop w:val="0"/>
      <w:marBottom w:val="0"/>
      <w:divBdr>
        <w:top w:val="none" w:sz="0" w:space="0" w:color="auto"/>
        <w:left w:val="none" w:sz="0" w:space="0" w:color="auto"/>
        <w:bottom w:val="none" w:sz="0" w:space="0" w:color="auto"/>
        <w:right w:val="none" w:sz="0" w:space="0" w:color="auto"/>
      </w:divBdr>
    </w:div>
    <w:div w:id="715129037">
      <w:bodyDiv w:val="1"/>
      <w:marLeft w:val="0"/>
      <w:marRight w:val="0"/>
      <w:marTop w:val="0"/>
      <w:marBottom w:val="0"/>
      <w:divBdr>
        <w:top w:val="none" w:sz="0" w:space="0" w:color="auto"/>
        <w:left w:val="none" w:sz="0" w:space="0" w:color="auto"/>
        <w:bottom w:val="none" w:sz="0" w:space="0" w:color="auto"/>
        <w:right w:val="none" w:sz="0" w:space="0" w:color="auto"/>
      </w:divBdr>
    </w:div>
    <w:div w:id="905338156">
      <w:bodyDiv w:val="1"/>
      <w:marLeft w:val="0"/>
      <w:marRight w:val="0"/>
      <w:marTop w:val="0"/>
      <w:marBottom w:val="0"/>
      <w:divBdr>
        <w:top w:val="none" w:sz="0" w:space="0" w:color="auto"/>
        <w:left w:val="none" w:sz="0" w:space="0" w:color="auto"/>
        <w:bottom w:val="none" w:sz="0" w:space="0" w:color="auto"/>
        <w:right w:val="none" w:sz="0" w:space="0" w:color="auto"/>
      </w:divBdr>
    </w:div>
    <w:div w:id="947853221">
      <w:bodyDiv w:val="1"/>
      <w:marLeft w:val="0"/>
      <w:marRight w:val="0"/>
      <w:marTop w:val="0"/>
      <w:marBottom w:val="0"/>
      <w:divBdr>
        <w:top w:val="none" w:sz="0" w:space="0" w:color="auto"/>
        <w:left w:val="none" w:sz="0" w:space="0" w:color="auto"/>
        <w:bottom w:val="none" w:sz="0" w:space="0" w:color="auto"/>
        <w:right w:val="none" w:sz="0" w:space="0" w:color="auto"/>
      </w:divBdr>
    </w:div>
    <w:div w:id="1282305708">
      <w:bodyDiv w:val="1"/>
      <w:marLeft w:val="0"/>
      <w:marRight w:val="0"/>
      <w:marTop w:val="0"/>
      <w:marBottom w:val="0"/>
      <w:divBdr>
        <w:top w:val="none" w:sz="0" w:space="0" w:color="auto"/>
        <w:left w:val="none" w:sz="0" w:space="0" w:color="auto"/>
        <w:bottom w:val="none" w:sz="0" w:space="0" w:color="auto"/>
        <w:right w:val="none" w:sz="0" w:space="0" w:color="auto"/>
      </w:divBdr>
    </w:div>
    <w:div w:id="1323199119">
      <w:bodyDiv w:val="1"/>
      <w:marLeft w:val="0"/>
      <w:marRight w:val="0"/>
      <w:marTop w:val="0"/>
      <w:marBottom w:val="0"/>
      <w:divBdr>
        <w:top w:val="none" w:sz="0" w:space="0" w:color="auto"/>
        <w:left w:val="none" w:sz="0" w:space="0" w:color="auto"/>
        <w:bottom w:val="none" w:sz="0" w:space="0" w:color="auto"/>
        <w:right w:val="none" w:sz="0" w:space="0" w:color="auto"/>
      </w:divBdr>
    </w:div>
    <w:div w:id="1568342322">
      <w:bodyDiv w:val="1"/>
      <w:marLeft w:val="0"/>
      <w:marRight w:val="0"/>
      <w:marTop w:val="0"/>
      <w:marBottom w:val="0"/>
      <w:divBdr>
        <w:top w:val="none" w:sz="0" w:space="0" w:color="auto"/>
        <w:left w:val="none" w:sz="0" w:space="0" w:color="auto"/>
        <w:bottom w:val="none" w:sz="0" w:space="0" w:color="auto"/>
        <w:right w:val="none" w:sz="0" w:space="0" w:color="auto"/>
      </w:divBdr>
      <w:divsChild>
        <w:div w:id="260256991">
          <w:marLeft w:val="0"/>
          <w:marRight w:val="0"/>
          <w:marTop w:val="0"/>
          <w:marBottom w:val="0"/>
          <w:divBdr>
            <w:top w:val="none" w:sz="0" w:space="0" w:color="auto"/>
            <w:left w:val="none" w:sz="0" w:space="0" w:color="auto"/>
            <w:bottom w:val="none" w:sz="0" w:space="0" w:color="auto"/>
            <w:right w:val="none" w:sz="0" w:space="0" w:color="auto"/>
          </w:divBdr>
        </w:div>
        <w:div w:id="850145293">
          <w:marLeft w:val="0"/>
          <w:marRight w:val="0"/>
          <w:marTop w:val="0"/>
          <w:marBottom w:val="0"/>
          <w:divBdr>
            <w:top w:val="none" w:sz="0" w:space="0" w:color="auto"/>
            <w:left w:val="none" w:sz="0" w:space="0" w:color="auto"/>
            <w:bottom w:val="none" w:sz="0" w:space="0" w:color="auto"/>
            <w:right w:val="none" w:sz="0" w:space="0" w:color="auto"/>
          </w:divBdr>
        </w:div>
        <w:div w:id="1515992720">
          <w:marLeft w:val="0"/>
          <w:marRight w:val="0"/>
          <w:marTop w:val="0"/>
          <w:marBottom w:val="0"/>
          <w:divBdr>
            <w:top w:val="none" w:sz="0" w:space="0" w:color="auto"/>
            <w:left w:val="none" w:sz="0" w:space="0" w:color="auto"/>
            <w:bottom w:val="none" w:sz="0" w:space="0" w:color="auto"/>
            <w:right w:val="none" w:sz="0" w:space="0" w:color="auto"/>
          </w:divBdr>
        </w:div>
        <w:div w:id="2042899262">
          <w:marLeft w:val="0"/>
          <w:marRight w:val="0"/>
          <w:marTop w:val="0"/>
          <w:marBottom w:val="0"/>
          <w:divBdr>
            <w:top w:val="none" w:sz="0" w:space="0" w:color="auto"/>
            <w:left w:val="none" w:sz="0" w:space="0" w:color="auto"/>
            <w:bottom w:val="none" w:sz="0" w:space="0" w:color="auto"/>
            <w:right w:val="none" w:sz="0" w:space="0" w:color="auto"/>
          </w:divBdr>
        </w:div>
      </w:divsChild>
    </w:div>
    <w:div w:id="1585459430">
      <w:bodyDiv w:val="1"/>
      <w:marLeft w:val="0"/>
      <w:marRight w:val="0"/>
      <w:marTop w:val="0"/>
      <w:marBottom w:val="0"/>
      <w:divBdr>
        <w:top w:val="none" w:sz="0" w:space="0" w:color="auto"/>
        <w:left w:val="none" w:sz="0" w:space="0" w:color="auto"/>
        <w:bottom w:val="none" w:sz="0" w:space="0" w:color="auto"/>
        <w:right w:val="none" w:sz="0" w:space="0" w:color="auto"/>
      </w:divBdr>
    </w:div>
    <w:div w:id="1589655669">
      <w:bodyDiv w:val="1"/>
      <w:marLeft w:val="0"/>
      <w:marRight w:val="0"/>
      <w:marTop w:val="0"/>
      <w:marBottom w:val="0"/>
      <w:divBdr>
        <w:top w:val="none" w:sz="0" w:space="0" w:color="auto"/>
        <w:left w:val="none" w:sz="0" w:space="0" w:color="auto"/>
        <w:bottom w:val="none" w:sz="0" w:space="0" w:color="auto"/>
        <w:right w:val="none" w:sz="0" w:space="0" w:color="auto"/>
      </w:divBdr>
    </w:div>
    <w:div w:id="1667318239">
      <w:bodyDiv w:val="1"/>
      <w:marLeft w:val="0"/>
      <w:marRight w:val="0"/>
      <w:marTop w:val="0"/>
      <w:marBottom w:val="0"/>
      <w:divBdr>
        <w:top w:val="none" w:sz="0" w:space="0" w:color="auto"/>
        <w:left w:val="none" w:sz="0" w:space="0" w:color="auto"/>
        <w:bottom w:val="none" w:sz="0" w:space="0" w:color="auto"/>
        <w:right w:val="none" w:sz="0" w:space="0" w:color="auto"/>
      </w:divBdr>
    </w:div>
    <w:div w:id="1766030797">
      <w:bodyDiv w:val="1"/>
      <w:marLeft w:val="0"/>
      <w:marRight w:val="0"/>
      <w:marTop w:val="0"/>
      <w:marBottom w:val="0"/>
      <w:divBdr>
        <w:top w:val="none" w:sz="0" w:space="0" w:color="auto"/>
        <w:left w:val="none" w:sz="0" w:space="0" w:color="auto"/>
        <w:bottom w:val="none" w:sz="0" w:space="0" w:color="auto"/>
        <w:right w:val="none" w:sz="0" w:space="0" w:color="auto"/>
      </w:divBdr>
    </w:div>
    <w:div w:id="1766342330">
      <w:bodyDiv w:val="1"/>
      <w:marLeft w:val="0"/>
      <w:marRight w:val="0"/>
      <w:marTop w:val="0"/>
      <w:marBottom w:val="0"/>
      <w:divBdr>
        <w:top w:val="none" w:sz="0" w:space="0" w:color="auto"/>
        <w:left w:val="none" w:sz="0" w:space="0" w:color="auto"/>
        <w:bottom w:val="none" w:sz="0" w:space="0" w:color="auto"/>
        <w:right w:val="none" w:sz="0" w:space="0" w:color="auto"/>
      </w:divBdr>
    </w:div>
    <w:div w:id="1767843559">
      <w:bodyDiv w:val="1"/>
      <w:marLeft w:val="0"/>
      <w:marRight w:val="0"/>
      <w:marTop w:val="0"/>
      <w:marBottom w:val="0"/>
      <w:divBdr>
        <w:top w:val="none" w:sz="0" w:space="0" w:color="auto"/>
        <w:left w:val="none" w:sz="0" w:space="0" w:color="auto"/>
        <w:bottom w:val="none" w:sz="0" w:space="0" w:color="auto"/>
        <w:right w:val="none" w:sz="0" w:space="0" w:color="auto"/>
      </w:divBdr>
    </w:div>
    <w:div w:id="1935821926">
      <w:bodyDiv w:val="1"/>
      <w:marLeft w:val="0"/>
      <w:marRight w:val="0"/>
      <w:marTop w:val="0"/>
      <w:marBottom w:val="0"/>
      <w:divBdr>
        <w:top w:val="none" w:sz="0" w:space="0" w:color="auto"/>
        <w:left w:val="none" w:sz="0" w:space="0" w:color="auto"/>
        <w:bottom w:val="none" w:sz="0" w:space="0" w:color="auto"/>
        <w:right w:val="none" w:sz="0" w:space="0" w:color="auto"/>
      </w:divBdr>
    </w:div>
    <w:div w:id="2091536276">
      <w:bodyDiv w:val="1"/>
      <w:marLeft w:val="0"/>
      <w:marRight w:val="0"/>
      <w:marTop w:val="0"/>
      <w:marBottom w:val="0"/>
      <w:divBdr>
        <w:top w:val="none" w:sz="0" w:space="0" w:color="auto"/>
        <w:left w:val="none" w:sz="0" w:space="0" w:color="auto"/>
        <w:bottom w:val="none" w:sz="0" w:space="0" w:color="auto"/>
        <w:right w:val="none" w:sz="0" w:space="0" w:color="auto"/>
      </w:divBdr>
    </w:div>
    <w:div w:id="2102025237">
      <w:bodyDiv w:val="1"/>
      <w:marLeft w:val="0"/>
      <w:marRight w:val="0"/>
      <w:marTop w:val="0"/>
      <w:marBottom w:val="0"/>
      <w:divBdr>
        <w:top w:val="none" w:sz="0" w:space="0" w:color="auto"/>
        <w:left w:val="none" w:sz="0" w:space="0" w:color="auto"/>
        <w:bottom w:val="none" w:sz="0" w:space="0" w:color="auto"/>
        <w:right w:val="none" w:sz="0" w:space="0" w:color="auto"/>
      </w:divBdr>
    </w:div>
    <w:div w:id="2102600571">
      <w:bodyDiv w:val="1"/>
      <w:marLeft w:val="0"/>
      <w:marRight w:val="0"/>
      <w:marTop w:val="0"/>
      <w:marBottom w:val="0"/>
      <w:divBdr>
        <w:top w:val="none" w:sz="0" w:space="0" w:color="auto"/>
        <w:left w:val="none" w:sz="0" w:space="0" w:color="auto"/>
        <w:bottom w:val="none" w:sz="0" w:space="0" w:color="auto"/>
        <w:right w:val="none" w:sz="0" w:space="0" w:color="auto"/>
      </w:divBdr>
      <w:divsChild>
        <w:div w:id="518082208">
          <w:marLeft w:val="0"/>
          <w:marRight w:val="0"/>
          <w:marTop w:val="0"/>
          <w:marBottom w:val="0"/>
          <w:divBdr>
            <w:top w:val="none" w:sz="0" w:space="0" w:color="auto"/>
            <w:left w:val="none" w:sz="0" w:space="0" w:color="auto"/>
            <w:bottom w:val="none" w:sz="0" w:space="0" w:color="auto"/>
            <w:right w:val="none" w:sz="0" w:space="0" w:color="auto"/>
          </w:divBdr>
        </w:div>
      </w:divsChild>
    </w:div>
    <w:div w:id="21462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F8FE-6EF2-4127-8F77-7E4DD75D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D173CBDE</Template>
  <TotalTime>1</TotalTime>
  <Pages>20</Pages>
  <Words>9892</Words>
  <Characters>52961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Distrital de Planeacion</Company>
  <LinksUpToDate>false</LinksUpToDate>
  <CharactersWithSpaces>62728</CharactersWithSpaces>
  <SharedDoc>false</SharedDoc>
  <HLinks>
    <vt:vector size="6" baseType="variant">
      <vt:variant>
        <vt:i4>2555916</vt:i4>
      </vt:variant>
      <vt:variant>
        <vt:i4>0</vt:i4>
      </vt:variant>
      <vt:variant>
        <vt:i4>0</vt:i4>
      </vt:variant>
      <vt:variant>
        <vt:i4>5</vt:i4>
      </vt:variant>
      <vt:variant>
        <vt:lpwstr>http://www.sdp.gov.co/portal/pls/portal/buzonjudical@sdp.gov.co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groa</dc:creator>
  <cp:keywords/>
  <dc:description/>
  <cp:lastModifiedBy>Efren Garcia Santacruz</cp:lastModifiedBy>
  <cp:revision>2</cp:revision>
  <cp:lastPrinted>2011-11-10T19:54:00Z</cp:lastPrinted>
  <dcterms:created xsi:type="dcterms:W3CDTF">2017-12-14T16:30:00Z</dcterms:created>
  <dcterms:modified xsi:type="dcterms:W3CDTF">2017-12-14T16:30:00Z</dcterms:modified>
</cp:coreProperties>
</file>