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D6" w:rsidRPr="003E774D" w:rsidRDefault="003E52D6" w:rsidP="002A66C6">
      <w:pPr>
        <w:jc w:val="both"/>
        <w:rPr>
          <w:rFonts w:ascii="Times New Roman" w:hAnsi="Times New Roman"/>
          <w:sz w:val="22"/>
          <w:szCs w:val="22"/>
        </w:rPr>
      </w:pPr>
      <w:bookmarkStart w:id="0" w:name="_GoBack"/>
      <w:bookmarkEnd w:id="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3960"/>
      </w:tblGrid>
      <w:tr w:rsidR="0012640D" w:rsidRPr="00BD0D95" w:rsidTr="00B474EC">
        <w:trPr>
          <w:trHeight w:val="529"/>
        </w:trPr>
        <w:tc>
          <w:tcPr>
            <w:tcW w:w="9288" w:type="dxa"/>
            <w:gridSpan w:val="3"/>
            <w:shd w:val="clear" w:color="auto" w:fill="CCCCCC"/>
            <w:vAlign w:val="center"/>
          </w:tcPr>
          <w:p w:rsidR="00740EE8" w:rsidRPr="00BD0D95" w:rsidRDefault="0012640D" w:rsidP="002A66C6">
            <w:pPr>
              <w:ind w:right="-1"/>
              <w:jc w:val="center"/>
              <w:rPr>
                <w:rFonts w:ascii="Times New Roman" w:hAnsi="Times New Roman"/>
                <w:sz w:val="22"/>
                <w:szCs w:val="22"/>
              </w:rPr>
            </w:pPr>
            <w:r w:rsidRPr="00BD0D95">
              <w:rPr>
                <w:rFonts w:ascii="Times New Roman" w:hAnsi="Times New Roman"/>
                <w:sz w:val="22"/>
                <w:szCs w:val="22"/>
              </w:rPr>
              <w:t>INFORME PORMENORIZADO DEL ESTADO DEL CONTROL INTERNO</w:t>
            </w:r>
          </w:p>
          <w:p w:rsidR="006C2538" w:rsidRPr="00BD0D95" w:rsidRDefault="006C2538" w:rsidP="002A66C6">
            <w:pPr>
              <w:ind w:right="-1"/>
              <w:jc w:val="center"/>
              <w:rPr>
                <w:rFonts w:ascii="Times New Roman" w:hAnsi="Times New Roman"/>
                <w:sz w:val="22"/>
                <w:szCs w:val="22"/>
              </w:rPr>
            </w:pPr>
            <w:r w:rsidRPr="00BD0D95">
              <w:rPr>
                <w:rFonts w:ascii="Times New Roman" w:hAnsi="Times New Roman"/>
                <w:sz w:val="22"/>
                <w:szCs w:val="22"/>
              </w:rPr>
              <w:t>SECRETARÍA DISTRITAL DE PLANEACIÓN</w:t>
            </w:r>
          </w:p>
          <w:p w:rsidR="0012640D" w:rsidRPr="00BD0D95" w:rsidRDefault="0012640D" w:rsidP="002A66C6">
            <w:pPr>
              <w:ind w:right="-1"/>
              <w:jc w:val="center"/>
              <w:rPr>
                <w:rFonts w:ascii="Times New Roman" w:hAnsi="Times New Roman"/>
                <w:sz w:val="22"/>
                <w:szCs w:val="22"/>
              </w:rPr>
            </w:pPr>
            <w:r w:rsidRPr="00BD0D95">
              <w:rPr>
                <w:rFonts w:ascii="Times New Roman" w:hAnsi="Times New Roman"/>
                <w:sz w:val="22"/>
                <w:szCs w:val="22"/>
              </w:rPr>
              <w:t>LEY 1474 DE 2011</w:t>
            </w:r>
          </w:p>
        </w:tc>
      </w:tr>
      <w:tr w:rsidR="0012640D" w:rsidRPr="003E774D" w:rsidTr="00B474EC">
        <w:trPr>
          <w:trHeight w:val="350"/>
        </w:trPr>
        <w:tc>
          <w:tcPr>
            <w:tcW w:w="2808" w:type="dxa"/>
            <w:vMerge w:val="restart"/>
            <w:vAlign w:val="center"/>
          </w:tcPr>
          <w:p w:rsidR="0012640D" w:rsidRPr="003E774D" w:rsidRDefault="0012640D" w:rsidP="002A66C6">
            <w:pPr>
              <w:ind w:right="-1"/>
              <w:jc w:val="both"/>
              <w:rPr>
                <w:rFonts w:ascii="Times New Roman" w:hAnsi="Times New Roman"/>
                <w:b/>
                <w:sz w:val="22"/>
                <w:szCs w:val="22"/>
              </w:rPr>
            </w:pPr>
            <w:r w:rsidRPr="003E774D">
              <w:rPr>
                <w:rFonts w:ascii="Times New Roman" w:hAnsi="Times New Roman"/>
                <w:b/>
                <w:sz w:val="22"/>
                <w:szCs w:val="22"/>
              </w:rPr>
              <w:t xml:space="preserve">Jefe de Control Interno </w:t>
            </w:r>
          </w:p>
        </w:tc>
        <w:tc>
          <w:tcPr>
            <w:tcW w:w="2520" w:type="dxa"/>
            <w:vMerge w:val="restart"/>
            <w:vAlign w:val="center"/>
          </w:tcPr>
          <w:p w:rsidR="0012640D" w:rsidRPr="003E774D" w:rsidRDefault="00FE526A" w:rsidP="002A66C6">
            <w:pPr>
              <w:ind w:right="-1"/>
              <w:jc w:val="both"/>
              <w:rPr>
                <w:rFonts w:ascii="Times New Roman" w:hAnsi="Times New Roman"/>
                <w:sz w:val="22"/>
                <w:szCs w:val="22"/>
              </w:rPr>
            </w:pPr>
            <w:r w:rsidRPr="003E774D">
              <w:rPr>
                <w:rFonts w:ascii="Times New Roman" w:hAnsi="Times New Roman"/>
                <w:sz w:val="22"/>
                <w:szCs w:val="22"/>
              </w:rPr>
              <w:t>Piedad Roa Carrero</w:t>
            </w:r>
          </w:p>
        </w:tc>
        <w:tc>
          <w:tcPr>
            <w:tcW w:w="3960" w:type="dxa"/>
            <w:vAlign w:val="center"/>
          </w:tcPr>
          <w:p w:rsidR="000D21CF" w:rsidRPr="003E774D" w:rsidRDefault="0012640D" w:rsidP="002A66C6">
            <w:pPr>
              <w:ind w:right="-1"/>
              <w:jc w:val="both"/>
              <w:rPr>
                <w:rFonts w:ascii="Times New Roman" w:hAnsi="Times New Roman"/>
                <w:sz w:val="22"/>
                <w:szCs w:val="22"/>
              </w:rPr>
            </w:pPr>
            <w:r w:rsidRPr="003E774D">
              <w:rPr>
                <w:rFonts w:ascii="Times New Roman" w:hAnsi="Times New Roman"/>
                <w:b/>
                <w:sz w:val="22"/>
                <w:szCs w:val="22"/>
              </w:rPr>
              <w:t>Periodo Evaluado:</w:t>
            </w:r>
            <w:r w:rsidR="00FE526A" w:rsidRPr="003E774D">
              <w:rPr>
                <w:rFonts w:ascii="Times New Roman" w:hAnsi="Times New Roman"/>
                <w:sz w:val="22"/>
                <w:szCs w:val="22"/>
              </w:rPr>
              <w:t xml:space="preserve"> </w:t>
            </w:r>
          </w:p>
          <w:p w:rsidR="0012640D" w:rsidRPr="003E774D" w:rsidRDefault="007A60A2" w:rsidP="007A60A2">
            <w:pPr>
              <w:ind w:right="-1"/>
              <w:jc w:val="both"/>
              <w:rPr>
                <w:rFonts w:ascii="Times New Roman" w:hAnsi="Times New Roman"/>
                <w:sz w:val="22"/>
                <w:szCs w:val="22"/>
              </w:rPr>
            </w:pPr>
            <w:r w:rsidRPr="003E774D">
              <w:rPr>
                <w:rFonts w:ascii="Times New Roman" w:hAnsi="Times New Roman"/>
                <w:sz w:val="22"/>
                <w:szCs w:val="22"/>
              </w:rPr>
              <w:t>Agosto a noviembre</w:t>
            </w:r>
            <w:r w:rsidR="00563AD3" w:rsidRPr="003E774D">
              <w:rPr>
                <w:rFonts w:ascii="Times New Roman" w:hAnsi="Times New Roman"/>
                <w:sz w:val="22"/>
                <w:szCs w:val="22"/>
              </w:rPr>
              <w:t xml:space="preserve"> de 2017</w:t>
            </w:r>
          </w:p>
        </w:tc>
      </w:tr>
      <w:tr w:rsidR="0012640D" w:rsidRPr="003E774D" w:rsidTr="00B474EC">
        <w:trPr>
          <w:trHeight w:val="346"/>
        </w:trPr>
        <w:tc>
          <w:tcPr>
            <w:tcW w:w="2808" w:type="dxa"/>
            <w:vMerge/>
            <w:vAlign w:val="center"/>
          </w:tcPr>
          <w:p w:rsidR="0012640D" w:rsidRPr="003E774D" w:rsidRDefault="0012640D" w:rsidP="002A66C6">
            <w:pPr>
              <w:ind w:right="-1"/>
              <w:jc w:val="both"/>
              <w:rPr>
                <w:rFonts w:ascii="Times New Roman" w:hAnsi="Times New Roman"/>
                <w:sz w:val="22"/>
                <w:szCs w:val="22"/>
              </w:rPr>
            </w:pPr>
          </w:p>
        </w:tc>
        <w:tc>
          <w:tcPr>
            <w:tcW w:w="2520" w:type="dxa"/>
            <w:vMerge/>
            <w:vAlign w:val="center"/>
          </w:tcPr>
          <w:p w:rsidR="0012640D" w:rsidRPr="003E774D" w:rsidRDefault="0012640D" w:rsidP="002A66C6">
            <w:pPr>
              <w:ind w:right="-1"/>
              <w:jc w:val="both"/>
              <w:rPr>
                <w:rFonts w:ascii="Times New Roman" w:hAnsi="Times New Roman"/>
                <w:sz w:val="22"/>
                <w:szCs w:val="22"/>
              </w:rPr>
            </w:pPr>
          </w:p>
        </w:tc>
        <w:tc>
          <w:tcPr>
            <w:tcW w:w="3960" w:type="dxa"/>
            <w:vAlign w:val="center"/>
          </w:tcPr>
          <w:p w:rsidR="00563AD3" w:rsidRPr="003E774D" w:rsidRDefault="00FE4BA0" w:rsidP="002A66C6">
            <w:pPr>
              <w:ind w:right="-1"/>
              <w:jc w:val="both"/>
              <w:rPr>
                <w:rFonts w:ascii="Times New Roman" w:hAnsi="Times New Roman"/>
                <w:b/>
                <w:bCs/>
                <w:sz w:val="22"/>
                <w:szCs w:val="22"/>
              </w:rPr>
            </w:pPr>
            <w:r w:rsidRPr="003E774D">
              <w:rPr>
                <w:rFonts w:ascii="Times New Roman" w:hAnsi="Times New Roman"/>
                <w:b/>
                <w:bCs/>
                <w:sz w:val="22"/>
                <w:szCs w:val="22"/>
              </w:rPr>
              <w:t>Fecha de Elaboración:</w:t>
            </w:r>
            <w:r w:rsidR="00B43966" w:rsidRPr="003E774D">
              <w:rPr>
                <w:rFonts w:ascii="Times New Roman" w:hAnsi="Times New Roman"/>
                <w:b/>
                <w:bCs/>
                <w:sz w:val="22"/>
                <w:szCs w:val="22"/>
              </w:rPr>
              <w:t xml:space="preserve"> </w:t>
            </w:r>
          </w:p>
          <w:p w:rsidR="005E41B8" w:rsidRPr="003E774D" w:rsidRDefault="007A60A2" w:rsidP="002A66C6">
            <w:pPr>
              <w:ind w:right="-1"/>
              <w:jc w:val="both"/>
              <w:rPr>
                <w:rFonts w:ascii="Times New Roman" w:hAnsi="Times New Roman"/>
                <w:bCs/>
                <w:sz w:val="22"/>
                <w:szCs w:val="22"/>
              </w:rPr>
            </w:pPr>
            <w:r w:rsidRPr="003E774D">
              <w:rPr>
                <w:rFonts w:ascii="Times New Roman" w:hAnsi="Times New Roman"/>
                <w:bCs/>
                <w:sz w:val="22"/>
                <w:szCs w:val="22"/>
              </w:rPr>
              <w:t>Noviembre 2017</w:t>
            </w:r>
          </w:p>
        </w:tc>
      </w:tr>
    </w:tbl>
    <w:p w:rsidR="000758AC" w:rsidRPr="003E774D" w:rsidRDefault="000758AC" w:rsidP="002A66C6">
      <w:pPr>
        <w:ind w:right="-1"/>
        <w:jc w:val="both"/>
        <w:rPr>
          <w:rFonts w:ascii="Times New Roman" w:hAnsi="Times New Roman"/>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640D" w:rsidRPr="003E774D" w:rsidTr="00A92C0B">
        <w:trPr>
          <w:trHeight w:val="464"/>
        </w:trPr>
        <w:tc>
          <w:tcPr>
            <w:tcW w:w="9356" w:type="dxa"/>
            <w:shd w:val="clear" w:color="auto" w:fill="CCCCCC"/>
            <w:vAlign w:val="center"/>
          </w:tcPr>
          <w:p w:rsidR="00996119" w:rsidRPr="003E774D" w:rsidRDefault="00095D44" w:rsidP="006C2538">
            <w:pPr>
              <w:numPr>
                <w:ilvl w:val="0"/>
                <w:numId w:val="1"/>
              </w:numPr>
              <w:ind w:right="-1"/>
              <w:jc w:val="center"/>
              <w:rPr>
                <w:rFonts w:ascii="Times New Roman" w:hAnsi="Times New Roman"/>
                <w:b/>
                <w:sz w:val="22"/>
                <w:szCs w:val="22"/>
              </w:rPr>
            </w:pPr>
            <w:r w:rsidRPr="003E774D">
              <w:rPr>
                <w:rFonts w:ascii="Times New Roman" w:hAnsi="Times New Roman"/>
                <w:b/>
                <w:sz w:val="22"/>
                <w:szCs w:val="22"/>
              </w:rPr>
              <w:t>MÓDULO DE CONTROL DE PLANEACIÓN Y GESTIÓN</w:t>
            </w:r>
          </w:p>
        </w:tc>
      </w:tr>
      <w:tr w:rsidR="0012640D" w:rsidRPr="003E774D" w:rsidTr="00655722">
        <w:tc>
          <w:tcPr>
            <w:tcW w:w="9356" w:type="dxa"/>
          </w:tcPr>
          <w:p w:rsidR="00256324" w:rsidRPr="003E774D" w:rsidRDefault="00256324" w:rsidP="000C2DA1">
            <w:pPr>
              <w:tabs>
                <w:tab w:val="left" w:pos="2910"/>
              </w:tabs>
              <w:ind w:left="180" w:right="-1"/>
              <w:jc w:val="both"/>
              <w:rPr>
                <w:rFonts w:ascii="Times New Roman" w:hAnsi="Times New Roman"/>
                <w:b/>
                <w:sz w:val="22"/>
                <w:szCs w:val="22"/>
              </w:rPr>
            </w:pPr>
          </w:p>
          <w:p w:rsidR="00393456" w:rsidRPr="003E774D" w:rsidRDefault="00095D44" w:rsidP="000C2DA1">
            <w:pPr>
              <w:pStyle w:val="Prrafodelista"/>
              <w:numPr>
                <w:ilvl w:val="1"/>
                <w:numId w:val="7"/>
              </w:numPr>
              <w:tabs>
                <w:tab w:val="left" w:pos="2910"/>
              </w:tabs>
              <w:jc w:val="both"/>
              <w:rPr>
                <w:rFonts w:ascii="Times New Roman" w:hAnsi="Times New Roman"/>
              </w:rPr>
            </w:pPr>
            <w:r w:rsidRPr="003E774D">
              <w:rPr>
                <w:rFonts w:ascii="Times New Roman" w:hAnsi="Times New Roman"/>
                <w:b/>
              </w:rPr>
              <w:t>COMPONENTE: DESARROLLO DEL TALENTO HUMANO</w:t>
            </w:r>
            <w:r w:rsidR="006B5E87" w:rsidRPr="003E774D">
              <w:rPr>
                <w:rFonts w:ascii="Times New Roman" w:hAnsi="Times New Roman"/>
                <w:b/>
              </w:rPr>
              <w:t xml:space="preserve">. </w:t>
            </w:r>
          </w:p>
          <w:p w:rsidR="00B06005" w:rsidRPr="003E774D" w:rsidRDefault="00B06005" w:rsidP="000C2DA1">
            <w:pPr>
              <w:tabs>
                <w:tab w:val="left" w:pos="2910"/>
              </w:tabs>
              <w:jc w:val="both"/>
              <w:rPr>
                <w:rFonts w:ascii="Times New Roman" w:hAnsi="Times New Roman"/>
                <w:sz w:val="22"/>
                <w:szCs w:val="22"/>
              </w:rPr>
            </w:pPr>
            <w:r w:rsidRPr="003E774D">
              <w:rPr>
                <w:rFonts w:ascii="Times New Roman" w:hAnsi="Times New Roman"/>
                <w:sz w:val="22"/>
                <w:szCs w:val="22"/>
              </w:rPr>
              <w:t>Frente a este compo</w:t>
            </w:r>
            <w:r w:rsidR="00393456" w:rsidRPr="003E774D">
              <w:rPr>
                <w:rFonts w:ascii="Times New Roman" w:hAnsi="Times New Roman"/>
                <w:sz w:val="22"/>
                <w:szCs w:val="22"/>
              </w:rPr>
              <w:t>nente, se adelantaron las siguientes acciones:</w:t>
            </w:r>
          </w:p>
          <w:p w:rsidR="003E774D" w:rsidRPr="003E774D" w:rsidRDefault="003E774D" w:rsidP="000C2DA1">
            <w:pPr>
              <w:tabs>
                <w:tab w:val="left" w:pos="2910"/>
              </w:tabs>
              <w:jc w:val="both"/>
              <w:rPr>
                <w:rFonts w:ascii="Times New Roman" w:hAnsi="Times New Roman"/>
                <w:sz w:val="22"/>
                <w:szCs w:val="22"/>
              </w:rPr>
            </w:pPr>
          </w:p>
          <w:p w:rsidR="00B06005" w:rsidRPr="003E774D" w:rsidRDefault="00B06005" w:rsidP="000C2DA1">
            <w:pPr>
              <w:tabs>
                <w:tab w:val="left" w:pos="2910"/>
              </w:tabs>
              <w:jc w:val="both"/>
              <w:rPr>
                <w:rFonts w:ascii="Times New Roman" w:hAnsi="Times New Roman"/>
                <w:color w:val="222222"/>
                <w:sz w:val="22"/>
                <w:szCs w:val="22"/>
                <w:lang w:val="es-CO" w:eastAsia="es-CO"/>
              </w:rPr>
            </w:pPr>
            <w:r w:rsidRPr="003E774D">
              <w:rPr>
                <w:rFonts w:ascii="Times New Roman" w:hAnsi="Times New Roman"/>
                <w:color w:val="500050"/>
                <w:sz w:val="22"/>
                <w:szCs w:val="22"/>
                <w:shd w:val="clear" w:color="auto" w:fill="FFFFFF"/>
                <w:lang w:eastAsia="es-CO"/>
              </w:rPr>
              <w:t> </w:t>
            </w:r>
            <w:r w:rsidRPr="003E774D">
              <w:rPr>
                <w:rFonts w:ascii="Times New Roman" w:hAnsi="Times New Roman"/>
                <w:b/>
                <w:sz w:val="22"/>
                <w:szCs w:val="22"/>
                <w:lang w:eastAsia="en-US"/>
              </w:rPr>
              <w:t xml:space="preserve">- </w:t>
            </w:r>
            <w:r w:rsidRPr="003E774D">
              <w:rPr>
                <w:rFonts w:ascii="Times New Roman" w:hAnsi="Times New Roman"/>
                <w:b/>
                <w:color w:val="222222"/>
                <w:sz w:val="22"/>
                <w:szCs w:val="22"/>
                <w:lang w:val="es-CO" w:eastAsia="es-CO"/>
              </w:rPr>
              <w:t>Desarrollo Talento Humano</w:t>
            </w:r>
            <w:r w:rsidRPr="003E774D">
              <w:rPr>
                <w:rFonts w:ascii="Times New Roman" w:hAnsi="Times New Roman"/>
                <w:color w:val="222222"/>
                <w:sz w:val="22"/>
                <w:szCs w:val="22"/>
                <w:lang w:val="es-CO" w:eastAsia="es-CO"/>
              </w:rPr>
              <w:t>: La entidad continuó realizando gestiones relacionadas con la vinculación de personal que ganó empleos en la convocatoria 323 de 2014, verificando cumplimiento de perfiles, e incorporando según las firmezas de</w:t>
            </w:r>
            <w:r w:rsidR="006B5E87" w:rsidRPr="003E774D">
              <w:rPr>
                <w:rFonts w:ascii="Times New Roman" w:hAnsi="Times New Roman"/>
                <w:color w:val="222222"/>
                <w:sz w:val="22"/>
                <w:szCs w:val="22"/>
                <w:lang w:val="es-CO" w:eastAsia="es-CO"/>
              </w:rPr>
              <w:t xml:space="preserve"> </w:t>
            </w:r>
            <w:r w:rsidRPr="003E774D">
              <w:rPr>
                <w:rFonts w:ascii="Times New Roman" w:hAnsi="Times New Roman"/>
                <w:color w:val="222222"/>
                <w:sz w:val="22"/>
                <w:szCs w:val="22"/>
                <w:lang w:val="es-CO" w:eastAsia="es-CO"/>
              </w:rPr>
              <w:t>las listas que remite la Comisión Nacional del Servicio Civil.</w:t>
            </w:r>
          </w:p>
          <w:p w:rsidR="006B5E87" w:rsidRPr="003E774D" w:rsidRDefault="006B5E87" w:rsidP="000C2DA1">
            <w:pPr>
              <w:tabs>
                <w:tab w:val="left" w:pos="2910"/>
              </w:tabs>
              <w:jc w:val="both"/>
              <w:rPr>
                <w:rFonts w:ascii="Times New Roman" w:hAnsi="Times New Roman"/>
                <w:b/>
                <w:sz w:val="22"/>
                <w:szCs w:val="22"/>
                <w:lang w:eastAsia="en-US"/>
              </w:rPr>
            </w:pPr>
          </w:p>
          <w:p w:rsidR="00B06005" w:rsidRPr="003E774D" w:rsidRDefault="006B5E87" w:rsidP="000C2DA1">
            <w:pPr>
              <w:shd w:val="clear" w:color="auto" w:fill="FFFFFF"/>
              <w:jc w:val="both"/>
              <w:rPr>
                <w:rFonts w:ascii="Times New Roman" w:hAnsi="Times New Roman"/>
                <w:color w:val="222222"/>
                <w:sz w:val="22"/>
                <w:szCs w:val="22"/>
                <w:lang w:eastAsia="es-CO"/>
              </w:rPr>
            </w:pPr>
            <w:r w:rsidRPr="003E774D">
              <w:rPr>
                <w:rFonts w:ascii="Times New Roman" w:hAnsi="Times New Roman"/>
                <w:color w:val="222222"/>
                <w:sz w:val="22"/>
                <w:szCs w:val="22"/>
                <w:lang w:eastAsia="es-CO"/>
              </w:rPr>
              <w:t>-</w:t>
            </w:r>
            <w:r w:rsidRPr="003E774D">
              <w:rPr>
                <w:rFonts w:ascii="Times New Roman" w:hAnsi="Times New Roman"/>
                <w:b/>
                <w:color w:val="222222"/>
                <w:sz w:val="22"/>
                <w:szCs w:val="22"/>
                <w:lang w:eastAsia="es-CO"/>
              </w:rPr>
              <w:t>Protocolos  Éticos</w:t>
            </w:r>
            <w:r w:rsidRPr="003E774D">
              <w:rPr>
                <w:rFonts w:ascii="Times New Roman" w:hAnsi="Times New Roman"/>
                <w:color w:val="222222"/>
                <w:sz w:val="22"/>
                <w:szCs w:val="22"/>
                <w:lang w:eastAsia="es-CO"/>
              </w:rPr>
              <w:t xml:space="preserve">. </w:t>
            </w:r>
            <w:r w:rsidR="00B06005" w:rsidRPr="003E774D">
              <w:rPr>
                <w:rFonts w:ascii="Times New Roman" w:hAnsi="Times New Roman"/>
                <w:color w:val="222222"/>
                <w:sz w:val="22"/>
                <w:szCs w:val="22"/>
                <w:lang w:eastAsia="es-CO"/>
              </w:rPr>
              <w:t>En cuanto a los protocolos éticos</w:t>
            </w:r>
            <w:r w:rsidRPr="003E774D">
              <w:rPr>
                <w:rFonts w:ascii="Times New Roman" w:hAnsi="Times New Roman"/>
                <w:color w:val="222222"/>
                <w:sz w:val="22"/>
                <w:szCs w:val="22"/>
                <w:lang w:eastAsia="es-CO"/>
              </w:rPr>
              <w:t xml:space="preserve">, </w:t>
            </w:r>
            <w:r w:rsidR="00B06005" w:rsidRPr="003E774D">
              <w:rPr>
                <w:rFonts w:ascii="Times New Roman" w:hAnsi="Times New Roman"/>
                <w:color w:val="222222"/>
                <w:sz w:val="22"/>
                <w:szCs w:val="22"/>
                <w:lang w:eastAsia="es-CO"/>
              </w:rPr>
              <w:t>el Comité de Ética aplicó una encuesta sobre la percepción del Código Ético de la entidad y realizó gestiones para contactar un expositor</w:t>
            </w:r>
            <w:r w:rsidRPr="003E774D">
              <w:rPr>
                <w:rFonts w:ascii="Times New Roman" w:hAnsi="Times New Roman"/>
                <w:color w:val="222222"/>
                <w:sz w:val="22"/>
                <w:szCs w:val="22"/>
                <w:lang w:eastAsia="es-CO"/>
              </w:rPr>
              <w:t xml:space="preserve"> con el propósito de </w:t>
            </w:r>
            <w:r w:rsidR="00B06005" w:rsidRPr="003E774D">
              <w:rPr>
                <w:rFonts w:ascii="Times New Roman" w:hAnsi="Times New Roman"/>
                <w:color w:val="222222"/>
                <w:sz w:val="22"/>
                <w:szCs w:val="22"/>
                <w:lang w:eastAsia="es-CO"/>
              </w:rPr>
              <w:t xml:space="preserve"> hacer una socialización sobre los valores y principios éticos que la entidad apropió. Esta socialización se realizó en el mes de octubre</w:t>
            </w:r>
            <w:r w:rsidR="003E774D">
              <w:rPr>
                <w:rFonts w:ascii="Times New Roman" w:hAnsi="Times New Roman"/>
                <w:color w:val="222222"/>
                <w:sz w:val="22"/>
                <w:szCs w:val="22"/>
                <w:lang w:eastAsia="es-CO"/>
              </w:rPr>
              <w:t>.</w:t>
            </w:r>
          </w:p>
          <w:p w:rsidR="006B5E87" w:rsidRPr="003E774D" w:rsidRDefault="006B5E87" w:rsidP="000C2DA1">
            <w:pPr>
              <w:shd w:val="clear" w:color="auto" w:fill="FFFFFF"/>
              <w:jc w:val="both"/>
              <w:rPr>
                <w:rFonts w:ascii="Times New Roman" w:hAnsi="Times New Roman"/>
                <w:color w:val="222222"/>
                <w:sz w:val="22"/>
                <w:szCs w:val="22"/>
                <w:lang w:eastAsia="es-CO"/>
              </w:rPr>
            </w:pPr>
          </w:p>
          <w:p w:rsidR="00B06005" w:rsidRPr="003E774D" w:rsidRDefault="00B06005" w:rsidP="000C2DA1">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w:t>
            </w:r>
            <w:r w:rsidRPr="003E774D">
              <w:rPr>
                <w:rFonts w:ascii="Times New Roman" w:hAnsi="Times New Roman"/>
                <w:b/>
                <w:color w:val="222222"/>
                <w:sz w:val="22"/>
                <w:szCs w:val="22"/>
                <w:lang w:val="es-CO" w:eastAsia="es-CO"/>
              </w:rPr>
              <w:t>Ejecución Plan de Capacitación</w:t>
            </w:r>
            <w:r w:rsidRPr="003E774D">
              <w:rPr>
                <w:rFonts w:ascii="Times New Roman" w:hAnsi="Times New Roman"/>
                <w:color w:val="222222"/>
                <w:sz w:val="22"/>
                <w:szCs w:val="22"/>
                <w:lang w:val="es-CO" w:eastAsia="es-CO"/>
              </w:rPr>
              <w:t>: </w:t>
            </w:r>
            <w:r w:rsidR="003E774D">
              <w:rPr>
                <w:rFonts w:ascii="Times New Roman" w:hAnsi="Times New Roman"/>
                <w:color w:val="222222"/>
                <w:sz w:val="22"/>
                <w:szCs w:val="22"/>
                <w:lang w:val="es-CO" w:eastAsia="es-CO"/>
              </w:rPr>
              <w:t>E</w:t>
            </w:r>
            <w:r w:rsidR="00393456" w:rsidRPr="003E774D">
              <w:rPr>
                <w:rFonts w:ascii="Times New Roman" w:hAnsi="Times New Roman"/>
                <w:color w:val="222222"/>
                <w:sz w:val="22"/>
                <w:szCs w:val="22"/>
                <w:lang w:val="es-CO" w:eastAsia="es-CO"/>
              </w:rPr>
              <w:t>n este período se</w:t>
            </w:r>
            <w:r w:rsidRPr="003E774D">
              <w:rPr>
                <w:rFonts w:ascii="Times New Roman" w:hAnsi="Times New Roman"/>
                <w:color w:val="222222"/>
                <w:sz w:val="22"/>
                <w:szCs w:val="22"/>
                <w:lang w:val="es-CO" w:eastAsia="es-CO"/>
              </w:rPr>
              <w:t xml:space="preserve"> realizaron 15 actividades (internas y externas), con una duración de 256.5 horas, participaron 238 servidores de la entidad para un total de 1962 horas hombre de capacitación. </w:t>
            </w:r>
          </w:p>
          <w:p w:rsidR="006B5E87" w:rsidRPr="003E774D" w:rsidRDefault="006B5E87" w:rsidP="000C2DA1">
            <w:pPr>
              <w:shd w:val="clear" w:color="auto" w:fill="FFFFFF"/>
              <w:jc w:val="both"/>
              <w:rPr>
                <w:rFonts w:ascii="Times New Roman" w:hAnsi="Times New Roman"/>
                <w:color w:val="222222"/>
                <w:sz w:val="22"/>
                <w:szCs w:val="22"/>
                <w:lang w:val="es-CO" w:eastAsia="es-CO"/>
              </w:rPr>
            </w:pPr>
          </w:p>
          <w:p w:rsidR="00B06005" w:rsidRPr="003E774D" w:rsidRDefault="00B06005" w:rsidP="000C2DA1">
            <w:pPr>
              <w:shd w:val="clear" w:color="auto" w:fill="FFFFFF"/>
              <w:jc w:val="both"/>
              <w:rPr>
                <w:rFonts w:ascii="Times New Roman" w:hAnsi="Times New Roman"/>
                <w:color w:val="222222"/>
                <w:sz w:val="22"/>
                <w:szCs w:val="22"/>
                <w:lang w:val="es-CO" w:eastAsia="es-CO"/>
              </w:rPr>
            </w:pPr>
            <w:r w:rsidRPr="003E774D">
              <w:rPr>
                <w:rFonts w:ascii="Times New Roman" w:hAnsi="Times New Roman"/>
                <w:b/>
                <w:color w:val="222222"/>
                <w:sz w:val="22"/>
                <w:szCs w:val="22"/>
                <w:lang w:val="es-CO" w:eastAsia="es-CO"/>
              </w:rPr>
              <w:t>-E</w:t>
            </w:r>
            <w:r w:rsidR="006B5E87" w:rsidRPr="003E774D">
              <w:rPr>
                <w:rFonts w:ascii="Times New Roman" w:hAnsi="Times New Roman"/>
                <w:b/>
                <w:color w:val="222222"/>
                <w:sz w:val="22"/>
                <w:szCs w:val="22"/>
                <w:lang w:val="es-CO" w:eastAsia="es-CO"/>
              </w:rPr>
              <w:t xml:space="preserve">jecución Programas de Bienestar: </w:t>
            </w:r>
            <w:r w:rsidR="003E774D">
              <w:rPr>
                <w:rFonts w:ascii="Times New Roman" w:hAnsi="Times New Roman"/>
                <w:color w:val="222222"/>
                <w:sz w:val="22"/>
                <w:szCs w:val="22"/>
                <w:lang w:val="es-CO" w:eastAsia="es-CO"/>
              </w:rPr>
              <w:t>E</w:t>
            </w:r>
            <w:r w:rsidR="006B5E87" w:rsidRPr="003E774D">
              <w:rPr>
                <w:rFonts w:ascii="Times New Roman" w:hAnsi="Times New Roman"/>
                <w:color w:val="222222"/>
                <w:sz w:val="22"/>
                <w:szCs w:val="22"/>
                <w:lang w:val="es-CO" w:eastAsia="es-CO"/>
              </w:rPr>
              <w:t>n este período s</w:t>
            </w:r>
            <w:r w:rsidRPr="003E774D">
              <w:rPr>
                <w:rFonts w:ascii="Times New Roman" w:hAnsi="Times New Roman"/>
                <w:color w:val="222222"/>
                <w:sz w:val="22"/>
                <w:szCs w:val="22"/>
                <w:lang w:val="es-CO" w:eastAsia="es-CO"/>
              </w:rPr>
              <w:t>e llevaron a cabo las siguientes actividades:</w:t>
            </w:r>
          </w:p>
          <w:p w:rsidR="0057453B" w:rsidRPr="003E774D" w:rsidRDefault="003E774D" w:rsidP="000C2DA1">
            <w:pPr>
              <w:pStyle w:val="Prrafodelista"/>
              <w:numPr>
                <w:ilvl w:val="0"/>
                <w:numId w:val="8"/>
              </w:numPr>
              <w:shd w:val="clear" w:color="auto" w:fill="FFFFFF"/>
              <w:jc w:val="both"/>
              <w:rPr>
                <w:rFonts w:ascii="Times New Roman" w:hAnsi="Times New Roman"/>
                <w:color w:val="222222"/>
                <w:lang w:eastAsia="es-CO"/>
              </w:rPr>
            </w:pPr>
            <w:r>
              <w:rPr>
                <w:rFonts w:ascii="Times New Roman" w:hAnsi="Times New Roman"/>
                <w:color w:val="222222"/>
                <w:lang w:eastAsia="es-CO"/>
              </w:rPr>
              <w:t>Se conmemoró,</w:t>
            </w:r>
            <w:r w:rsidR="00B06005" w:rsidRPr="003E774D">
              <w:rPr>
                <w:rFonts w:ascii="Times New Roman" w:hAnsi="Times New Roman"/>
                <w:color w:val="222222"/>
                <w:lang w:eastAsia="es-CO"/>
              </w:rPr>
              <w:t xml:space="preserve"> con el apoyo del Departamento del Servicio Civil</w:t>
            </w:r>
            <w:r>
              <w:rPr>
                <w:rFonts w:ascii="Times New Roman" w:hAnsi="Times New Roman"/>
                <w:color w:val="222222"/>
                <w:lang w:eastAsia="es-CO"/>
              </w:rPr>
              <w:t>,</w:t>
            </w:r>
            <w:r w:rsidR="00B06005" w:rsidRPr="003E774D">
              <w:rPr>
                <w:rFonts w:ascii="Times New Roman" w:hAnsi="Times New Roman"/>
                <w:color w:val="222222"/>
                <w:lang w:eastAsia="es-CO"/>
              </w:rPr>
              <w:t xml:space="preserve"> el día del conductor y se cargó en la tarjeta Compensar lo correspondiente a un día en las zonas húmedas del CUR (Sauna – Piscina)</w:t>
            </w:r>
            <w:r w:rsidR="0057453B" w:rsidRPr="003E774D">
              <w:rPr>
                <w:rFonts w:ascii="Times New Roman" w:hAnsi="Times New Roman"/>
                <w:color w:val="222222"/>
                <w:lang w:eastAsia="es-CO"/>
              </w:rPr>
              <w:t>.</w:t>
            </w:r>
          </w:p>
          <w:p w:rsidR="0057453B"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llevó a cabo un programa piloto denominado “Encuentro Abuelos y Nietos”, para los servidores público que tiene</w:t>
            </w:r>
            <w:r w:rsidR="0014734E">
              <w:rPr>
                <w:rFonts w:ascii="Times New Roman" w:hAnsi="Times New Roman"/>
                <w:color w:val="222222"/>
                <w:lang w:eastAsia="es-CO"/>
              </w:rPr>
              <w:t>n</w:t>
            </w:r>
            <w:r w:rsidRPr="003E774D">
              <w:rPr>
                <w:rFonts w:ascii="Times New Roman" w:hAnsi="Times New Roman"/>
                <w:color w:val="222222"/>
                <w:lang w:eastAsia="es-CO"/>
              </w:rPr>
              <w:t xml:space="preserve"> nietos, a esta actividad asistieron 10 servidores públicos con sus familias.</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Durante el mes de septiembre se dio prioridad a las danzas; se están llevando a cabo clases de danza árabe, a cargo de Claudia Andrea Ramírez, Directora de Estudios Macro (41 personas). También se realizaron 4 talleres de danza con el apoyo de Compen</w:t>
            </w:r>
            <w:r w:rsidR="0014734E">
              <w:rPr>
                <w:rFonts w:ascii="Times New Roman" w:hAnsi="Times New Roman"/>
                <w:color w:val="222222"/>
                <w:lang w:eastAsia="es-CO"/>
              </w:rPr>
              <w:t>sar (12 personas) y se consolidó</w:t>
            </w:r>
            <w:r w:rsidRPr="003E774D">
              <w:rPr>
                <w:rFonts w:ascii="Times New Roman" w:hAnsi="Times New Roman"/>
                <w:color w:val="222222"/>
                <w:lang w:eastAsia="es-CO"/>
              </w:rPr>
              <w:t xml:space="preserve"> el grupo de Danzas de la SDP (18 personas).</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Así mismo</w:t>
            </w:r>
            <w:r w:rsidR="0014734E">
              <w:rPr>
                <w:rFonts w:ascii="Times New Roman" w:hAnsi="Times New Roman"/>
                <w:color w:val="222222"/>
                <w:lang w:eastAsia="es-CO"/>
              </w:rPr>
              <w:t>,</w:t>
            </w:r>
            <w:r w:rsidRPr="003E774D">
              <w:rPr>
                <w:rFonts w:ascii="Times New Roman" w:hAnsi="Times New Roman"/>
                <w:color w:val="222222"/>
                <w:lang w:eastAsia="es-CO"/>
              </w:rPr>
              <w:t xml:space="preserve"> se dio continuidad a los entrenamientos de Futbol, Baloncesto y Voleibol para los funcionarios que conforman las delegaciones deportivas y participan en el Torneo </w:t>
            </w:r>
            <w:proofErr w:type="spellStart"/>
            <w:r w:rsidRPr="003E774D">
              <w:rPr>
                <w:rFonts w:ascii="Times New Roman" w:hAnsi="Times New Roman"/>
                <w:color w:val="222222"/>
                <w:lang w:eastAsia="es-CO"/>
              </w:rPr>
              <w:t>Interempresas</w:t>
            </w:r>
            <w:proofErr w:type="spellEnd"/>
            <w:r w:rsidRPr="003E774D">
              <w:rPr>
                <w:rFonts w:ascii="Times New Roman" w:hAnsi="Times New Roman"/>
                <w:color w:val="222222"/>
                <w:lang w:eastAsia="es-CO"/>
              </w:rPr>
              <w:t xml:space="preserve"> de Compensar.</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Durante el trimestre señalado se abrió el horario de martes a viernes de 4:00 p.m. a 5:00 p.m., del gimnasio de la Entidad en el cual participan 35 personas.</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Así mismo</w:t>
            </w:r>
            <w:r w:rsidR="0014734E">
              <w:rPr>
                <w:rFonts w:ascii="Times New Roman" w:hAnsi="Times New Roman"/>
                <w:color w:val="222222"/>
                <w:lang w:eastAsia="es-CO"/>
              </w:rPr>
              <w:t>,</w:t>
            </w:r>
            <w:r w:rsidRPr="003E774D">
              <w:rPr>
                <w:rFonts w:ascii="Times New Roman" w:hAnsi="Times New Roman"/>
                <w:color w:val="222222"/>
                <w:lang w:eastAsia="es-CO"/>
              </w:rPr>
              <w:t xml:space="preserve"> se llevaron a cabo las vacaciones recreativas con la participación de cincuenta y cuatro (54) niños con edades entre 5 y 12 años, en la semana de receso del 9 al 13 de octubre.</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lastRenderedPageBreak/>
              <w:t>Se divulgó la Directiva No. 2 y se coordinó para que los funcionarios con hijos menores de 10 años pudieran disfrutar de la tarde de juegos previsto para la semana de receso escolar.</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apoyó la inscripción de veinticuatro (24) servidores públicos en la Carrera Unicef 10K.</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celebró, con un pasadía el Día del Enlace SIG con la participación de 31 servidores públicos que viene</w:t>
            </w:r>
            <w:r w:rsidR="0014734E">
              <w:rPr>
                <w:rFonts w:ascii="Times New Roman" w:hAnsi="Times New Roman"/>
                <w:color w:val="222222"/>
                <w:lang w:eastAsia="es-CO"/>
              </w:rPr>
              <w:t>n</w:t>
            </w:r>
            <w:r w:rsidRPr="003E774D">
              <w:rPr>
                <w:rFonts w:ascii="Times New Roman" w:hAnsi="Times New Roman"/>
                <w:color w:val="222222"/>
                <w:lang w:eastAsia="es-CO"/>
              </w:rPr>
              <w:t xml:space="preserve"> desempeñando ese rol.</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Ejecución Programa de inducción y/o reinducción:</w:t>
            </w:r>
          </w:p>
          <w:p w:rsidR="00B06005" w:rsidRPr="003E774D" w:rsidRDefault="00B06005" w:rsidP="000C2DA1">
            <w:pPr>
              <w:pStyle w:val="Prrafodelista"/>
              <w:numPr>
                <w:ilvl w:val="0"/>
                <w:numId w:val="8"/>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llevó a cabo una jornada de inducción en el periodo con la participación de 25 servidores públicos que ingresaron con ocasión de la Convocatoria No. 323 de 2015</w:t>
            </w:r>
            <w:r w:rsidR="0014734E">
              <w:rPr>
                <w:rFonts w:ascii="Times New Roman" w:hAnsi="Times New Roman"/>
                <w:color w:val="222222"/>
                <w:lang w:eastAsia="es-CO"/>
              </w:rPr>
              <w:t>.</w:t>
            </w:r>
          </w:p>
          <w:p w:rsidR="00B06005" w:rsidRPr="003E774D" w:rsidRDefault="00B06005" w:rsidP="000C2DA1">
            <w:pPr>
              <w:pStyle w:val="Prrafodelista"/>
              <w:numPr>
                <w:ilvl w:val="0"/>
                <w:numId w:val="9"/>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hizo una jornada de reinducción a los servidores públicos de periodo de prueba, carrera administrativa y libre nombramiento y remoción sobre los cambios del procedimiento de evaluación de desempeño. (241 personas)</w:t>
            </w:r>
          </w:p>
          <w:p w:rsidR="00B06005" w:rsidRPr="003E774D" w:rsidRDefault="00B06005" w:rsidP="000C2DA1">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 -</w:t>
            </w:r>
            <w:r w:rsidRPr="003E774D">
              <w:rPr>
                <w:rFonts w:ascii="Times New Roman" w:hAnsi="Times New Roman"/>
                <w:b/>
                <w:color w:val="222222"/>
                <w:sz w:val="22"/>
                <w:szCs w:val="22"/>
                <w:lang w:val="es-CO" w:eastAsia="es-CO"/>
              </w:rPr>
              <w:t>Ejecución plan de incentivos:</w:t>
            </w:r>
          </w:p>
          <w:p w:rsidR="00B06005" w:rsidRPr="003E774D" w:rsidRDefault="00B06005" w:rsidP="000C2DA1">
            <w:pPr>
              <w:pStyle w:val="Prrafodelista"/>
              <w:numPr>
                <w:ilvl w:val="0"/>
                <w:numId w:val="10"/>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Durante el periodo</w:t>
            </w:r>
            <w:r w:rsidR="000648B7" w:rsidRPr="003E774D">
              <w:rPr>
                <w:rFonts w:ascii="Times New Roman" w:hAnsi="Times New Roman"/>
                <w:color w:val="222222"/>
                <w:lang w:eastAsia="es-CO"/>
              </w:rPr>
              <w:t>,</w:t>
            </w:r>
            <w:r w:rsidRPr="003E774D">
              <w:rPr>
                <w:rFonts w:ascii="Times New Roman" w:hAnsi="Times New Roman"/>
                <w:color w:val="222222"/>
                <w:lang w:eastAsia="es-CO"/>
              </w:rPr>
              <w:t xml:space="preserve"> se asignaron dos (2) apoyos educativos solicitados por los servidores públicos.</w:t>
            </w:r>
          </w:p>
          <w:p w:rsidR="00B06005" w:rsidRPr="003E774D" w:rsidRDefault="00B06005" w:rsidP="000C2DA1">
            <w:pPr>
              <w:pStyle w:val="Prrafodelista"/>
              <w:numPr>
                <w:ilvl w:val="0"/>
                <w:numId w:val="10"/>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Así mismo</w:t>
            </w:r>
            <w:r w:rsidR="0014734E">
              <w:rPr>
                <w:rFonts w:ascii="Times New Roman" w:hAnsi="Times New Roman"/>
                <w:color w:val="222222"/>
                <w:lang w:eastAsia="es-CO"/>
              </w:rPr>
              <w:t>,</w:t>
            </w:r>
            <w:r w:rsidRPr="003E774D">
              <w:rPr>
                <w:rFonts w:ascii="Times New Roman" w:hAnsi="Times New Roman"/>
                <w:color w:val="222222"/>
                <w:lang w:eastAsia="es-CO"/>
              </w:rPr>
              <w:t xml:space="preserve"> se eligieron los mejores empleados de carrera administrativa de la Entidad de los niveles asistencial, técnico y profesional.</w:t>
            </w:r>
          </w:p>
          <w:p w:rsidR="00B06005" w:rsidRPr="003E774D" w:rsidRDefault="00B06005" w:rsidP="000C2DA1">
            <w:pPr>
              <w:pStyle w:val="Prrafodelista"/>
              <w:numPr>
                <w:ilvl w:val="0"/>
                <w:numId w:val="10"/>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dio continuidad a la elección de los mejores equipos de trabajo, con la inscripción de tres (3) proyectos.</w:t>
            </w:r>
          </w:p>
          <w:p w:rsidR="00B06005" w:rsidRPr="003E774D" w:rsidRDefault="00B06005" w:rsidP="000C2DA1">
            <w:pPr>
              <w:shd w:val="clear" w:color="auto" w:fill="FFFFFF"/>
              <w:jc w:val="both"/>
              <w:rPr>
                <w:rFonts w:ascii="Times New Roman" w:hAnsi="Times New Roman"/>
                <w:b/>
                <w:color w:val="222222"/>
                <w:sz w:val="22"/>
                <w:szCs w:val="22"/>
                <w:lang w:val="es-CO" w:eastAsia="es-CO"/>
              </w:rPr>
            </w:pPr>
            <w:r w:rsidRPr="003E774D">
              <w:rPr>
                <w:rFonts w:ascii="Times New Roman" w:hAnsi="Times New Roman"/>
                <w:color w:val="222222"/>
                <w:sz w:val="22"/>
                <w:szCs w:val="22"/>
                <w:lang w:val="es-CO" w:eastAsia="es-CO"/>
              </w:rPr>
              <w:t> </w:t>
            </w:r>
            <w:r w:rsidRPr="003E774D">
              <w:rPr>
                <w:rFonts w:ascii="Times New Roman" w:hAnsi="Times New Roman"/>
                <w:b/>
                <w:color w:val="222222"/>
                <w:sz w:val="22"/>
                <w:szCs w:val="22"/>
                <w:lang w:val="es-CO" w:eastAsia="es-CO"/>
              </w:rPr>
              <w:t>-Clima Laboral:</w:t>
            </w:r>
          </w:p>
          <w:p w:rsidR="00B06005" w:rsidRPr="003E774D" w:rsidRDefault="000648B7" w:rsidP="000C2DA1">
            <w:pPr>
              <w:pStyle w:val="Prrafodelista"/>
              <w:numPr>
                <w:ilvl w:val="0"/>
                <w:numId w:val="11"/>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w:t>
            </w:r>
            <w:r w:rsidR="00B06005" w:rsidRPr="003E774D">
              <w:rPr>
                <w:rFonts w:ascii="Times New Roman" w:hAnsi="Times New Roman"/>
                <w:color w:val="222222"/>
                <w:lang w:eastAsia="es-CO"/>
              </w:rPr>
              <w:t xml:space="preserve"> aplicó la prueba C3, que es una herramienta de diagnóstico Organizacional que le permite a la SDP comparar su Cultura y Clima real con una ideal, para establecer un plan de acción que vaya alineado con la estrategia de la Organización. La aplicación de la</w:t>
            </w:r>
            <w:r w:rsidR="0014734E">
              <w:rPr>
                <w:rFonts w:ascii="Times New Roman" w:hAnsi="Times New Roman"/>
                <w:color w:val="222222"/>
                <w:lang w:eastAsia="es-CO"/>
              </w:rPr>
              <w:t xml:space="preserve"> prueba se realizó</w:t>
            </w:r>
            <w:r w:rsidR="00B06005" w:rsidRPr="003E774D">
              <w:rPr>
                <w:rFonts w:ascii="Times New Roman" w:hAnsi="Times New Roman"/>
                <w:color w:val="222222"/>
                <w:lang w:eastAsia="es-CO"/>
              </w:rPr>
              <w:t xml:space="preserve"> de manera virtual y confidencial.</w:t>
            </w:r>
          </w:p>
          <w:p w:rsidR="000648B7" w:rsidRPr="003E774D" w:rsidRDefault="00B06005" w:rsidP="000C2DA1">
            <w:pPr>
              <w:shd w:val="clear" w:color="auto" w:fill="FFFFFF"/>
              <w:jc w:val="both"/>
              <w:rPr>
                <w:rFonts w:ascii="Times New Roman" w:hAnsi="Times New Roman"/>
                <w:b/>
                <w:color w:val="222222"/>
                <w:sz w:val="22"/>
                <w:szCs w:val="22"/>
                <w:lang w:val="es-CO" w:eastAsia="es-CO"/>
              </w:rPr>
            </w:pPr>
            <w:r w:rsidRPr="003E774D">
              <w:rPr>
                <w:rFonts w:ascii="Times New Roman" w:hAnsi="Times New Roman"/>
                <w:b/>
                <w:color w:val="222222"/>
                <w:sz w:val="22"/>
                <w:szCs w:val="22"/>
                <w:lang w:val="es-CO" w:eastAsia="es-CO"/>
              </w:rPr>
              <w:t xml:space="preserve">- En relación con el desarrollo e implementación del Subsistema de Gestión de Seguridad y Salud en el Trabajo </w:t>
            </w:r>
            <w:r w:rsidR="000648B7" w:rsidRPr="003E774D">
              <w:rPr>
                <w:rFonts w:ascii="Times New Roman" w:hAnsi="Times New Roman"/>
                <w:b/>
                <w:color w:val="222222"/>
                <w:sz w:val="22"/>
                <w:szCs w:val="22"/>
                <w:lang w:val="es-CO" w:eastAsia="es-CO"/>
              </w:rPr>
              <w:t>:</w:t>
            </w:r>
          </w:p>
          <w:p w:rsidR="00B06005" w:rsidRPr="003E774D" w:rsidRDefault="00B06005" w:rsidP="000C2DA1">
            <w:pPr>
              <w:pStyle w:val="Prrafodelista"/>
              <w:numPr>
                <w:ilvl w:val="0"/>
                <w:numId w:val="12"/>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 xml:space="preserve">se planearon 40 actividades generales que se han desarrollado por medio de 142 actividades </w:t>
            </w:r>
            <w:proofErr w:type="gramStart"/>
            <w:r w:rsidRPr="003E774D">
              <w:rPr>
                <w:rFonts w:ascii="Times New Roman" w:hAnsi="Times New Roman"/>
                <w:color w:val="222222"/>
                <w:lang w:eastAsia="es-CO"/>
              </w:rPr>
              <w:t xml:space="preserve">específicas </w:t>
            </w:r>
            <w:r w:rsidR="00391B92">
              <w:rPr>
                <w:rFonts w:ascii="Times New Roman" w:hAnsi="Times New Roman"/>
                <w:color w:val="222222"/>
                <w:lang w:eastAsia="es-CO"/>
              </w:rPr>
              <w:t>,</w:t>
            </w:r>
            <w:proofErr w:type="gramEnd"/>
            <w:r w:rsidR="00391B92">
              <w:rPr>
                <w:rFonts w:ascii="Times New Roman" w:hAnsi="Times New Roman"/>
                <w:color w:val="222222"/>
                <w:lang w:eastAsia="es-CO"/>
              </w:rPr>
              <w:t xml:space="preserve"> </w:t>
            </w:r>
            <w:r w:rsidRPr="003E774D">
              <w:rPr>
                <w:rFonts w:ascii="Times New Roman" w:hAnsi="Times New Roman"/>
                <w:color w:val="222222"/>
                <w:lang w:eastAsia="es-CO"/>
              </w:rPr>
              <w:t>de las cuales se han realizado 134 y quedan pendientes para ejecución en los meses de noviembre y diciembre 8 actividades.</w:t>
            </w:r>
          </w:p>
          <w:p w:rsidR="00B06005" w:rsidRPr="003E774D" w:rsidRDefault="00B06005" w:rsidP="000C2DA1">
            <w:pPr>
              <w:pStyle w:val="Prrafodelista"/>
              <w:numPr>
                <w:ilvl w:val="0"/>
                <w:numId w:val="12"/>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 xml:space="preserve">Dentro de las actividades realizadas se encuentra la actualización del Manual del </w:t>
            </w:r>
            <w:r w:rsidR="0014734E">
              <w:rPr>
                <w:rFonts w:ascii="Times New Roman" w:hAnsi="Times New Roman"/>
                <w:color w:val="222222"/>
                <w:lang w:eastAsia="es-CO"/>
              </w:rPr>
              <w:t>S</w:t>
            </w:r>
            <w:r w:rsidRPr="003E774D">
              <w:rPr>
                <w:rFonts w:ascii="Times New Roman" w:hAnsi="Times New Roman"/>
                <w:color w:val="222222"/>
                <w:lang w:eastAsia="es-CO"/>
              </w:rPr>
              <w:t xml:space="preserve">istema de </w:t>
            </w:r>
            <w:r w:rsidR="0014734E">
              <w:rPr>
                <w:rFonts w:ascii="Times New Roman" w:hAnsi="Times New Roman"/>
                <w:color w:val="222222"/>
                <w:lang w:eastAsia="es-CO"/>
              </w:rPr>
              <w:t>S</w:t>
            </w:r>
            <w:r w:rsidRPr="003E774D">
              <w:rPr>
                <w:rFonts w:ascii="Times New Roman" w:hAnsi="Times New Roman"/>
                <w:color w:val="222222"/>
                <w:lang w:eastAsia="es-CO"/>
              </w:rPr>
              <w:t xml:space="preserve">eguridad y </w:t>
            </w:r>
            <w:r w:rsidR="0014734E">
              <w:rPr>
                <w:rFonts w:ascii="Times New Roman" w:hAnsi="Times New Roman"/>
                <w:color w:val="222222"/>
                <w:lang w:eastAsia="es-CO"/>
              </w:rPr>
              <w:t>S</w:t>
            </w:r>
            <w:r w:rsidRPr="003E774D">
              <w:rPr>
                <w:rFonts w:ascii="Times New Roman" w:hAnsi="Times New Roman"/>
                <w:color w:val="222222"/>
                <w:lang w:eastAsia="es-CO"/>
              </w:rPr>
              <w:t xml:space="preserve">alud en el </w:t>
            </w:r>
            <w:r w:rsidR="0014734E">
              <w:rPr>
                <w:rFonts w:ascii="Times New Roman" w:hAnsi="Times New Roman"/>
                <w:color w:val="222222"/>
                <w:lang w:eastAsia="es-CO"/>
              </w:rPr>
              <w:t>T</w:t>
            </w:r>
            <w:r w:rsidRPr="003E774D">
              <w:rPr>
                <w:rFonts w:ascii="Times New Roman" w:hAnsi="Times New Roman"/>
                <w:color w:val="222222"/>
                <w:lang w:eastAsia="es-CO"/>
              </w:rPr>
              <w:t>rabajo, el cual se está revisando en los temas específicos de cronogramas y planes de intervención en cada uno de los subsistemas y la aplicación y/o formulación de los indicadores con las respectivas hojas de vida, para la publicación y socialización del mismo dentro del sistema SIIP, lo anterior con la asesoría de la Dirección de Planeación, teniendo en cuenta la actualización de las normas de SST con la resolución 1111 del 2017, se indica la implementación de la mismas, por medio de la evaluación inicial, permitiendo así un balance del avance de implementación del Decreto 1012 del 2015, el cual arrojó un cumplimiento del 94.25%.</w:t>
            </w:r>
          </w:p>
          <w:p w:rsidR="00B06005" w:rsidRPr="003E774D" w:rsidRDefault="00B06005" w:rsidP="000C2DA1">
            <w:pPr>
              <w:pStyle w:val="Prrafodelista"/>
              <w:numPr>
                <w:ilvl w:val="0"/>
                <w:numId w:val="12"/>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 xml:space="preserve">Dentro de las actividades de apoyo e implementación del sistema se ha dado continuidad al programa de medicina preventiva y del trabajo, con la implementación del Sistema de Vigilancia Epidemiológico Osteomuscular,  por medio de la realización de los exámenes laboratorio, valoración médico ocupacional periódicos, de ingreso y egreso con énfasis osteomuscular, exámenes específicos para los conductores (audiometría, psicometría, optometría) y personal del </w:t>
            </w:r>
            <w:r w:rsidRPr="003E774D">
              <w:rPr>
                <w:rFonts w:ascii="Times New Roman" w:hAnsi="Times New Roman"/>
                <w:color w:val="222222"/>
                <w:lang w:eastAsia="es-CO"/>
              </w:rPr>
              <w:lastRenderedPageBreak/>
              <w:t>archivo y mantenimiento teniendo en cuenta el riesgo que se maneja en estos procesos (</w:t>
            </w:r>
            <w:proofErr w:type="spellStart"/>
            <w:r w:rsidRPr="003E774D">
              <w:rPr>
                <w:rFonts w:ascii="Times New Roman" w:hAnsi="Times New Roman"/>
                <w:color w:val="222222"/>
                <w:lang w:eastAsia="es-CO"/>
              </w:rPr>
              <w:t>Espirometría</w:t>
            </w:r>
            <w:proofErr w:type="spellEnd"/>
            <w:r w:rsidRPr="003E774D">
              <w:rPr>
                <w:rFonts w:ascii="Times New Roman" w:hAnsi="Times New Roman"/>
                <w:color w:val="222222"/>
                <w:lang w:eastAsia="es-CO"/>
              </w:rPr>
              <w:t xml:space="preserve">, piel y </w:t>
            </w:r>
            <w:proofErr w:type="spellStart"/>
            <w:r w:rsidRPr="003E774D">
              <w:rPr>
                <w:rFonts w:ascii="Times New Roman" w:hAnsi="Times New Roman"/>
                <w:color w:val="222222"/>
                <w:lang w:eastAsia="es-CO"/>
              </w:rPr>
              <w:t>faneras</w:t>
            </w:r>
            <w:proofErr w:type="spellEnd"/>
            <w:r w:rsidRPr="003E774D">
              <w:rPr>
                <w:rFonts w:ascii="Times New Roman" w:hAnsi="Times New Roman"/>
                <w:color w:val="222222"/>
                <w:lang w:eastAsia="es-CO"/>
              </w:rPr>
              <w:t>); dentro de la estrategia de prevención en salud se han realizado inspecciones de puestos de trabajo según la solicitud por sintomatología de los funcionarios y el seguimiento a los casos ya identificados como parte del protocolo establecido, dentro de esta estrategia se inicia la implementación de la inducción ergonómica a los puestos de trabajo de los funcionarios que han ingresado en la vigencia descrita, dentro de esta estrategia se han realizado la formación individual en los planes específicos para pausas activas, este proceso se encuentra de la mano con las actividades que se han realizado de estilos de vida y trabajo saludable por medio del concurso MAS PASOS MENOS PESO.</w:t>
            </w:r>
          </w:p>
          <w:p w:rsidR="00B06005" w:rsidRPr="00391B92" w:rsidRDefault="00B06005" w:rsidP="000C2DA1">
            <w:pPr>
              <w:pStyle w:val="Prrafodelista"/>
              <w:numPr>
                <w:ilvl w:val="0"/>
                <w:numId w:val="12"/>
              </w:numPr>
              <w:shd w:val="clear" w:color="auto" w:fill="FFFFFF"/>
              <w:jc w:val="both"/>
              <w:rPr>
                <w:rFonts w:ascii="Times New Roman" w:hAnsi="Times New Roman"/>
                <w:color w:val="222222"/>
                <w:lang w:eastAsia="es-CO"/>
              </w:rPr>
            </w:pPr>
            <w:r w:rsidRPr="00391B92">
              <w:rPr>
                <w:rFonts w:ascii="Times New Roman" w:hAnsi="Times New Roman"/>
                <w:color w:val="222222"/>
                <w:lang w:eastAsia="es-CO"/>
              </w:rPr>
              <w:t>Dentro del programa de medicina preventiva</w:t>
            </w:r>
            <w:r w:rsidR="0014734E" w:rsidRPr="00391B92">
              <w:rPr>
                <w:rFonts w:ascii="Times New Roman" w:hAnsi="Times New Roman"/>
                <w:color w:val="222222"/>
                <w:lang w:eastAsia="es-CO"/>
              </w:rPr>
              <w:t xml:space="preserve"> </w:t>
            </w:r>
            <w:r w:rsidRPr="00391B92">
              <w:rPr>
                <w:rFonts w:ascii="Times New Roman" w:hAnsi="Times New Roman"/>
                <w:color w:val="222222"/>
                <w:lang w:eastAsia="es-CO"/>
              </w:rPr>
              <w:t xml:space="preserve">se ha iniciado la implementación de Sistema de Vigilancia Epidemiológico </w:t>
            </w:r>
            <w:proofErr w:type="spellStart"/>
            <w:r w:rsidRPr="00391B92">
              <w:rPr>
                <w:rFonts w:ascii="Times New Roman" w:hAnsi="Times New Roman"/>
                <w:color w:val="222222"/>
                <w:lang w:eastAsia="es-CO"/>
              </w:rPr>
              <w:t>Psicolab</w:t>
            </w:r>
            <w:r w:rsidR="00391B92" w:rsidRPr="00391B92">
              <w:rPr>
                <w:rFonts w:ascii="Times New Roman" w:hAnsi="Times New Roman"/>
                <w:color w:val="222222"/>
                <w:lang w:eastAsia="es-CO"/>
              </w:rPr>
              <w:t>o</w:t>
            </w:r>
            <w:r w:rsidRPr="00391B92">
              <w:rPr>
                <w:rFonts w:ascii="Times New Roman" w:hAnsi="Times New Roman"/>
                <w:color w:val="222222"/>
                <w:lang w:eastAsia="es-CO"/>
              </w:rPr>
              <w:t>ral</w:t>
            </w:r>
            <w:proofErr w:type="spellEnd"/>
            <w:r w:rsidRPr="00391B92">
              <w:rPr>
                <w:rFonts w:ascii="Times New Roman" w:hAnsi="Times New Roman"/>
                <w:color w:val="222222"/>
                <w:lang w:eastAsia="es-CO"/>
              </w:rPr>
              <w:t>, haciendo presencia con un profesional en Psicología especialista en Seguridad y Salud en el Trabajo</w:t>
            </w:r>
            <w:r w:rsidR="00391B92" w:rsidRPr="00391B92">
              <w:rPr>
                <w:rFonts w:ascii="Times New Roman" w:hAnsi="Times New Roman"/>
                <w:color w:val="222222"/>
                <w:lang w:eastAsia="es-CO"/>
              </w:rPr>
              <w:t>,</w:t>
            </w:r>
            <w:r w:rsidRPr="00391B92">
              <w:rPr>
                <w:rFonts w:ascii="Times New Roman" w:hAnsi="Times New Roman"/>
                <w:color w:val="222222"/>
                <w:lang w:eastAsia="es-CO"/>
              </w:rPr>
              <w:t xml:space="preserve"> por medio de talleres y acompañamiento individual como desarrollo de est</w:t>
            </w:r>
            <w:r w:rsidR="00391B92" w:rsidRPr="00391B92">
              <w:rPr>
                <w:rFonts w:ascii="Times New Roman" w:hAnsi="Times New Roman"/>
                <w:color w:val="222222"/>
                <w:lang w:eastAsia="es-CO"/>
              </w:rPr>
              <w:t xml:space="preserve">rategia de tolerancia al cambio; esto, con ocasión </w:t>
            </w:r>
            <w:r w:rsidRPr="00391B92">
              <w:rPr>
                <w:rFonts w:ascii="Times New Roman" w:hAnsi="Times New Roman"/>
                <w:color w:val="222222"/>
                <w:lang w:eastAsia="es-CO"/>
              </w:rPr>
              <w:t xml:space="preserve"> del movimiento de la planta globa</w:t>
            </w:r>
            <w:r w:rsidR="00391B92" w:rsidRPr="00391B92">
              <w:rPr>
                <w:rFonts w:ascii="Times New Roman" w:hAnsi="Times New Roman"/>
                <w:color w:val="222222"/>
                <w:lang w:eastAsia="es-CO"/>
              </w:rPr>
              <w:t>l por  el que atraviesa actualmente la entidad</w:t>
            </w:r>
            <w:proofErr w:type="gramStart"/>
            <w:r w:rsidR="00391B92" w:rsidRPr="00391B92">
              <w:rPr>
                <w:rFonts w:ascii="Times New Roman" w:hAnsi="Times New Roman"/>
                <w:color w:val="222222"/>
                <w:lang w:eastAsia="es-CO"/>
              </w:rPr>
              <w:t>.</w:t>
            </w:r>
            <w:r w:rsidRPr="00391B92">
              <w:rPr>
                <w:rFonts w:ascii="Times New Roman" w:hAnsi="Times New Roman"/>
                <w:color w:val="222222"/>
                <w:lang w:eastAsia="es-CO"/>
              </w:rPr>
              <w:t>.</w:t>
            </w:r>
            <w:proofErr w:type="gramEnd"/>
          </w:p>
          <w:p w:rsidR="00B06005" w:rsidRPr="003E774D" w:rsidRDefault="00B06005" w:rsidP="000C2DA1">
            <w:pPr>
              <w:pStyle w:val="Prrafodelista"/>
              <w:numPr>
                <w:ilvl w:val="0"/>
                <w:numId w:val="12"/>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realiza además</w:t>
            </w:r>
            <w:r w:rsidR="00EF3B6A">
              <w:rPr>
                <w:rFonts w:ascii="Times New Roman" w:hAnsi="Times New Roman"/>
                <w:color w:val="222222"/>
                <w:lang w:eastAsia="es-CO"/>
              </w:rPr>
              <w:t>,</w:t>
            </w:r>
            <w:r w:rsidRPr="003E774D">
              <w:rPr>
                <w:rFonts w:ascii="Times New Roman" w:hAnsi="Times New Roman"/>
                <w:color w:val="222222"/>
                <w:lang w:eastAsia="es-CO"/>
              </w:rPr>
              <w:t xml:space="preserve"> el apoyo y la implementación del programa de prevención y atención de emergencias, por medio de la adquisición de elementos de botiquín tipo 3 del piso 5 y archivo central, toda vez que estaba pendiente </w:t>
            </w:r>
            <w:r w:rsidR="00EF3B6A">
              <w:rPr>
                <w:rFonts w:ascii="Times New Roman" w:hAnsi="Times New Roman"/>
                <w:color w:val="222222"/>
                <w:lang w:eastAsia="es-CO"/>
              </w:rPr>
              <w:t xml:space="preserve">de </w:t>
            </w:r>
            <w:r w:rsidRPr="003E774D">
              <w:rPr>
                <w:rFonts w:ascii="Times New Roman" w:hAnsi="Times New Roman"/>
                <w:color w:val="222222"/>
                <w:lang w:eastAsia="es-CO"/>
              </w:rPr>
              <w:t xml:space="preserve">esta adquisición, los </w:t>
            </w:r>
            <w:r w:rsidR="00EF3B6A">
              <w:rPr>
                <w:rFonts w:ascii="Times New Roman" w:hAnsi="Times New Roman"/>
                <w:color w:val="222222"/>
                <w:lang w:eastAsia="es-CO"/>
              </w:rPr>
              <w:t xml:space="preserve">cuales fueron dotados </w:t>
            </w:r>
            <w:r w:rsidRPr="003E774D">
              <w:rPr>
                <w:rFonts w:ascii="Times New Roman" w:hAnsi="Times New Roman"/>
                <w:color w:val="222222"/>
                <w:lang w:eastAsia="es-CO"/>
              </w:rPr>
              <w:t xml:space="preserve">de elementos necesarios para dar atención emergencias mayores de carácter interno y externo, además se realiza un proceso contractual para la </w:t>
            </w:r>
            <w:r w:rsidR="00EF3B6A">
              <w:rPr>
                <w:rFonts w:ascii="Times New Roman" w:hAnsi="Times New Roman"/>
                <w:color w:val="222222"/>
                <w:lang w:eastAsia="es-CO"/>
              </w:rPr>
              <w:t xml:space="preserve">adquisición </w:t>
            </w:r>
            <w:r w:rsidRPr="003E774D">
              <w:rPr>
                <w:rFonts w:ascii="Times New Roman" w:hAnsi="Times New Roman"/>
                <w:color w:val="222222"/>
                <w:lang w:eastAsia="es-CO"/>
              </w:rPr>
              <w:t>de los botiquines personales faltantes.</w:t>
            </w:r>
          </w:p>
          <w:p w:rsidR="00B06005" w:rsidRPr="003E774D" w:rsidRDefault="00B06005" w:rsidP="000C2DA1">
            <w:pPr>
              <w:pStyle w:val="Prrafodelista"/>
              <w:numPr>
                <w:ilvl w:val="0"/>
                <w:numId w:val="12"/>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Se socializó</w:t>
            </w:r>
            <w:r w:rsidR="00EF3B6A">
              <w:rPr>
                <w:rFonts w:ascii="Times New Roman" w:hAnsi="Times New Roman"/>
                <w:color w:val="222222"/>
                <w:lang w:eastAsia="es-CO"/>
              </w:rPr>
              <w:t>,</w:t>
            </w:r>
            <w:r w:rsidRPr="003E774D">
              <w:rPr>
                <w:rFonts w:ascii="Times New Roman" w:hAnsi="Times New Roman"/>
                <w:color w:val="222222"/>
                <w:lang w:eastAsia="es-CO"/>
              </w:rPr>
              <w:t xml:space="preserve"> el plan de emergencias haciendo énfasis en el protocolo para eventos de sismo, además de la participación en el simulacro distrital realizado el día 25 de octubre del 2017.</w:t>
            </w:r>
          </w:p>
          <w:p w:rsidR="00B06005" w:rsidRPr="003E774D" w:rsidRDefault="00B06005" w:rsidP="000C2DA1">
            <w:pPr>
              <w:pStyle w:val="Prrafodelista"/>
              <w:numPr>
                <w:ilvl w:val="0"/>
                <w:numId w:val="13"/>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Dentro del programa de Higiene y Seguridad Industrial</w:t>
            </w:r>
            <w:r w:rsidR="00EF3B6A">
              <w:rPr>
                <w:rFonts w:ascii="Times New Roman" w:hAnsi="Times New Roman"/>
                <w:color w:val="222222"/>
                <w:lang w:eastAsia="es-CO"/>
              </w:rPr>
              <w:t>,</w:t>
            </w:r>
            <w:r w:rsidRPr="003E774D">
              <w:rPr>
                <w:rFonts w:ascii="Times New Roman" w:hAnsi="Times New Roman"/>
                <w:color w:val="222222"/>
                <w:lang w:eastAsia="es-CO"/>
              </w:rPr>
              <w:t xml:space="preserve"> se realizan las inspecciones locativas, de insumos y herramientas que permiten mitigar la posibilidad de accidentes de trabajo, se han reportado 23 accidentes de trabajo los cuales han sido atendidos, reportados e investigados.</w:t>
            </w:r>
          </w:p>
          <w:p w:rsidR="00B06005" w:rsidRPr="003E774D" w:rsidRDefault="00B06005" w:rsidP="000C2DA1">
            <w:pPr>
              <w:pStyle w:val="Prrafodelista"/>
              <w:numPr>
                <w:ilvl w:val="0"/>
                <w:numId w:val="13"/>
              </w:numPr>
              <w:shd w:val="clear" w:color="auto" w:fill="FFFFFF"/>
              <w:jc w:val="both"/>
              <w:rPr>
                <w:rFonts w:ascii="Times New Roman" w:hAnsi="Times New Roman"/>
                <w:color w:val="222222"/>
                <w:lang w:eastAsia="es-CO"/>
              </w:rPr>
            </w:pPr>
            <w:r w:rsidRPr="003E774D">
              <w:rPr>
                <w:rFonts w:ascii="Times New Roman" w:hAnsi="Times New Roman"/>
                <w:color w:val="222222"/>
                <w:lang w:eastAsia="es-CO"/>
              </w:rPr>
              <w:t>Como parte del cumplimiento de la norma</w:t>
            </w:r>
            <w:r w:rsidR="000C2DA1">
              <w:rPr>
                <w:rFonts w:ascii="Times New Roman" w:hAnsi="Times New Roman"/>
                <w:color w:val="222222"/>
                <w:lang w:eastAsia="es-CO"/>
              </w:rPr>
              <w:t>, en</w:t>
            </w:r>
            <w:r w:rsidRPr="003E774D">
              <w:rPr>
                <w:rFonts w:ascii="Times New Roman" w:hAnsi="Times New Roman"/>
                <w:color w:val="222222"/>
                <w:lang w:eastAsia="es-CO"/>
              </w:rPr>
              <w:t xml:space="preserve"> el mes de</w:t>
            </w:r>
            <w:r w:rsidR="000C2DA1">
              <w:rPr>
                <w:rFonts w:ascii="Times New Roman" w:hAnsi="Times New Roman"/>
                <w:color w:val="222222"/>
                <w:lang w:eastAsia="es-CO"/>
              </w:rPr>
              <w:t xml:space="preserve"> la </w:t>
            </w:r>
            <w:r w:rsidRPr="003E774D">
              <w:rPr>
                <w:rFonts w:ascii="Times New Roman" w:hAnsi="Times New Roman"/>
                <w:color w:val="222222"/>
                <w:lang w:eastAsia="es-CO"/>
              </w:rPr>
              <w:t>Seguridad y Salud en el trabajo</w:t>
            </w:r>
            <w:r w:rsidR="000C2DA1">
              <w:rPr>
                <w:rFonts w:ascii="Times New Roman" w:hAnsi="Times New Roman"/>
                <w:color w:val="222222"/>
                <w:lang w:eastAsia="es-CO"/>
              </w:rPr>
              <w:t xml:space="preserve">, se realizaron </w:t>
            </w:r>
            <w:r w:rsidRPr="003E774D">
              <w:rPr>
                <w:rFonts w:ascii="Times New Roman" w:hAnsi="Times New Roman"/>
                <w:color w:val="222222"/>
                <w:lang w:eastAsia="es-CO"/>
              </w:rPr>
              <w:t xml:space="preserve">18 actividades </w:t>
            </w:r>
            <w:r w:rsidR="000C2DA1">
              <w:rPr>
                <w:rFonts w:ascii="Times New Roman" w:hAnsi="Times New Roman"/>
                <w:color w:val="222222"/>
                <w:lang w:eastAsia="es-CO"/>
              </w:rPr>
              <w:t xml:space="preserve">relacionadas con </w:t>
            </w:r>
            <w:r w:rsidRPr="003E774D">
              <w:rPr>
                <w:rFonts w:ascii="Times New Roman" w:hAnsi="Times New Roman"/>
                <w:color w:val="222222"/>
                <w:lang w:eastAsia="es-CO"/>
              </w:rPr>
              <w:t>temas específicos de promoción de estilos de vida y trabajo seguro y saludable.</w:t>
            </w:r>
          </w:p>
          <w:p w:rsidR="00B06005" w:rsidRPr="003E774D" w:rsidRDefault="00B06005" w:rsidP="000C2DA1">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También</w:t>
            </w:r>
            <w:r w:rsidR="000C2DA1">
              <w:rPr>
                <w:rFonts w:ascii="Times New Roman" w:hAnsi="Times New Roman"/>
                <w:color w:val="222222"/>
                <w:sz w:val="22"/>
                <w:szCs w:val="22"/>
                <w:lang w:val="es-CO" w:eastAsia="es-CO"/>
              </w:rPr>
              <w:t>,</w:t>
            </w:r>
            <w:r w:rsidRPr="003E774D">
              <w:rPr>
                <w:rFonts w:ascii="Times New Roman" w:hAnsi="Times New Roman"/>
                <w:color w:val="222222"/>
                <w:sz w:val="22"/>
                <w:szCs w:val="22"/>
                <w:lang w:val="es-CO" w:eastAsia="es-CO"/>
              </w:rPr>
              <w:t xml:space="preserve"> se</w:t>
            </w:r>
            <w:r w:rsidR="000C2DA1">
              <w:rPr>
                <w:rFonts w:ascii="Times New Roman" w:hAnsi="Times New Roman"/>
                <w:color w:val="222222"/>
                <w:sz w:val="22"/>
                <w:szCs w:val="22"/>
                <w:lang w:val="es-CO" w:eastAsia="es-CO"/>
              </w:rPr>
              <w:t xml:space="preserve"> desarrollaron 2 reuniones del C</w:t>
            </w:r>
            <w:r w:rsidRPr="003E774D">
              <w:rPr>
                <w:rFonts w:ascii="Times New Roman" w:hAnsi="Times New Roman"/>
                <w:color w:val="222222"/>
                <w:sz w:val="22"/>
                <w:szCs w:val="22"/>
                <w:lang w:val="es-CO" w:eastAsia="es-CO"/>
              </w:rPr>
              <w:t xml:space="preserve">omité de </w:t>
            </w:r>
            <w:r w:rsidR="000C2DA1">
              <w:rPr>
                <w:rFonts w:ascii="Times New Roman" w:hAnsi="Times New Roman"/>
                <w:color w:val="222222"/>
                <w:sz w:val="22"/>
                <w:szCs w:val="22"/>
                <w:lang w:val="es-CO" w:eastAsia="es-CO"/>
              </w:rPr>
              <w:t>P</w:t>
            </w:r>
            <w:r w:rsidRPr="003E774D">
              <w:rPr>
                <w:rFonts w:ascii="Times New Roman" w:hAnsi="Times New Roman"/>
                <w:color w:val="222222"/>
                <w:sz w:val="22"/>
                <w:szCs w:val="22"/>
                <w:lang w:val="es-CO" w:eastAsia="es-CO"/>
              </w:rPr>
              <w:t xml:space="preserve">revención del </w:t>
            </w:r>
            <w:r w:rsidR="000C2DA1">
              <w:rPr>
                <w:rFonts w:ascii="Times New Roman" w:hAnsi="Times New Roman"/>
                <w:color w:val="222222"/>
                <w:sz w:val="22"/>
                <w:szCs w:val="22"/>
                <w:lang w:val="es-CO" w:eastAsia="es-CO"/>
              </w:rPr>
              <w:t>D</w:t>
            </w:r>
            <w:r w:rsidRPr="003E774D">
              <w:rPr>
                <w:rFonts w:ascii="Times New Roman" w:hAnsi="Times New Roman"/>
                <w:color w:val="222222"/>
                <w:sz w:val="22"/>
                <w:szCs w:val="22"/>
                <w:lang w:val="es-CO" w:eastAsia="es-CO"/>
              </w:rPr>
              <w:t xml:space="preserve">año </w:t>
            </w:r>
            <w:r w:rsidR="000C2DA1">
              <w:rPr>
                <w:rFonts w:ascii="Times New Roman" w:hAnsi="Times New Roman"/>
                <w:color w:val="222222"/>
                <w:sz w:val="22"/>
                <w:szCs w:val="22"/>
                <w:lang w:val="es-CO" w:eastAsia="es-CO"/>
              </w:rPr>
              <w:t>A</w:t>
            </w:r>
            <w:r w:rsidRPr="003E774D">
              <w:rPr>
                <w:rFonts w:ascii="Times New Roman" w:hAnsi="Times New Roman"/>
                <w:color w:val="222222"/>
                <w:sz w:val="22"/>
                <w:szCs w:val="22"/>
                <w:lang w:val="es-CO" w:eastAsia="es-CO"/>
              </w:rPr>
              <w:t>ntijurídico de la Dirección de Gestión Humana</w:t>
            </w:r>
            <w:r w:rsidR="000C2DA1">
              <w:rPr>
                <w:rFonts w:ascii="Times New Roman" w:hAnsi="Times New Roman"/>
                <w:color w:val="222222"/>
                <w:sz w:val="22"/>
                <w:szCs w:val="22"/>
                <w:lang w:val="es-CO" w:eastAsia="es-CO"/>
              </w:rPr>
              <w:t>,</w:t>
            </w:r>
            <w:r w:rsidRPr="003E774D">
              <w:rPr>
                <w:rFonts w:ascii="Times New Roman" w:hAnsi="Times New Roman"/>
                <w:color w:val="222222"/>
                <w:sz w:val="22"/>
                <w:szCs w:val="22"/>
                <w:lang w:val="es-CO" w:eastAsia="es-CO"/>
              </w:rPr>
              <w:t xml:space="preserve"> para tratar los temas que sobre la </w:t>
            </w:r>
            <w:r w:rsidR="000C2DA1">
              <w:rPr>
                <w:rFonts w:ascii="Times New Roman" w:hAnsi="Times New Roman"/>
                <w:color w:val="222222"/>
                <w:sz w:val="22"/>
                <w:szCs w:val="22"/>
                <w:lang w:val="es-CO" w:eastAsia="es-CO"/>
              </w:rPr>
              <w:t>A</w:t>
            </w:r>
            <w:r w:rsidRPr="003E774D">
              <w:rPr>
                <w:rFonts w:ascii="Times New Roman" w:hAnsi="Times New Roman"/>
                <w:color w:val="222222"/>
                <w:sz w:val="22"/>
                <w:szCs w:val="22"/>
                <w:lang w:val="es-CO" w:eastAsia="es-CO"/>
              </w:rPr>
              <w:t xml:space="preserve">dministración del </w:t>
            </w:r>
            <w:r w:rsidR="000C2DA1">
              <w:rPr>
                <w:rFonts w:ascii="Times New Roman" w:hAnsi="Times New Roman"/>
                <w:color w:val="222222"/>
                <w:sz w:val="22"/>
                <w:szCs w:val="22"/>
                <w:lang w:val="es-CO" w:eastAsia="es-CO"/>
              </w:rPr>
              <w:t>T</w:t>
            </w:r>
            <w:r w:rsidRPr="003E774D">
              <w:rPr>
                <w:rFonts w:ascii="Times New Roman" w:hAnsi="Times New Roman"/>
                <w:color w:val="222222"/>
                <w:sz w:val="22"/>
                <w:szCs w:val="22"/>
                <w:lang w:val="es-CO" w:eastAsia="es-CO"/>
              </w:rPr>
              <w:t xml:space="preserve">alento </w:t>
            </w:r>
            <w:r w:rsidR="000C2DA1">
              <w:rPr>
                <w:rFonts w:ascii="Times New Roman" w:hAnsi="Times New Roman"/>
                <w:color w:val="222222"/>
                <w:sz w:val="22"/>
                <w:szCs w:val="22"/>
                <w:lang w:val="es-CO" w:eastAsia="es-CO"/>
              </w:rPr>
              <w:t>H</w:t>
            </w:r>
            <w:r w:rsidRPr="003E774D">
              <w:rPr>
                <w:rFonts w:ascii="Times New Roman" w:hAnsi="Times New Roman"/>
                <w:color w:val="222222"/>
                <w:sz w:val="22"/>
                <w:szCs w:val="22"/>
                <w:lang w:val="es-CO" w:eastAsia="es-CO"/>
              </w:rPr>
              <w:t xml:space="preserve">umano </w:t>
            </w:r>
            <w:r w:rsidR="000C2DA1">
              <w:rPr>
                <w:rFonts w:ascii="Times New Roman" w:hAnsi="Times New Roman"/>
                <w:color w:val="222222"/>
                <w:sz w:val="22"/>
                <w:szCs w:val="22"/>
                <w:lang w:val="es-CO" w:eastAsia="es-CO"/>
              </w:rPr>
              <w:t>fueron</w:t>
            </w:r>
            <w:r w:rsidRPr="003E774D">
              <w:rPr>
                <w:rFonts w:ascii="Times New Roman" w:hAnsi="Times New Roman"/>
                <w:color w:val="222222"/>
                <w:sz w:val="22"/>
                <w:szCs w:val="22"/>
                <w:lang w:val="es-CO" w:eastAsia="es-CO"/>
              </w:rPr>
              <w:t xml:space="preserve"> motivo de análisis para aplicarlos en la entidad y/o prevenir el daño antijurídico. </w:t>
            </w:r>
          </w:p>
          <w:p w:rsidR="00232C9D" w:rsidRPr="003E774D" w:rsidRDefault="00232C9D" w:rsidP="000C2DA1">
            <w:pPr>
              <w:jc w:val="both"/>
              <w:rPr>
                <w:rFonts w:ascii="Times New Roman" w:hAnsi="Times New Roman"/>
                <w:color w:val="500050"/>
                <w:sz w:val="22"/>
                <w:szCs w:val="22"/>
                <w:shd w:val="clear" w:color="auto" w:fill="FFFFFF"/>
                <w:lang w:val="es-CO" w:eastAsia="es-CO"/>
              </w:rPr>
            </w:pPr>
          </w:p>
          <w:p w:rsidR="00232C9D" w:rsidRPr="003E774D" w:rsidRDefault="00232C9D" w:rsidP="000C2DA1">
            <w:pPr>
              <w:pStyle w:val="Prrafodelista"/>
              <w:shd w:val="clear" w:color="auto" w:fill="FFFFFF"/>
              <w:ind w:left="360"/>
              <w:jc w:val="both"/>
              <w:rPr>
                <w:rFonts w:ascii="Times New Roman" w:hAnsi="Times New Roman"/>
              </w:rPr>
            </w:pPr>
          </w:p>
        </w:tc>
      </w:tr>
      <w:tr w:rsidR="003E52D6" w:rsidRPr="003E774D" w:rsidTr="00655722">
        <w:tc>
          <w:tcPr>
            <w:tcW w:w="9356" w:type="dxa"/>
          </w:tcPr>
          <w:p w:rsidR="00563D51" w:rsidRPr="003E774D" w:rsidRDefault="00563D51" w:rsidP="00B31AD6">
            <w:pPr>
              <w:shd w:val="clear" w:color="auto" w:fill="FFFFFF"/>
              <w:ind w:left="360"/>
              <w:jc w:val="both"/>
              <w:rPr>
                <w:rFonts w:ascii="Times New Roman" w:hAnsi="Times New Roman"/>
                <w:color w:val="222222"/>
                <w:sz w:val="22"/>
                <w:szCs w:val="22"/>
                <w:lang w:val="es-CO" w:eastAsia="es-CO"/>
              </w:rPr>
            </w:pPr>
          </w:p>
          <w:p w:rsidR="00563D51" w:rsidRPr="003E774D" w:rsidRDefault="00563D51" w:rsidP="00B31AD6">
            <w:pPr>
              <w:tabs>
                <w:tab w:val="left" w:pos="567"/>
              </w:tabs>
              <w:ind w:right="-1"/>
              <w:jc w:val="both"/>
              <w:rPr>
                <w:rFonts w:ascii="Times New Roman" w:hAnsi="Times New Roman"/>
                <w:sz w:val="22"/>
                <w:szCs w:val="22"/>
              </w:rPr>
            </w:pPr>
            <w:r w:rsidRPr="003E774D">
              <w:rPr>
                <w:rFonts w:ascii="Times New Roman" w:hAnsi="Times New Roman"/>
                <w:b/>
                <w:sz w:val="22"/>
                <w:szCs w:val="22"/>
              </w:rPr>
              <w:t xml:space="preserve">1.2. </w:t>
            </w:r>
            <w:r w:rsidR="00AE578C" w:rsidRPr="003E774D">
              <w:rPr>
                <w:rFonts w:ascii="Times New Roman" w:hAnsi="Times New Roman"/>
                <w:b/>
                <w:sz w:val="22"/>
                <w:szCs w:val="22"/>
              </w:rPr>
              <w:t xml:space="preserve">COMPONENTE </w:t>
            </w:r>
            <w:r w:rsidRPr="003E774D">
              <w:rPr>
                <w:rFonts w:ascii="Times New Roman" w:hAnsi="Times New Roman"/>
                <w:b/>
                <w:sz w:val="22"/>
                <w:szCs w:val="22"/>
              </w:rPr>
              <w:t>DIRECCIONAMIENTO ESTRATÉGICO</w:t>
            </w:r>
            <w:r w:rsidRPr="003E774D">
              <w:rPr>
                <w:rFonts w:ascii="Times New Roman" w:hAnsi="Times New Roman"/>
                <w:sz w:val="22"/>
                <w:szCs w:val="22"/>
              </w:rPr>
              <w:t>:</w:t>
            </w:r>
          </w:p>
          <w:p w:rsidR="00E010F8" w:rsidRPr="003E774D" w:rsidRDefault="00E010F8" w:rsidP="00E010F8">
            <w:pPr>
              <w:shd w:val="clear" w:color="auto" w:fill="FFFFFF"/>
              <w:rPr>
                <w:rFonts w:ascii="Times New Roman" w:hAnsi="Times New Roman"/>
                <w:b/>
                <w:sz w:val="22"/>
                <w:szCs w:val="22"/>
                <w:lang w:val="es-CO" w:eastAsia="es-CO"/>
              </w:rPr>
            </w:pPr>
            <w:r w:rsidRPr="003E774D">
              <w:rPr>
                <w:rFonts w:ascii="Times New Roman" w:hAnsi="Times New Roman"/>
                <w:b/>
                <w:sz w:val="22"/>
                <w:szCs w:val="22"/>
                <w:lang w:val="es-CO" w:eastAsia="es-CO"/>
              </w:rPr>
              <w:t>1. Direccionamiento Estratégico</w:t>
            </w:r>
          </w:p>
          <w:p w:rsidR="00E010F8" w:rsidRPr="003E774D" w:rsidRDefault="00E010F8" w:rsidP="00E010F8">
            <w:pPr>
              <w:shd w:val="clear" w:color="auto" w:fill="FFFFFF"/>
              <w:rPr>
                <w:rFonts w:ascii="Times New Roman" w:hAnsi="Times New Roman"/>
                <w:b/>
                <w:sz w:val="22"/>
                <w:szCs w:val="22"/>
                <w:lang w:val="es-CO" w:eastAsia="es-CO"/>
              </w:rPr>
            </w:pPr>
          </w:p>
          <w:p w:rsidR="00E010F8" w:rsidRPr="003E774D" w:rsidRDefault="00E010F8" w:rsidP="00E010F8">
            <w:pPr>
              <w:shd w:val="clear" w:color="auto" w:fill="FFFFFF"/>
              <w:jc w:val="both"/>
              <w:rPr>
                <w:rFonts w:ascii="Times New Roman" w:hAnsi="Times New Roman"/>
                <w:sz w:val="22"/>
                <w:szCs w:val="22"/>
                <w:lang w:val="es-CO" w:eastAsia="es-CO"/>
              </w:rPr>
            </w:pPr>
            <w:r w:rsidRPr="003E774D">
              <w:rPr>
                <w:rFonts w:ascii="Times New Roman" w:hAnsi="Times New Roman"/>
                <w:sz w:val="22"/>
                <w:szCs w:val="22"/>
                <w:lang w:val="es-CO" w:eastAsia="es-CO"/>
              </w:rPr>
              <w:t xml:space="preserve">En el periodo </w:t>
            </w:r>
            <w:r w:rsidR="000C2DA1">
              <w:rPr>
                <w:rFonts w:ascii="Times New Roman" w:hAnsi="Times New Roman"/>
                <w:sz w:val="22"/>
                <w:szCs w:val="22"/>
                <w:lang w:val="es-CO" w:eastAsia="es-CO"/>
              </w:rPr>
              <w:t xml:space="preserve">agosto – </w:t>
            </w:r>
            <w:r w:rsidRPr="003E774D">
              <w:rPr>
                <w:rFonts w:ascii="Times New Roman" w:hAnsi="Times New Roman"/>
                <w:sz w:val="22"/>
                <w:szCs w:val="22"/>
                <w:lang w:val="es-CO" w:eastAsia="es-CO"/>
              </w:rPr>
              <w:t>octubre</w:t>
            </w:r>
            <w:r w:rsidR="000C2DA1">
              <w:rPr>
                <w:rFonts w:ascii="Times New Roman" w:hAnsi="Times New Roman"/>
                <w:sz w:val="22"/>
                <w:szCs w:val="22"/>
                <w:lang w:val="es-CO" w:eastAsia="es-CO"/>
              </w:rPr>
              <w:t>,</w:t>
            </w:r>
            <w:r w:rsidRPr="003E774D">
              <w:rPr>
                <w:rFonts w:ascii="Times New Roman" w:hAnsi="Times New Roman"/>
                <w:sz w:val="22"/>
                <w:szCs w:val="22"/>
                <w:lang w:val="es-CO" w:eastAsia="es-CO"/>
              </w:rPr>
              <w:t xml:space="preserve"> se realizaron los Comités Directivos de la Secretaría Distrital de Planeación, en los cuales se h</w:t>
            </w:r>
            <w:r w:rsidR="000C2DA1">
              <w:rPr>
                <w:rFonts w:ascii="Times New Roman" w:hAnsi="Times New Roman"/>
                <w:sz w:val="22"/>
                <w:szCs w:val="22"/>
                <w:lang w:val="es-CO" w:eastAsia="es-CO"/>
              </w:rPr>
              <w:t>izo</w:t>
            </w:r>
            <w:r w:rsidRPr="003E774D">
              <w:rPr>
                <w:rFonts w:ascii="Times New Roman" w:hAnsi="Times New Roman"/>
                <w:sz w:val="22"/>
                <w:szCs w:val="22"/>
                <w:lang w:val="es-CO" w:eastAsia="es-CO"/>
              </w:rPr>
              <w:t xml:space="preserve"> seguimiento y se toma</w:t>
            </w:r>
            <w:r w:rsidR="000C2DA1">
              <w:rPr>
                <w:rFonts w:ascii="Times New Roman" w:hAnsi="Times New Roman"/>
                <w:sz w:val="22"/>
                <w:szCs w:val="22"/>
                <w:lang w:val="es-CO" w:eastAsia="es-CO"/>
              </w:rPr>
              <w:t>ro</w:t>
            </w:r>
            <w:r w:rsidRPr="003E774D">
              <w:rPr>
                <w:rFonts w:ascii="Times New Roman" w:hAnsi="Times New Roman"/>
                <w:sz w:val="22"/>
                <w:szCs w:val="22"/>
                <w:lang w:val="es-CO" w:eastAsia="es-CO"/>
              </w:rPr>
              <w:t>n las decisiones encaminadas a fortalecer la gestión de la entidad y se h</w:t>
            </w:r>
            <w:r w:rsidR="000C2DA1">
              <w:rPr>
                <w:rFonts w:ascii="Times New Roman" w:hAnsi="Times New Roman"/>
                <w:sz w:val="22"/>
                <w:szCs w:val="22"/>
                <w:lang w:val="es-CO" w:eastAsia="es-CO"/>
              </w:rPr>
              <w:t>izo</w:t>
            </w:r>
            <w:r w:rsidRPr="003E774D">
              <w:rPr>
                <w:rFonts w:ascii="Times New Roman" w:hAnsi="Times New Roman"/>
                <w:sz w:val="22"/>
                <w:szCs w:val="22"/>
                <w:lang w:val="es-CO" w:eastAsia="es-CO"/>
              </w:rPr>
              <w:t xml:space="preserve"> seguimiento al Plan Estratégico y a las metas del Plan de Desarrollo Distrital en las que participa la SDP. </w:t>
            </w:r>
          </w:p>
          <w:p w:rsidR="00E010F8" w:rsidRPr="003E774D" w:rsidRDefault="00E010F8" w:rsidP="00E010F8">
            <w:pPr>
              <w:shd w:val="clear" w:color="auto" w:fill="FFFFFF"/>
              <w:rPr>
                <w:rFonts w:ascii="Times New Roman" w:hAnsi="Times New Roman"/>
                <w:b/>
                <w:sz w:val="22"/>
                <w:szCs w:val="22"/>
                <w:lang w:val="es-CO" w:eastAsia="es-CO"/>
              </w:rPr>
            </w:pPr>
          </w:p>
          <w:p w:rsidR="00E010F8" w:rsidRPr="003E774D" w:rsidRDefault="00E010F8" w:rsidP="00E010F8">
            <w:pPr>
              <w:shd w:val="clear" w:color="auto" w:fill="FFFFFF"/>
              <w:rPr>
                <w:rFonts w:ascii="Times New Roman" w:hAnsi="Times New Roman"/>
                <w:b/>
                <w:sz w:val="22"/>
                <w:szCs w:val="22"/>
                <w:lang w:val="es-CO" w:eastAsia="es-CO"/>
              </w:rPr>
            </w:pPr>
            <w:r w:rsidRPr="003E774D">
              <w:rPr>
                <w:rFonts w:ascii="Times New Roman" w:hAnsi="Times New Roman"/>
                <w:b/>
                <w:sz w:val="22"/>
                <w:szCs w:val="22"/>
                <w:lang w:val="es-CO" w:eastAsia="es-CO"/>
              </w:rPr>
              <w:t>2. Planes, programas y proyectos</w:t>
            </w:r>
          </w:p>
          <w:p w:rsidR="00E010F8" w:rsidRPr="003E774D" w:rsidRDefault="00E010F8" w:rsidP="00E010F8">
            <w:pPr>
              <w:rPr>
                <w:rFonts w:ascii="Times New Roman" w:eastAsiaTheme="minorHAnsi" w:hAnsi="Times New Roman"/>
                <w:sz w:val="22"/>
                <w:szCs w:val="22"/>
                <w:lang w:val="es-CO" w:eastAsia="en-US"/>
              </w:rPr>
            </w:pPr>
          </w:p>
          <w:p w:rsidR="00E010F8" w:rsidRPr="003E774D" w:rsidRDefault="00E010F8" w:rsidP="00E010F8">
            <w:pPr>
              <w:jc w:val="both"/>
              <w:rPr>
                <w:rFonts w:ascii="Times New Roman" w:eastAsiaTheme="minorHAnsi" w:hAnsi="Times New Roman"/>
                <w:sz w:val="22"/>
                <w:szCs w:val="22"/>
                <w:lang w:val="es-CO" w:eastAsia="en-US"/>
              </w:rPr>
            </w:pPr>
            <w:r w:rsidRPr="003E774D">
              <w:rPr>
                <w:rFonts w:ascii="Times New Roman" w:eastAsiaTheme="minorHAnsi" w:hAnsi="Times New Roman"/>
                <w:sz w:val="22"/>
                <w:szCs w:val="22"/>
                <w:lang w:val="es-CO" w:eastAsia="en-US"/>
              </w:rPr>
              <w:lastRenderedPageBreak/>
              <w:t>Se realizó la consolidación y retroalimentación a los resultados de la gestión correspondiente al tercer trimestre de la vigencia 2017, información recibida mediante los reportes de seguimiento al POA por Proceso.</w:t>
            </w:r>
          </w:p>
          <w:p w:rsidR="00E010F8" w:rsidRPr="003E774D" w:rsidRDefault="00E010F8" w:rsidP="00E010F8">
            <w:pPr>
              <w:jc w:val="both"/>
              <w:rPr>
                <w:rFonts w:ascii="Times New Roman" w:eastAsiaTheme="minorHAnsi" w:hAnsi="Times New Roman"/>
                <w:sz w:val="22"/>
                <w:szCs w:val="22"/>
                <w:lang w:val="es-CO" w:eastAsia="en-US"/>
              </w:rPr>
            </w:pPr>
          </w:p>
          <w:p w:rsidR="00E010F8" w:rsidRPr="003E774D" w:rsidRDefault="00E010F8" w:rsidP="00E010F8">
            <w:pPr>
              <w:jc w:val="both"/>
              <w:rPr>
                <w:rFonts w:ascii="Times New Roman" w:eastAsiaTheme="minorHAnsi" w:hAnsi="Times New Roman"/>
                <w:sz w:val="22"/>
                <w:szCs w:val="22"/>
                <w:lang w:val="es-CO" w:eastAsia="en-US"/>
              </w:rPr>
            </w:pPr>
            <w:r w:rsidRPr="003E774D">
              <w:rPr>
                <w:rFonts w:ascii="Times New Roman" w:eastAsiaTheme="minorHAnsi" w:hAnsi="Times New Roman"/>
                <w:sz w:val="22"/>
                <w:szCs w:val="22"/>
                <w:lang w:val="es-CO" w:eastAsia="en-US"/>
              </w:rPr>
              <w:t>Así mismo, en lo que se refiere a los proyectos de inversión, en el mes de agosto se envió la retroalimentación a los resultados de inversión a los gerentes de los 8 proyectos de inversión con que cuenta la entidad.</w:t>
            </w:r>
          </w:p>
          <w:p w:rsidR="00E010F8" w:rsidRPr="003E774D" w:rsidRDefault="00E010F8" w:rsidP="00E010F8">
            <w:pPr>
              <w:jc w:val="both"/>
              <w:rPr>
                <w:rFonts w:ascii="Times New Roman" w:eastAsiaTheme="minorHAnsi" w:hAnsi="Times New Roman"/>
                <w:sz w:val="22"/>
                <w:szCs w:val="22"/>
                <w:lang w:val="es-CO" w:eastAsia="en-US"/>
              </w:rPr>
            </w:pPr>
          </w:p>
          <w:p w:rsidR="00E010F8" w:rsidRPr="003E774D" w:rsidRDefault="00E010F8" w:rsidP="00E010F8">
            <w:pPr>
              <w:jc w:val="both"/>
              <w:rPr>
                <w:rFonts w:ascii="Times New Roman" w:eastAsiaTheme="minorHAnsi" w:hAnsi="Times New Roman"/>
                <w:sz w:val="22"/>
                <w:szCs w:val="22"/>
                <w:lang w:val="es-CO" w:eastAsia="en-US"/>
              </w:rPr>
            </w:pPr>
            <w:r w:rsidRPr="003E774D">
              <w:rPr>
                <w:rFonts w:ascii="Times New Roman" w:eastAsiaTheme="minorHAnsi" w:hAnsi="Times New Roman"/>
                <w:sz w:val="22"/>
                <w:szCs w:val="22"/>
                <w:lang w:val="es-CO" w:eastAsia="en-US"/>
              </w:rPr>
              <w:t>Se realizó una presentación al Comité de Contratación</w:t>
            </w:r>
            <w:r w:rsidR="000C2DA1">
              <w:rPr>
                <w:rFonts w:ascii="Times New Roman" w:eastAsiaTheme="minorHAnsi" w:hAnsi="Times New Roman"/>
                <w:sz w:val="22"/>
                <w:szCs w:val="22"/>
                <w:lang w:val="es-CO" w:eastAsia="en-US"/>
              </w:rPr>
              <w:t>,</w:t>
            </w:r>
            <w:r w:rsidRPr="003E774D">
              <w:rPr>
                <w:rFonts w:ascii="Times New Roman" w:eastAsiaTheme="minorHAnsi" w:hAnsi="Times New Roman"/>
                <w:sz w:val="22"/>
                <w:szCs w:val="22"/>
                <w:lang w:val="es-CO" w:eastAsia="en-US"/>
              </w:rPr>
              <w:t xml:space="preserve"> en la cual se mostró el avance en la ejecución de los recursos y el logro a nivel de metas de inversión.</w:t>
            </w:r>
          </w:p>
          <w:p w:rsidR="00E010F8" w:rsidRPr="003E774D" w:rsidRDefault="00E010F8" w:rsidP="00E010F8">
            <w:pPr>
              <w:jc w:val="both"/>
              <w:rPr>
                <w:rFonts w:ascii="Times New Roman" w:eastAsiaTheme="minorHAnsi" w:hAnsi="Times New Roman"/>
                <w:sz w:val="22"/>
                <w:szCs w:val="22"/>
                <w:lang w:val="es-CO" w:eastAsia="en-US"/>
              </w:rPr>
            </w:pPr>
          </w:p>
          <w:p w:rsidR="00E010F8" w:rsidRPr="003E774D" w:rsidRDefault="00E010F8" w:rsidP="00E010F8">
            <w:pPr>
              <w:jc w:val="both"/>
              <w:rPr>
                <w:rFonts w:ascii="Times New Roman" w:eastAsiaTheme="minorHAnsi" w:hAnsi="Times New Roman"/>
                <w:sz w:val="22"/>
                <w:szCs w:val="22"/>
                <w:lang w:val="es-CO" w:eastAsia="en-US"/>
              </w:rPr>
            </w:pPr>
            <w:r w:rsidRPr="003E774D">
              <w:rPr>
                <w:rFonts w:ascii="Times New Roman" w:eastAsiaTheme="minorHAnsi" w:hAnsi="Times New Roman"/>
                <w:sz w:val="22"/>
                <w:szCs w:val="22"/>
                <w:lang w:val="es-CO" w:eastAsia="en-US"/>
              </w:rPr>
              <w:t>Lo anterior nos permite conocer como entidad el nivel de avance en los compromisos del Plan de Desarrollo.</w:t>
            </w:r>
          </w:p>
          <w:p w:rsidR="00E010F8" w:rsidRPr="003E774D" w:rsidRDefault="00E010F8" w:rsidP="00E010F8">
            <w:pPr>
              <w:jc w:val="both"/>
              <w:rPr>
                <w:rFonts w:ascii="Times New Roman" w:eastAsiaTheme="minorHAnsi" w:hAnsi="Times New Roman"/>
                <w:sz w:val="22"/>
                <w:szCs w:val="22"/>
                <w:lang w:val="es-CO" w:eastAsia="en-US"/>
              </w:rPr>
            </w:pPr>
          </w:p>
          <w:p w:rsidR="00E010F8" w:rsidRPr="003E774D" w:rsidRDefault="00E010F8" w:rsidP="00E010F8">
            <w:pPr>
              <w:jc w:val="both"/>
              <w:rPr>
                <w:rFonts w:ascii="Times New Roman" w:eastAsiaTheme="minorHAnsi" w:hAnsi="Times New Roman"/>
                <w:sz w:val="22"/>
                <w:szCs w:val="22"/>
                <w:lang w:val="es-CO" w:eastAsia="en-US"/>
              </w:rPr>
            </w:pPr>
            <w:r w:rsidRPr="003E774D">
              <w:rPr>
                <w:rFonts w:ascii="Times New Roman" w:eastAsiaTheme="minorHAnsi" w:hAnsi="Times New Roman"/>
                <w:sz w:val="22"/>
                <w:szCs w:val="22"/>
                <w:lang w:val="es-CO" w:eastAsia="en-US"/>
              </w:rPr>
              <w:t>Durante el mes de agosto</w:t>
            </w:r>
            <w:r w:rsidR="000C2DA1">
              <w:rPr>
                <w:rFonts w:ascii="Times New Roman" w:eastAsiaTheme="minorHAnsi" w:hAnsi="Times New Roman"/>
                <w:sz w:val="22"/>
                <w:szCs w:val="22"/>
                <w:lang w:val="es-CO" w:eastAsia="en-US"/>
              </w:rPr>
              <w:t>,</w:t>
            </w:r>
            <w:r w:rsidRPr="003E774D">
              <w:rPr>
                <w:rFonts w:ascii="Times New Roman" w:eastAsiaTheme="minorHAnsi" w:hAnsi="Times New Roman"/>
                <w:sz w:val="22"/>
                <w:szCs w:val="22"/>
                <w:lang w:val="es-CO" w:eastAsia="en-US"/>
              </w:rPr>
              <w:t xml:space="preserve"> se </w:t>
            </w:r>
            <w:r w:rsidR="000C2DA1">
              <w:rPr>
                <w:rFonts w:ascii="Times New Roman" w:eastAsiaTheme="minorHAnsi" w:hAnsi="Times New Roman"/>
                <w:sz w:val="22"/>
                <w:szCs w:val="22"/>
                <w:lang w:val="es-CO" w:eastAsia="en-US"/>
              </w:rPr>
              <w:t>realizó</w:t>
            </w:r>
            <w:r w:rsidRPr="003E774D">
              <w:rPr>
                <w:rFonts w:ascii="Times New Roman" w:eastAsiaTheme="minorHAnsi" w:hAnsi="Times New Roman"/>
                <w:sz w:val="22"/>
                <w:szCs w:val="22"/>
                <w:lang w:val="es-CO" w:eastAsia="en-US"/>
              </w:rPr>
              <w:t xml:space="preserve"> la adición de</w:t>
            </w:r>
            <w:r w:rsidR="000C2DA1">
              <w:rPr>
                <w:rFonts w:ascii="Times New Roman" w:eastAsiaTheme="minorHAnsi" w:hAnsi="Times New Roman"/>
                <w:sz w:val="22"/>
                <w:szCs w:val="22"/>
                <w:lang w:val="es-CO" w:eastAsia="en-US"/>
              </w:rPr>
              <w:t>l</w:t>
            </w:r>
            <w:r w:rsidRPr="003E774D">
              <w:rPr>
                <w:rFonts w:ascii="Times New Roman" w:eastAsiaTheme="minorHAnsi" w:hAnsi="Times New Roman"/>
                <w:sz w:val="22"/>
                <w:szCs w:val="22"/>
                <w:lang w:val="es-CO" w:eastAsia="en-US"/>
              </w:rPr>
              <w:t xml:space="preserve"> presupuesto de la entidad </w:t>
            </w:r>
            <w:r w:rsidR="000C2DA1">
              <w:rPr>
                <w:rFonts w:ascii="Times New Roman" w:eastAsiaTheme="minorHAnsi" w:hAnsi="Times New Roman"/>
                <w:sz w:val="22"/>
                <w:szCs w:val="22"/>
                <w:lang w:val="es-CO" w:eastAsia="en-US"/>
              </w:rPr>
              <w:t>co</w:t>
            </w:r>
            <w:r w:rsidRPr="003E774D">
              <w:rPr>
                <w:rFonts w:ascii="Times New Roman" w:eastAsiaTheme="minorHAnsi" w:hAnsi="Times New Roman"/>
                <w:sz w:val="22"/>
                <w:szCs w:val="22"/>
                <w:lang w:val="es-CO" w:eastAsia="en-US"/>
              </w:rPr>
              <w:t xml:space="preserve">n recursos de inversión por un valor de $650 millones, provenientes de un convenio suscrito con la Secretaría General para atender las funciones asignadas a la entidad mediante el Acuerdo 645 de 2016, relacionadas con las solicitudes de </w:t>
            </w:r>
            <w:proofErr w:type="spellStart"/>
            <w:r w:rsidRPr="003E774D">
              <w:rPr>
                <w:rFonts w:ascii="Times New Roman" w:eastAsiaTheme="minorHAnsi" w:hAnsi="Times New Roman"/>
                <w:sz w:val="22"/>
                <w:szCs w:val="22"/>
                <w:lang w:val="es-CO" w:eastAsia="en-US"/>
              </w:rPr>
              <w:t>APP´s</w:t>
            </w:r>
            <w:proofErr w:type="spellEnd"/>
            <w:r w:rsidRPr="003E774D">
              <w:rPr>
                <w:rFonts w:ascii="Times New Roman" w:eastAsiaTheme="minorHAnsi" w:hAnsi="Times New Roman"/>
                <w:sz w:val="22"/>
                <w:szCs w:val="22"/>
                <w:lang w:val="es-CO" w:eastAsia="en-US"/>
              </w:rPr>
              <w:t>.</w:t>
            </w:r>
          </w:p>
          <w:p w:rsidR="00E010F8" w:rsidRPr="003E774D" w:rsidRDefault="00E010F8" w:rsidP="00E010F8">
            <w:pPr>
              <w:jc w:val="both"/>
              <w:rPr>
                <w:rFonts w:ascii="Times New Roman" w:eastAsiaTheme="minorHAnsi" w:hAnsi="Times New Roman"/>
                <w:sz w:val="22"/>
                <w:szCs w:val="22"/>
                <w:lang w:val="es-CO" w:eastAsia="en-US"/>
              </w:rPr>
            </w:pPr>
          </w:p>
          <w:p w:rsidR="00E010F8" w:rsidRPr="003E774D" w:rsidRDefault="00E010F8" w:rsidP="00E010F8">
            <w:pPr>
              <w:jc w:val="both"/>
              <w:rPr>
                <w:rFonts w:ascii="Times New Roman" w:eastAsiaTheme="minorHAnsi" w:hAnsi="Times New Roman"/>
                <w:sz w:val="22"/>
                <w:szCs w:val="22"/>
                <w:lang w:val="es-CO" w:eastAsia="en-US"/>
              </w:rPr>
            </w:pPr>
            <w:r w:rsidRPr="003E774D">
              <w:rPr>
                <w:rFonts w:ascii="Times New Roman" w:eastAsiaTheme="minorHAnsi" w:hAnsi="Times New Roman"/>
                <w:sz w:val="22"/>
                <w:szCs w:val="22"/>
                <w:lang w:val="es-CO" w:eastAsia="en-US"/>
              </w:rPr>
              <w:t xml:space="preserve">En relación con el presupuesto 2018 y específicamente en lo relacionado con el presupuesto de inversión, la Dirección de Planeación coordinó la proyección de los recursos a invertir y </w:t>
            </w:r>
            <w:r w:rsidR="004564F7">
              <w:rPr>
                <w:rFonts w:ascii="Times New Roman" w:eastAsiaTheme="minorHAnsi" w:hAnsi="Times New Roman"/>
                <w:sz w:val="22"/>
                <w:szCs w:val="22"/>
                <w:lang w:val="es-CO" w:eastAsia="en-US"/>
              </w:rPr>
              <w:t>e</w:t>
            </w:r>
            <w:r w:rsidRPr="003E774D">
              <w:rPr>
                <w:rFonts w:ascii="Times New Roman" w:eastAsiaTheme="minorHAnsi" w:hAnsi="Times New Roman"/>
                <w:sz w:val="22"/>
                <w:szCs w:val="22"/>
                <w:lang w:val="es-CO" w:eastAsia="en-US"/>
              </w:rPr>
              <w:t>l desarrollo de las mesas de trabajo para sustentar ante la Secretaría de Hacienda Distrital</w:t>
            </w:r>
            <w:r w:rsidR="004564F7">
              <w:rPr>
                <w:rFonts w:ascii="Times New Roman" w:eastAsiaTheme="minorHAnsi" w:hAnsi="Times New Roman"/>
                <w:sz w:val="22"/>
                <w:szCs w:val="22"/>
                <w:lang w:val="es-CO" w:eastAsia="en-US"/>
              </w:rPr>
              <w:t>,</w:t>
            </w:r>
            <w:r w:rsidRPr="003E774D">
              <w:rPr>
                <w:rFonts w:ascii="Times New Roman" w:eastAsiaTheme="minorHAnsi" w:hAnsi="Times New Roman"/>
                <w:sz w:val="22"/>
                <w:szCs w:val="22"/>
                <w:lang w:val="es-CO" w:eastAsia="en-US"/>
              </w:rPr>
              <w:t xml:space="preserve"> las necesidades de la entidad para avanzar en los compromisos del Plan de Desarrollo. Lo anterior</w:t>
            </w:r>
            <w:r w:rsidR="004564F7">
              <w:rPr>
                <w:rFonts w:ascii="Times New Roman" w:eastAsiaTheme="minorHAnsi" w:hAnsi="Times New Roman"/>
                <w:sz w:val="22"/>
                <w:szCs w:val="22"/>
                <w:lang w:val="es-CO" w:eastAsia="en-US"/>
              </w:rPr>
              <w:t>,</w:t>
            </w:r>
            <w:r w:rsidRPr="003E774D">
              <w:rPr>
                <w:rFonts w:ascii="Times New Roman" w:eastAsiaTheme="minorHAnsi" w:hAnsi="Times New Roman"/>
                <w:sz w:val="22"/>
                <w:szCs w:val="22"/>
                <w:lang w:val="es-CO" w:eastAsia="en-US"/>
              </w:rPr>
              <w:t xml:space="preserve"> permitió que en el mes de octubre se recibiera la notificación de la cuota global, la cual es favorable para los intereses de la entidad.</w:t>
            </w:r>
          </w:p>
          <w:p w:rsidR="00E010F8" w:rsidRPr="003E774D" w:rsidRDefault="00E010F8" w:rsidP="00E010F8">
            <w:pPr>
              <w:jc w:val="both"/>
              <w:rPr>
                <w:rFonts w:ascii="Times New Roman" w:eastAsiaTheme="minorHAnsi" w:hAnsi="Times New Roman"/>
                <w:sz w:val="22"/>
                <w:szCs w:val="22"/>
                <w:lang w:val="es-CO" w:eastAsia="en-US"/>
              </w:rPr>
            </w:pPr>
          </w:p>
          <w:p w:rsidR="00E010F8" w:rsidRPr="003E774D" w:rsidRDefault="00E010F8" w:rsidP="00E010F8">
            <w:pPr>
              <w:jc w:val="both"/>
              <w:rPr>
                <w:rFonts w:ascii="Times New Roman" w:eastAsiaTheme="minorHAnsi" w:hAnsi="Times New Roman"/>
                <w:sz w:val="22"/>
                <w:szCs w:val="22"/>
                <w:lang w:val="es-CO" w:eastAsia="en-US"/>
              </w:rPr>
            </w:pPr>
            <w:r w:rsidRPr="003E774D">
              <w:rPr>
                <w:rFonts w:ascii="Times New Roman" w:eastAsiaTheme="minorHAnsi" w:hAnsi="Times New Roman"/>
                <w:sz w:val="22"/>
                <w:szCs w:val="22"/>
                <w:lang w:val="es-CO" w:eastAsia="en-US"/>
              </w:rPr>
              <w:t>Se realizó la programación de los indicadores de objetivo y de producto del PMR 2017.</w:t>
            </w:r>
          </w:p>
          <w:p w:rsidR="00E010F8" w:rsidRPr="003E774D" w:rsidRDefault="00E010F8" w:rsidP="00E010F8">
            <w:pPr>
              <w:rPr>
                <w:rFonts w:ascii="Times New Roman" w:eastAsiaTheme="minorHAnsi" w:hAnsi="Times New Roman"/>
                <w:sz w:val="22"/>
                <w:szCs w:val="22"/>
                <w:lang w:val="es-CO" w:eastAsia="en-US"/>
              </w:rPr>
            </w:pPr>
          </w:p>
          <w:p w:rsidR="00E010F8" w:rsidRPr="003E774D" w:rsidRDefault="00E010F8" w:rsidP="00E010F8">
            <w:pPr>
              <w:shd w:val="clear" w:color="auto" w:fill="FFFFFF"/>
              <w:jc w:val="both"/>
              <w:rPr>
                <w:rFonts w:ascii="Times New Roman" w:hAnsi="Times New Roman"/>
                <w:b/>
                <w:color w:val="222222"/>
                <w:sz w:val="22"/>
                <w:szCs w:val="22"/>
                <w:lang w:val="es-CO" w:eastAsia="es-CO"/>
              </w:rPr>
            </w:pPr>
            <w:r w:rsidRPr="003E774D">
              <w:rPr>
                <w:rFonts w:ascii="Times New Roman" w:hAnsi="Times New Roman"/>
                <w:b/>
                <w:color w:val="222222"/>
                <w:sz w:val="22"/>
                <w:szCs w:val="22"/>
                <w:lang w:val="es-CO" w:eastAsia="es-CO"/>
              </w:rPr>
              <w:t xml:space="preserve">3. Actividades del Sistema Integrado de Gestión </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Fue expedida la Resolución 1508 de 2017, mediante la cual se modifica y compila la reglamentación del Sistema Integrado de Gestión de la Secretaría Distrital de Planeación.</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Durante el periodo agosto</w:t>
            </w:r>
            <w:r w:rsidR="004564F7">
              <w:rPr>
                <w:rFonts w:ascii="Times New Roman" w:hAnsi="Times New Roman"/>
                <w:color w:val="222222"/>
                <w:sz w:val="22"/>
                <w:szCs w:val="22"/>
                <w:lang w:val="es-CO" w:eastAsia="es-CO"/>
              </w:rPr>
              <w:t xml:space="preserve"> a </w:t>
            </w:r>
            <w:r w:rsidRPr="003E774D">
              <w:rPr>
                <w:rFonts w:ascii="Times New Roman" w:hAnsi="Times New Roman"/>
                <w:color w:val="222222"/>
                <w:sz w:val="22"/>
                <w:szCs w:val="22"/>
                <w:lang w:val="es-CO" w:eastAsia="es-CO"/>
              </w:rPr>
              <w:t xml:space="preserve">octubre, fueron realizadas las actividades correspondientes a la actualización de los documentos del SIG, en cuanto a creación, modificación y anulación de documentos. Para tal fin la Dirección de Planeación efectuó el acompañamiento y asesoría </w:t>
            </w:r>
            <w:r w:rsidR="003738DF" w:rsidRPr="003E774D">
              <w:rPr>
                <w:rFonts w:ascii="Times New Roman" w:hAnsi="Times New Roman"/>
                <w:color w:val="222222"/>
                <w:sz w:val="22"/>
                <w:szCs w:val="22"/>
                <w:lang w:val="es-CO" w:eastAsia="es-CO"/>
              </w:rPr>
              <w:t>metodológica</w:t>
            </w:r>
            <w:r w:rsidRPr="003E774D">
              <w:rPr>
                <w:rFonts w:ascii="Times New Roman" w:hAnsi="Times New Roman"/>
                <w:color w:val="222222"/>
                <w:sz w:val="22"/>
                <w:szCs w:val="22"/>
                <w:lang w:val="es-CO" w:eastAsia="es-CO"/>
              </w:rPr>
              <w:t xml:space="preserve"> a los procesos de la entidad.</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Se consolidó la información de entrada de revisión por la Dirección, y se preparó el Informe que fue remitido previamente a los líderes y enlaces de procesos para recibir retroalimentación y posteriormente se efectuó presentación al equipo de enlaces el día 15 de septiembre y al Comité SIG el día 19 de septiembre de 2017.</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Se efectuó retroalimentación a los procesos en lo que tiene que ver con los planes de mejoramiento y acciones correctivas de la entidad.</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Se gestionó y realizó</w:t>
            </w:r>
            <w:r w:rsidR="003738DF">
              <w:rPr>
                <w:rFonts w:ascii="Times New Roman" w:hAnsi="Times New Roman"/>
                <w:color w:val="222222"/>
                <w:sz w:val="22"/>
                <w:szCs w:val="22"/>
                <w:lang w:val="es-CO" w:eastAsia="es-CO"/>
              </w:rPr>
              <w:t xml:space="preserve">, </w:t>
            </w:r>
            <w:r w:rsidR="003738DF" w:rsidRPr="003E774D">
              <w:rPr>
                <w:rFonts w:ascii="Times New Roman" w:hAnsi="Times New Roman"/>
                <w:color w:val="222222"/>
                <w:sz w:val="22"/>
                <w:szCs w:val="22"/>
                <w:lang w:val="es-CO" w:eastAsia="es-CO"/>
              </w:rPr>
              <w:t xml:space="preserve">con el apoyo de la Dirección de Gestión Humana, </w:t>
            </w:r>
            <w:r w:rsidRPr="003E774D">
              <w:rPr>
                <w:rFonts w:ascii="Times New Roman" w:hAnsi="Times New Roman"/>
                <w:color w:val="222222"/>
                <w:sz w:val="22"/>
                <w:szCs w:val="22"/>
                <w:lang w:val="es-CO" w:eastAsia="es-CO"/>
              </w:rPr>
              <w:t xml:space="preserve"> el “Seminario en Actualización de la Norma ISO 9001.2015, </w:t>
            </w:r>
            <w:r w:rsidR="003738DF">
              <w:rPr>
                <w:rFonts w:ascii="Times New Roman" w:hAnsi="Times New Roman"/>
                <w:color w:val="222222"/>
                <w:sz w:val="22"/>
                <w:szCs w:val="22"/>
                <w:lang w:val="es-CO" w:eastAsia="es-CO"/>
              </w:rPr>
              <w:t xml:space="preserve">dictado </w:t>
            </w:r>
            <w:r w:rsidR="003738DF" w:rsidRPr="003E774D">
              <w:rPr>
                <w:rFonts w:ascii="Times New Roman" w:hAnsi="Times New Roman"/>
                <w:color w:val="222222"/>
                <w:sz w:val="22"/>
                <w:szCs w:val="22"/>
                <w:lang w:val="es-CO" w:eastAsia="es-CO"/>
              </w:rPr>
              <w:t>por la Cámara de Comercio de Bogotá</w:t>
            </w:r>
            <w:r w:rsidR="003738DF">
              <w:rPr>
                <w:rFonts w:ascii="Times New Roman" w:hAnsi="Times New Roman"/>
                <w:color w:val="222222"/>
                <w:sz w:val="22"/>
                <w:szCs w:val="22"/>
                <w:lang w:val="es-CO" w:eastAsia="es-CO"/>
              </w:rPr>
              <w:t xml:space="preserve"> </w:t>
            </w:r>
            <w:r w:rsidRPr="003E774D">
              <w:rPr>
                <w:rFonts w:ascii="Times New Roman" w:hAnsi="Times New Roman"/>
                <w:color w:val="222222"/>
                <w:sz w:val="22"/>
                <w:szCs w:val="22"/>
                <w:lang w:val="es-CO" w:eastAsia="es-CO"/>
              </w:rPr>
              <w:t>los días 18, 19 y 20 de octubre de 2017 a un grupo de auditores de la entidad</w:t>
            </w:r>
            <w:r w:rsidR="003738DF">
              <w:rPr>
                <w:rFonts w:ascii="Times New Roman" w:hAnsi="Times New Roman"/>
                <w:color w:val="222222"/>
                <w:sz w:val="22"/>
                <w:szCs w:val="22"/>
                <w:lang w:val="es-CO" w:eastAsia="es-CO"/>
              </w:rPr>
              <w:t xml:space="preserve">. </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rPr>
                <w:rFonts w:ascii="Times New Roman" w:hAnsi="Times New Roman"/>
                <w:b/>
                <w:color w:val="222222"/>
                <w:sz w:val="22"/>
                <w:szCs w:val="22"/>
                <w:lang w:val="es-CO" w:eastAsia="es-CO"/>
              </w:rPr>
            </w:pPr>
            <w:r w:rsidRPr="003E774D">
              <w:rPr>
                <w:rFonts w:ascii="Times New Roman" w:hAnsi="Times New Roman"/>
                <w:b/>
                <w:color w:val="222222"/>
                <w:sz w:val="22"/>
                <w:szCs w:val="22"/>
                <w:lang w:val="es-CO" w:eastAsia="es-CO"/>
              </w:rPr>
              <w:t>4. Monitoreo y procesos de retroalimentación cumplimiento</w:t>
            </w:r>
            <w:r w:rsidR="003738DF">
              <w:rPr>
                <w:rFonts w:ascii="Times New Roman" w:hAnsi="Times New Roman"/>
                <w:b/>
                <w:color w:val="222222"/>
                <w:sz w:val="22"/>
                <w:szCs w:val="22"/>
                <w:lang w:val="es-CO" w:eastAsia="es-CO"/>
              </w:rPr>
              <w:t xml:space="preserve"> de</w:t>
            </w:r>
            <w:r w:rsidRPr="003E774D">
              <w:rPr>
                <w:rFonts w:ascii="Times New Roman" w:hAnsi="Times New Roman"/>
                <w:b/>
                <w:color w:val="222222"/>
                <w:sz w:val="22"/>
                <w:szCs w:val="22"/>
                <w:lang w:val="es-CO" w:eastAsia="es-CO"/>
              </w:rPr>
              <w:t xml:space="preserve"> indicadores de gestión.</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lastRenderedPageBreak/>
              <w:t>Se hizo seguimiento a las metas estratégicas, de gestión, de inversión, y de Plan de Desarrollo correspondiente al tercer trimestre de 2017; lo correspondiente al Plan de Desarrollo se encuentra registrado en SEGPLAN, para consulta de las partes interesadas.</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Se elaboró el Informe de Principales logros de la gestión asociadas al PMR de la entidad, correspondiente al primer semestre de 2017.</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 xml:space="preserve">De igual forma, se hizo el seguimiento al Plan de Contratación 2017 y la revisión del </w:t>
            </w:r>
            <w:r w:rsidR="003738DF">
              <w:rPr>
                <w:rFonts w:ascii="Times New Roman" w:hAnsi="Times New Roman"/>
                <w:color w:val="222222"/>
                <w:sz w:val="22"/>
                <w:szCs w:val="22"/>
                <w:lang w:val="es-CO" w:eastAsia="es-CO"/>
              </w:rPr>
              <w:t xml:space="preserve">mismo para el </w:t>
            </w:r>
            <w:r w:rsidRPr="003E774D">
              <w:rPr>
                <w:rFonts w:ascii="Times New Roman" w:hAnsi="Times New Roman"/>
                <w:color w:val="222222"/>
                <w:sz w:val="22"/>
                <w:szCs w:val="22"/>
                <w:lang w:val="es-CO" w:eastAsia="es-CO"/>
              </w:rPr>
              <w:t>2018; en este sentido se efectuó retroalimentación a los requisitos relacionados con conceptos de gasto, componentes, coherencia con metas de proyectos de inversión y definición de presupuesto por meta.</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Finalmente</w:t>
            </w:r>
            <w:r w:rsidR="003738DF">
              <w:rPr>
                <w:rFonts w:ascii="Times New Roman" w:hAnsi="Times New Roman"/>
                <w:color w:val="222222"/>
                <w:sz w:val="22"/>
                <w:szCs w:val="22"/>
                <w:lang w:val="es-CO" w:eastAsia="es-CO"/>
              </w:rPr>
              <w:t>,</w:t>
            </w:r>
            <w:r w:rsidRPr="003E774D">
              <w:rPr>
                <w:rFonts w:ascii="Times New Roman" w:hAnsi="Times New Roman"/>
                <w:color w:val="222222"/>
                <w:sz w:val="22"/>
                <w:szCs w:val="22"/>
                <w:lang w:val="es-CO" w:eastAsia="es-CO"/>
              </w:rPr>
              <w:t xml:space="preserve"> se hizo el seguimiento mensual a los indicadores de objetivo y de producto del PMR 2017.</w:t>
            </w:r>
          </w:p>
          <w:p w:rsidR="00E010F8" w:rsidRPr="003E774D" w:rsidRDefault="00E010F8" w:rsidP="00E010F8">
            <w:pPr>
              <w:rPr>
                <w:rFonts w:ascii="Times New Roman" w:hAnsi="Times New Roman"/>
                <w:color w:val="222222"/>
                <w:sz w:val="22"/>
                <w:szCs w:val="22"/>
                <w:lang w:val="es-CO" w:eastAsia="es-CO"/>
              </w:rPr>
            </w:pPr>
          </w:p>
          <w:p w:rsidR="00E010F8" w:rsidRPr="003E774D" w:rsidRDefault="00E010F8" w:rsidP="00E010F8">
            <w:pPr>
              <w:shd w:val="clear" w:color="auto" w:fill="FFFFFF"/>
              <w:rPr>
                <w:rFonts w:ascii="Times New Roman" w:hAnsi="Times New Roman"/>
                <w:b/>
                <w:color w:val="222222"/>
                <w:sz w:val="22"/>
                <w:szCs w:val="22"/>
                <w:lang w:val="es-CO" w:eastAsia="es-CO"/>
              </w:rPr>
            </w:pPr>
            <w:r w:rsidRPr="003E774D">
              <w:rPr>
                <w:rFonts w:ascii="Times New Roman" w:hAnsi="Times New Roman"/>
                <w:b/>
                <w:color w:val="222222"/>
                <w:sz w:val="22"/>
                <w:szCs w:val="22"/>
                <w:lang w:val="es-CO" w:eastAsia="es-CO"/>
              </w:rPr>
              <w:t>5. Gestión del riesgo</w:t>
            </w:r>
          </w:p>
          <w:p w:rsidR="00E010F8" w:rsidRPr="003E774D" w:rsidRDefault="00E010F8" w:rsidP="00E010F8">
            <w:pPr>
              <w:jc w:val="both"/>
              <w:rPr>
                <w:rFonts w:ascii="Times New Roman" w:hAnsi="Times New Roman"/>
                <w:b/>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 xml:space="preserve">La Oficina de Control Interno y la Dirección de Planeación se encuentran liderando en la entidad, el seminario Taller para el “Fortalecimiento de la </w:t>
            </w:r>
            <w:r w:rsidR="003738DF">
              <w:rPr>
                <w:rFonts w:ascii="Times New Roman" w:hAnsi="Times New Roman"/>
                <w:color w:val="222222"/>
                <w:sz w:val="22"/>
                <w:szCs w:val="22"/>
                <w:lang w:val="es-CO" w:eastAsia="es-CO"/>
              </w:rPr>
              <w:t>G</w:t>
            </w:r>
            <w:r w:rsidRPr="003E774D">
              <w:rPr>
                <w:rFonts w:ascii="Times New Roman" w:hAnsi="Times New Roman"/>
                <w:color w:val="222222"/>
                <w:sz w:val="22"/>
                <w:szCs w:val="22"/>
                <w:lang w:val="es-CO" w:eastAsia="es-CO"/>
              </w:rPr>
              <w:t xml:space="preserve">estión del </w:t>
            </w:r>
            <w:r w:rsidR="003738DF">
              <w:rPr>
                <w:rFonts w:ascii="Times New Roman" w:hAnsi="Times New Roman"/>
                <w:color w:val="222222"/>
                <w:sz w:val="22"/>
                <w:szCs w:val="22"/>
                <w:lang w:val="es-CO" w:eastAsia="es-CO"/>
              </w:rPr>
              <w:t>R</w:t>
            </w:r>
            <w:r w:rsidRPr="003E774D">
              <w:rPr>
                <w:rFonts w:ascii="Times New Roman" w:hAnsi="Times New Roman"/>
                <w:color w:val="222222"/>
                <w:sz w:val="22"/>
                <w:szCs w:val="22"/>
                <w:lang w:val="es-CO" w:eastAsia="es-CO"/>
              </w:rPr>
              <w:t>iesgo de la SDP”, con base en las últimas tendencias y normas internacionales, actividad que se viene realizando desde el mes de agosto</w:t>
            </w:r>
            <w:r w:rsidR="003738DF">
              <w:rPr>
                <w:rFonts w:ascii="Times New Roman" w:hAnsi="Times New Roman"/>
                <w:color w:val="222222"/>
                <w:sz w:val="22"/>
                <w:szCs w:val="22"/>
                <w:lang w:val="es-CO" w:eastAsia="es-CO"/>
              </w:rPr>
              <w:t xml:space="preserve"> y</w:t>
            </w:r>
            <w:r w:rsidRPr="003E774D">
              <w:rPr>
                <w:rFonts w:ascii="Times New Roman" w:hAnsi="Times New Roman"/>
                <w:color w:val="222222"/>
                <w:sz w:val="22"/>
                <w:szCs w:val="22"/>
                <w:lang w:val="es-CO" w:eastAsia="es-CO"/>
              </w:rPr>
              <w:t xml:space="preserve"> hasta el mes de diciembre de 2017.</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 xml:space="preserve">Para tal fin se están haciendo </w:t>
            </w:r>
            <w:r w:rsidR="003738DF" w:rsidRPr="003E774D">
              <w:rPr>
                <w:rFonts w:ascii="Times New Roman" w:hAnsi="Times New Roman"/>
                <w:color w:val="222222"/>
                <w:sz w:val="22"/>
                <w:szCs w:val="22"/>
                <w:lang w:val="es-CO" w:eastAsia="es-CO"/>
              </w:rPr>
              <w:t>talleres teórico</w:t>
            </w:r>
            <w:r w:rsidR="003738DF">
              <w:rPr>
                <w:rFonts w:ascii="Times New Roman" w:hAnsi="Times New Roman"/>
                <w:color w:val="222222"/>
                <w:sz w:val="22"/>
                <w:szCs w:val="22"/>
                <w:lang w:val="es-CO" w:eastAsia="es-CO"/>
              </w:rPr>
              <w:t>-</w:t>
            </w:r>
            <w:r w:rsidRPr="003E774D">
              <w:rPr>
                <w:rFonts w:ascii="Times New Roman" w:hAnsi="Times New Roman"/>
                <w:color w:val="222222"/>
                <w:sz w:val="22"/>
                <w:szCs w:val="22"/>
                <w:lang w:val="es-CO" w:eastAsia="es-CO"/>
              </w:rPr>
              <w:t xml:space="preserve">prácticos, dirigidos a los </w:t>
            </w:r>
            <w:r w:rsidR="003738DF" w:rsidRPr="003E774D">
              <w:rPr>
                <w:rFonts w:ascii="Times New Roman" w:hAnsi="Times New Roman"/>
                <w:color w:val="222222"/>
                <w:sz w:val="22"/>
                <w:szCs w:val="22"/>
                <w:lang w:val="es-CO" w:eastAsia="es-CO"/>
              </w:rPr>
              <w:t>líderes</w:t>
            </w:r>
            <w:r w:rsidRPr="003E774D">
              <w:rPr>
                <w:rFonts w:ascii="Times New Roman" w:hAnsi="Times New Roman"/>
                <w:color w:val="222222"/>
                <w:sz w:val="22"/>
                <w:szCs w:val="22"/>
                <w:lang w:val="es-CO" w:eastAsia="es-CO"/>
              </w:rPr>
              <w:t>, los enlaces de procesos y otros profesionales. Se cuenta con un contratista experto en el tema y se está armonizando este ejercicio con el nuevo Modelo Integrado de Planeación y Gestión de la entidad.</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Así mimo, se está revisando la política de la entidad y los instructivos y directrices sobre este tema.</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010F8" w:rsidRPr="003E774D" w:rsidRDefault="00E010F8" w:rsidP="00E010F8">
            <w:pPr>
              <w:shd w:val="clear" w:color="auto" w:fill="FFFFFF"/>
              <w:jc w:val="both"/>
              <w:rPr>
                <w:rFonts w:ascii="Times New Roman" w:hAnsi="Times New Roman"/>
                <w:color w:val="222222"/>
                <w:sz w:val="22"/>
                <w:szCs w:val="22"/>
                <w:lang w:val="es-CO" w:eastAsia="es-CO"/>
              </w:rPr>
            </w:pPr>
            <w:r w:rsidRPr="003E774D">
              <w:rPr>
                <w:rFonts w:ascii="Times New Roman" w:hAnsi="Times New Roman"/>
                <w:color w:val="222222"/>
                <w:sz w:val="22"/>
                <w:szCs w:val="22"/>
                <w:lang w:val="es-CO" w:eastAsia="es-CO"/>
              </w:rPr>
              <w:t>Como resultado de los talleres, a la fecha se han reformulado los objetivos y los riesgos institucionales, por procesos y de corrupción de la entidad, y se está abordando con el acompañamiento metodológico, la revisión de la DOFA de la entidad, así como se procederá a revisar y/o formular los controles y los planes de mejoramiento correspondientes.</w:t>
            </w:r>
          </w:p>
          <w:p w:rsidR="00E010F8" w:rsidRPr="003E774D" w:rsidRDefault="00E010F8" w:rsidP="00E010F8">
            <w:pPr>
              <w:shd w:val="clear" w:color="auto" w:fill="FFFFFF"/>
              <w:jc w:val="both"/>
              <w:rPr>
                <w:rFonts w:ascii="Times New Roman" w:hAnsi="Times New Roman"/>
                <w:color w:val="222222"/>
                <w:sz w:val="22"/>
                <w:szCs w:val="22"/>
                <w:lang w:val="es-CO" w:eastAsia="es-CO"/>
              </w:rPr>
            </w:pPr>
          </w:p>
          <w:p w:rsidR="00E55B38" w:rsidRPr="003E774D" w:rsidRDefault="00E010F8" w:rsidP="00C85489">
            <w:pPr>
              <w:shd w:val="clear" w:color="auto" w:fill="FFFFFF"/>
              <w:jc w:val="both"/>
              <w:rPr>
                <w:rFonts w:ascii="Times New Roman" w:hAnsi="Times New Roman"/>
                <w:color w:val="222222"/>
                <w:sz w:val="22"/>
                <w:szCs w:val="22"/>
                <w:lang w:eastAsia="es-CO"/>
              </w:rPr>
            </w:pPr>
            <w:r w:rsidRPr="003E774D">
              <w:rPr>
                <w:rFonts w:ascii="Times New Roman" w:hAnsi="Times New Roman"/>
                <w:color w:val="222222"/>
                <w:sz w:val="22"/>
                <w:szCs w:val="22"/>
                <w:lang w:val="es-CO" w:eastAsia="es-CO"/>
              </w:rPr>
              <w:t>Así mismo, en cumplimiento de la Ley 1474 de 2011, se efectuaron los seguimientos a los riesgos por procesos, así como a los riesgos de corrupción, estos últimos fueron publicados en la página web de la entidad con el respectivo seguimiento de la Oficina de Control Interno</w:t>
            </w:r>
            <w:r w:rsidR="00C85489">
              <w:rPr>
                <w:rFonts w:ascii="Times New Roman" w:hAnsi="Times New Roman"/>
                <w:color w:val="222222"/>
                <w:sz w:val="22"/>
                <w:szCs w:val="22"/>
                <w:lang w:val="es-CO" w:eastAsia="es-CO"/>
              </w:rPr>
              <w:t>.</w:t>
            </w:r>
          </w:p>
        </w:tc>
      </w:tr>
      <w:tr w:rsidR="0087261D" w:rsidRPr="003E774D" w:rsidTr="00655722">
        <w:tc>
          <w:tcPr>
            <w:tcW w:w="9356" w:type="dxa"/>
          </w:tcPr>
          <w:p w:rsidR="0087261D" w:rsidRPr="003E774D" w:rsidRDefault="0087261D" w:rsidP="002A66C6">
            <w:pPr>
              <w:tabs>
                <w:tab w:val="left" w:pos="2910"/>
              </w:tabs>
              <w:ind w:right="-1"/>
              <w:jc w:val="both"/>
              <w:rPr>
                <w:rFonts w:ascii="Times New Roman" w:hAnsi="Times New Roman"/>
                <w:b/>
                <w:sz w:val="22"/>
                <w:szCs w:val="22"/>
              </w:rPr>
            </w:pPr>
          </w:p>
          <w:p w:rsidR="00013AC2" w:rsidRPr="003E774D" w:rsidRDefault="0087261D" w:rsidP="00391B92">
            <w:pPr>
              <w:tabs>
                <w:tab w:val="left" w:pos="2910"/>
              </w:tabs>
              <w:ind w:right="-1"/>
              <w:jc w:val="both"/>
              <w:rPr>
                <w:rFonts w:ascii="Times New Roman" w:hAnsi="Times New Roman"/>
                <w:b/>
                <w:sz w:val="22"/>
                <w:szCs w:val="22"/>
              </w:rPr>
            </w:pPr>
            <w:r w:rsidRPr="003E774D">
              <w:rPr>
                <w:rFonts w:ascii="Times New Roman" w:hAnsi="Times New Roman"/>
                <w:b/>
                <w:sz w:val="22"/>
                <w:szCs w:val="22"/>
              </w:rPr>
              <w:t xml:space="preserve">DIFICULTADES: </w:t>
            </w:r>
            <w:r w:rsidR="00C365F7" w:rsidRPr="003E774D">
              <w:rPr>
                <w:rFonts w:ascii="Times New Roman" w:hAnsi="Times New Roman"/>
                <w:sz w:val="22"/>
                <w:szCs w:val="22"/>
              </w:rPr>
              <w:t>La entidad</w:t>
            </w:r>
            <w:r w:rsidR="00391B92">
              <w:rPr>
                <w:rFonts w:ascii="Times New Roman" w:hAnsi="Times New Roman"/>
                <w:sz w:val="22"/>
                <w:szCs w:val="22"/>
              </w:rPr>
              <w:t xml:space="preserve"> se encuentra en un proceso de merma en el</w:t>
            </w:r>
            <w:r w:rsidR="00C365F7" w:rsidRPr="003E774D">
              <w:rPr>
                <w:rFonts w:ascii="Times New Roman" w:hAnsi="Times New Roman"/>
                <w:sz w:val="22"/>
                <w:szCs w:val="22"/>
              </w:rPr>
              <w:t xml:space="preserve"> desempeño laboral, con ocasión del ingreso de los nuevos funcionarios que ganaron el concurso de méritos para los cargos de carrera administrativa, la mayoría están en período de prueba</w:t>
            </w:r>
            <w:r w:rsidR="003738DF">
              <w:rPr>
                <w:rFonts w:ascii="Times New Roman" w:hAnsi="Times New Roman"/>
                <w:sz w:val="22"/>
                <w:szCs w:val="22"/>
              </w:rPr>
              <w:t xml:space="preserve"> cuyo tiempo es de 6 meses</w:t>
            </w:r>
            <w:r w:rsidR="00C365F7" w:rsidRPr="003E774D">
              <w:rPr>
                <w:rFonts w:ascii="Times New Roman" w:hAnsi="Times New Roman"/>
                <w:sz w:val="22"/>
                <w:szCs w:val="22"/>
              </w:rPr>
              <w:t>.</w:t>
            </w:r>
            <w:r w:rsidR="003738DF">
              <w:rPr>
                <w:rFonts w:ascii="Times New Roman" w:hAnsi="Times New Roman"/>
                <w:sz w:val="22"/>
                <w:szCs w:val="22"/>
              </w:rPr>
              <w:t xml:space="preserve"> </w:t>
            </w:r>
            <w:r w:rsidR="00C365F7" w:rsidRPr="003E774D">
              <w:rPr>
                <w:rFonts w:ascii="Times New Roman" w:hAnsi="Times New Roman"/>
                <w:sz w:val="22"/>
                <w:szCs w:val="22"/>
              </w:rPr>
              <w:t xml:space="preserve"> Entre tanto, se afecta el logro de algunos compromisos mientras dura el aprendizaje, pues existen áreas en las</w:t>
            </w:r>
            <w:r w:rsidR="000648B7" w:rsidRPr="003E774D">
              <w:rPr>
                <w:rFonts w:ascii="Times New Roman" w:hAnsi="Times New Roman"/>
                <w:sz w:val="22"/>
                <w:szCs w:val="22"/>
              </w:rPr>
              <w:t xml:space="preserve"> que </w:t>
            </w:r>
            <w:r w:rsidR="00C365F7" w:rsidRPr="003E774D">
              <w:rPr>
                <w:rFonts w:ascii="Times New Roman" w:hAnsi="Times New Roman"/>
                <w:sz w:val="22"/>
                <w:szCs w:val="22"/>
              </w:rPr>
              <w:t xml:space="preserve"> todos los servidores </w:t>
            </w:r>
            <w:r w:rsidR="000648B7" w:rsidRPr="003E774D">
              <w:rPr>
                <w:rFonts w:ascii="Times New Roman" w:hAnsi="Times New Roman"/>
                <w:sz w:val="22"/>
                <w:szCs w:val="22"/>
              </w:rPr>
              <w:t>actuales son nuevos.</w:t>
            </w:r>
            <w:r w:rsidR="00C365F7" w:rsidRPr="003E774D">
              <w:rPr>
                <w:rFonts w:ascii="Times New Roman" w:hAnsi="Times New Roman"/>
                <w:b/>
                <w:sz w:val="22"/>
                <w:szCs w:val="22"/>
              </w:rPr>
              <w:t xml:space="preserve"> </w:t>
            </w:r>
          </w:p>
        </w:tc>
      </w:tr>
    </w:tbl>
    <w:p w:rsidR="00A549C4" w:rsidRPr="003E774D" w:rsidRDefault="00A549C4" w:rsidP="002A66C6">
      <w:pPr>
        <w:ind w:right="-1"/>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2640D" w:rsidRPr="003E774D" w:rsidTr="00F15598">
        <w:trPr>
          <w:trHeight w:val="662"/>
        </w:trPr>
        <w:tc>
          <w:tcPr>
            <w:tcW w:w="9322" w:type="dxa"/>
            <w:shd w:val="pct20" w:color="auto" w:fill="auto"/>
            <w:vAlign w:val="center"/>
          </w:tcPr>
          <w:p w:rsidR="0012640D" w:rsidRPr="003E774D" w:rsidRDefault="00F15598" w:rsidP="002A66C6">
            <w:pPr>
              <w:ind w:right="-1"/>
              <w:jc w:val="both"/>
              <w:rPr>
                <w:rFonts w:ascii="Times New Roman" w:hAnsi="Times New Roman"/>
                <w:b/>
                <w:sz w:val="22"/>
                <w:szCs w:val="22"/>
              </w:rPr>
            </w:pPr>
            <w:r w:rsidRPr="003E774D">
              <w:rPr>
                <w:rFonts w:ascii="Times New Roman" w:hAnsi="Times New Roman"/>
                <w:b/>
                <w:sz w:val="22"/>
                <w:szCs w:val="22"/>
              </w:rPr>
              <w:t>2. MÓDULO DE EVALUACIÓN Y SEGUIMIENTO</w:t>
            </w:r>
          </w:p>
        </w:tc>
      </w:tr>
      <w:tr w:rsidR="0012640D" w:rsidRPr="003E774D" w:rsidTr="00F15598">
        <w:tc>
          <w:tcPr>
            <w:tcW w:w="9322" w:type="dxa"/>
          </w:tcPr>
          <w:p w:rsidR="000135E5" w:rsidRPr="003E774D" w:rsidRDefault="000135E5" w:rsidP="002A66C6">
            <w:pPr>
              <w:ind w:left="426" w:right="-1" w:hanging="284"/>
              <w:jc w:val="both"/>
              <w:rPr>
                <w:rFonts w:ascii="Times New Roman" w:hAnsi="Times New Roman"/>
                <w:sz w:val="22"/>
                <w:szCs w:val="22"/>
              </w:rPr>
            </w:pPr>
          </w:p>
          <w:p w:rsidR="00013AC2" w:rsidRPr="003E774D" w:rsidRDefault="004B4D06" w:rsidP="002A66C6">
            <w:pPr>
              <w:pStyle w:val="Prrafodelista"/>
              <w:tabs>
                <w:tab w:val="left" w:pos="480"/>
              </w:tabs>
              <w:spacing w:after="0" w:line="240" w:lineRule="auto"/>
              <w:ind w:left="0"/>
              <w:jc w:val="both"/>
              <w:rPr>
                <w:rFonts w:ascii="Times New Roman" w:hAnsi="Times New Roman"/>
              </w:rPr>
            </w:pPr>
            <w:r w:rsidRPr="003E774D">
              <w:rPr>
                <w:rFonts w:ascii="Times New Roman" w:hAnsi="Times New Roman"/>
                <w:b/>
              </w:rPr>
              <w:t>2.1. COMPONENTE</w:t>
            </w:r>
            <w:r w:rsidR="00F15598" w:rsidRPr="003E774D">
              <w:rPr>
                <w:rFonts w:ascii="Times New Roman" w:hAnsi="Times New Roman"/>
                <w:b/>
              </w:rPr>
              <w:t xml:space="preserve"> </w:t>
            </w:r>
            <w:r w:rsidR="0048199C" w:rsidRPr="003E774D">
              <w:rPr>
                <w:rFonts w:ascii="Times New Roman" w:hAnsi="Times New Roman"/>
                <w:b/>
              </w:rPr>
              <w:t>AUTOEVALUACIÓN</w:t>
            </w:r>
            <w:r w:rsidR="003738DF" w:rsidRPr="003E774D">
              <w:rPr>
                <w:rFonts w:ascii="Times New Roman" w:hAnsi="Times New Roman"/>
                <w:b/>
              </w:rPr>
              <w:t xml:space="preserve">: </w:t>
            </w:r>
            <w:r w:rsidR="003738DF" w:rsidRPr="006E26D6">
              <w:rPr>
                <w:rFonts w:ascii="Times New Roman" w:hAnsi="Times New Roman"/>
              </w:rPr>
              <w:t>L</w:t>
            </w:r>
            <w:r w:rsidR="003738DF" w:rsidRPr="003738DF">
              <w:rPr>
                <w:rFonts w:ascii="Times New Roman" w:hAnsi="Times New Roman"/>
              </w:rPr>
              <w:t>os</w:t>
            </w:r>
            <w:r w:rsidRPr="003738DF">
              <w:rPr>
                <w:rFonts w:ascii="Times New Roman" w:hAnsi="Times New Roman"/>
              </w:rPr>
              <w:t xml:space="preserve"> responsables de los  procesos, presentaron </w:t>
            </w:r>
            <w:proofErr w:type="gramStart"/>
            <w:r w:rsidRPr="003738DF">
              <w:rPr>
                <w:rFonts w:ascii="Times New Roman" w:hAnsi="Times New Roman"/>
              </w:rPr>
              <w:t>los auto</w:t>
            </w:r>
            <w:proofErr w:type="gramEnd"/>
            <w:r w:rsidRPr="003738DF">
              <w:rPr>
                <w:rFonts w:ascii="Times New Roman" w:hAnsi="Times New Roman"/>
              </w:rPr>
              <w:t xml:space="preserve"> reportes  de seguimiento institucional, con el lid</w:t>
            </w:r>
            <w:r w:rsidRPr="003E774D">
              <w:rPr>
                <w:rFonts w:ascii="Times New Roman" w:hAnsi="Times New Roman"/>
              </w:rPr>
              <w:t>erazg</w:t>
            </w:r>
            <w:r w:rsidR="006E26D6">
              <w:rPr>
                <w:rFonts w:ascii="Times New Roman" w:hAnsi="Times New Roman"/>
              </w:rPr>
              <w:t>o de la Dirección de Planeación</w:t>
            </w:r>
            <w:r w:rsidRPr="003E774D">
              <w:rPr>
                <w:rFonts w:ascii="Times New Roman" w:hAnsi="Times New Roman"/>
              </w:rPr>
              <w:t xml:space="preserve">, a través de las diferentes herramientas de gestión dispuestas para tal fin. En este sentido, re evaluaron los logros frente a los siguientes temas, con corte a 30 de septiembre/17: Administración de riesgos, avances en la programación del Plan Operativo Anual, avances en las metas Plan  de Desarrollo, avances en la gestión de los Planes de </w:t>
            </w:r>
            <w:r w:rsidR="006E26D6">
              <w:rPr>
                <w:rFonts w:ascii="Times New Roman" w:hAnsi="Times New Roman"/>
              </w:rPr>
              <w:t>M</w:t>
            </w:r>
            <w:r w:rsidRPr="003E774D">
              <w:rPr>
                <w:rFonts w:ascii="Times New Roman" w:hAnsi="Times New Roman"/>
              </w:rPr>
              <w:t xml:space="preserve">ejoramiento, avances en el Plan de </w:t>
            </w:r>
            <w:r w:rsidR="006E26D6">
              <w:rPr>
                <w:rFonts w:ascii="Times New Roman" w:hAnsi="Times New Roman"/>
              </w:rPr>
              <w:t>C</w:t>
            </w:r>
            <w:r w:rsidRPr="003E774D">
              <w:rPr>
                <w:rFonts w:ascii="Times New Roman" w:hAnsi="Times New Roman"/>
              </w:rPr>
              <w:t xml:space="preserve">ontratación. De los resultados obtenidos se </w:t>
            </w:r>
            <w:r w:rsidRPr="003E774D">
              <w:rPr>
                <w:rFonts w:ascii="Times New Roman" w:hAnsi="Times New Roman"/>
              </w:rPr>
              <w:lastRenderedPageBreak/>
              <w:t xml:space="preserve">asumieron compromisos de ajustes e identificación de causas, con el fin de asegurar el cumplimiento de los objetivos propuestos para la presente vigencia. La Dirección de </w:t>
            </w:r>
            <w:r w:rsidR="006E26D6">
              <w:rPr>
                <w:rFonts w:ascii="Times New Roman" w:hAnsi="Times New Roman"/>
              </w:rPr>
              <w:t>P</w:t>
            </w:r>
            <w:r w:rsidRPr="003E774D">
              <w:rPr>
                <w:rFonts w:ascii="Times New Roman" w:hAnsi="Times New Roman"/>
              </w:rPr>
              <w:t xml:space="preserve">laneación adelantó las mesas de trabajo con cada área para la identificación de las brechas </w:t>
            </w:r>
            <w:r w:rsidR="00C365F7" w:rsidRPr="003E774D">
              <w:rPr>
                <w:rFonts w:ascii="Times New Roman" w:hAnsi="Times New Roman"/>
              </w:rPr>
              <w:t xml:space="preserve">y la implementación de las acciones de mejora a </w:t>
            </w:r>
            <w:r w:rsidR="006E26D6">
              <w:rPr>
                <w:rFonts w:ascii="Times New Roman" w:hAnsi="Times New Roman"/>
              </w:rPr>
              <w:t xml:space="preserve">que </w:t>
            </w:r>
            <w:r w:rsidR="00C365F7" w:rsidRPr="003E774D">
              <w:rPr>
                <w:rFonts w:ascii="Times New Roman" w:hAnsi="Times New Roman"/>
              </w:rPr>
              <w:t>hubiera lugar</w:t>
            </w:r>
            <w:r w:rsidR="00C365F7" w:rsidRPr="003E774D">
              <w:rPr>
                <w:rFonts w:ascii="Times New Roman" w:hAnsi="Times New Roman"/>
                <w:b/>
              </w:rPr>
              <w:t xml:space="preserve">. </w:t>
            </w:r>
          </w:p>
          <w:p w:rsidR="00562087" w:rsidRPr="003E774D" w:rsidRDefault="00562087" w:rsidP="000A0802">
            <w:pPr>
              <w:pStyle w:val="Prrafodelista"/>
              <w:tabs>
                <w:tab w:val="left" w:pos="480"/>
              </w:tabs>
              <w:spacing w:after="0" w:line="240" w:lineRule="auto"/>
              <w:ind w:left="0"/>
              <w:jc w:val="both"/>
              <w:rPr>
                <w:rFonts w:ascii="Times New Roman" w:hAnsi="Times New Roman"/>
              </w:rPr>
            </w:pPr>
          </w:p>
        </w:tc>
      </w:tr>
    </w:tbl>
    <w:p w:rsidR="0087261D" w:rsidRPr="003E774D" w:rsidRDefault="0087261D" w:rsidP="002A66C6">
      <w:pPr>
        <w:jc w:val="both"/>
        <w:rPr>
          <w:rFonts w:ascii="Times New Roman" w:hAnsi="Times New Roman"/>
          <w:sz w:val="22"/>
          <w:szCs w:val="22"/>
        </w:rPr>
      </w:pPr>
    </w:p>
    <w:p w:rsidR="0087261D" w:rsidRPr="003E774D" w:rsidRDefault="0087261D" w:rsidP="002A66C6">
      <w:pPr>
        <w:jc w:val="both"/>
        <w:rPr>
          <w:rFonts w:ascii="Times New Roman" w:hAnsi="Times New Roman"/>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87261D" w:rsidRPr="003E774D" w:rsidTr="00796CBE">
        <w:trPr>
          <w:trHeight w:val="1833"/>
        </w:trPr>
        <w:tc>
          <w:tcPr>
            <w:tcW w:w="9180" w:type="dxa"/>
          </w:tcPr>
          <w:p w:rsidR="0087261D" w:rsidRPr="003E774D" w:rsidRDefault="0087261D" w:rsidP="002A66C6">
            <w:pPr>
              <w:ind w:left="284" w:right="-1" w:hanging="284"/>
              <w:jc w:val="both"/>
              <w:rPr>
                <w:rFonts w:ascii="Times New Roman" w:hAnsi="Times New Roman"/>
                <w:b/>
                <w:sz w:val="22"/>
                <w:szCs w:val="22"/>
              </w:rPr>
            </w:pPr>
            <w:r w:rsidRPr="003E774D">
              <w:rPr>
                <w:rFonts w:ascii="Times New Roman" w:hAnsi="Times New Roman"/>
                <w:b/>
                <w:sz w:val="22"/>
                <w:szCs w:val="22"/>
              </w:rPr>
              <w:t>2.2. COMPONENTE AUDITORÍAS INTERNAS E INFORMES OBLIGATORIOS</w:t>
            </w:r>
            <w:r w:rsidR="000F226B" w:rsidRPr="003E774D">
              <w:rPr>
                <w:rFonts w:ascii="Times New Roman" w:hAnsi="Times New Roman"/>
                <w:b/>
                <w:sz w:val="22"/>
                <w:szCs w:val="22"/>
              </w:rPr>
              <w:t>:</w:t>
            </w:r>
          </w:p>
          <w:p w:rsidR="000648B7" w:rsidRPr="003E774D" w:rsidRDefault="000648B7" w:rsidP="002A66C6">
            <w:pPr>
              <w:ind w:left="284" w:right="-1" w:hanging="284"/>
              <w:jc w:val="both"/>
              <w:rPr>
                <w:rFonts w:ascii="Times New Roman" w:hAnsi="Times New Roman"/>
                <w:b/>
                <w:sz w:val="22"/>
                <w:szCs w:val="22"/>
              </w:rPr>
            </w:pPr>
          </w:p>
          <w:p w:rsidR="008A6671" w:rsidRPr="003E774D" w:rsidRDefault="000F226B" w:rsidP="000648B7">
            <w:pPr>
              <w:spacing w:line="276" w:lineRule="auto"/>
              <w:ind w:left="720"/>
              <w:jc w:val="both"/>
              <w:rPr>
                <w:rFonts w:ascii="Times New Roman" w:hAnsi="Times New Roman"/>
                <w:bCs/>
                <w:sz w:val="22"/>
                <w:szCs w:val="22"/>
              </w:rPr>
            </w:pPr>
            <w:r w:rsidRPr="003E774D">
              <w:rPr>
                <w:rFonts w:ascii="Times New Roman" w:hAnsi="Times New Roman"/>
                <w:b/>
                <w:sz w:val="22"/>
                <w:szCs w:val="22"/>
              </w:rPr>
              <w:t>-</w:t>
            </w:r>
            <w:r w:rsidRPr="003E774D">
              <w:rPr>
                <w:rFonts w:ascii="Times New Roman" w:hAnsi="Times New Roman"/>
                <w:b/>
                <w:i/>
                <w:sz w:val="22"/>
                <w:szCs w:val="22"/>
              </w:rPr>
              <w:t xml:space="preserve">Informe de Seguimiento al </w:t>
            </w:r>
            <w:r w:rsidR="00C85489">
              <w:rPr>
                <w:rFonts w:ascii="Times New Roman" w:hAnsi="Times New Roman"/>
                <w:b/>
                <w:i/>
                <w:sz w:val="22"/>
                <w:szCs w:val="22"/>
              </w:rPr>
              <w:t>P</w:t>
            </w:r>
            <w:r w:rsidRPr="003E774D">
              <w:rPr>
                <w:rFonts w:ascii="Times New Roman" w:hAnsi="Times New Roman"/>
                <w:b/>
                <w:i/>
                <w:sz w:val="22"/>
                <w:szCs w:val="22"/>
              </w:rPr>
              <w:t>roceso de Atención de Peticiones, Quejas y Reclamos de la SDP, durante el primer semestre de 2017</w:t>
            </w:r>
            <w:r w:rsidR="00D6080B" w:rsidRPr="003E774D">
              <w:rPr>
                <w:rFonts w:ascii="Times New Roman" w:hAnsi="Times New Roman"/>
                <w:b/>
                <w:i/>
                <w:sz w:val="22"/>
                <w:szCs w:val="22"/>
              </w:rPr>
              <w:t xml:space="preserve">. </w:t>
            </w:r>
            <w:r w:rsidR="00D6080B" w:rsidRPr="006E26D6">
              <w:rPr>
                <w:rFonts w:ascii="Times New Roman" w:hAnsi="Times New Roman"/>
                <w:sz w:val="22"/>
                <w:szCs w:val="22"/>
              </w:rPr>
              <w:t>Se</w:t>
            </w:r>
            <w:r w:rsidR="00D6080B" w:rsidRPr="003E774D">
              <w:rPr>
                <w:rFonts w:ascii="Times New Roman" w:hAnsi="Times New Roman"/>
                <w:b/>
                <w:i/>
                <w:sz w:val="22"/>
                <w:szCs w:val="22"/>
              </w:rPr>
              <w:t xml:space="preserve"> </w:t>
            </w:r>
            <w:r w:rsidR="00D6080B" w:rsidRPr="003E774D">
              <w:rPr>
                <w:rFonts w:ascii="Times New Roman" w:hAnsi="Times New Roman"/>
                <w:sz w:val="22"/>
                <w:szCs w:val="22"/>
              </w:rPr>
              <w:t xml:space="preserve">destacan en  el informe las siguientes  situaciones: </w:t>
            </w:r>
            <w:r w:rsidR="00D6080B" w:rsidRPr="003E774D">
              <w:rPr>
                <w:rFonts w:ascii="Times New Roman" w:hAnsi="Times New Roman"/>
                <w:color w:val="000000"/>
                <w:sz w:val="22"/>
                <w:szCs w:val="22"/>
              </w:rPr>
              <w:t xml:space="preserve">Se identificó una oportunidad de mejora en cuanto a la implementación de la estrategia para </w:t>
            </w:r>
            <w:r w:rsidR="00D6080B" w:rsidRPr="003E774D">
              <w:rPr>
                <w:rFonts w:ascii="Times New Roman" w:hAnsi="Times New Roman"/>
                <w:b/>
                <w:i/>
                <w:color w:val="000000"/>
                <w:sz w:val="22"/>
                <w:szCs w:val="22"/>
              </w:rPr>
              <w:t>respuesta rápida ¨hoy mismo”</w:t>
            </w:r>
            <w:r w:rsidR="006E26D6" w:rsidRPr="006E26D6">
              <w:rPr>
                <w:rFonts w:ascii="Times New Roman" w:hAnsi="Times New Roman"/>
                <w:i/>
                <w:color w:val="000000"/>
                <w:sz w:val="22"/>
                <w:szCs w:val="22"/>
              </w:rPr>
              <w:t>,</w:t>
            </w:r>
            <w:r w:rsidR="00D6080B" w:rsidRPr="003E774D">
              <w:rPr>
                <w:rFonts w:ascii="Times New Roman" w:hAnsi="Times New Roman"/>
                <w:b/>
                <w:i/>
                <w:color w:val="000000"/>
                <w:sz w:val="22"/>
                <w:szCs w:val="22"/>
              </w:rPr>
              <w:t xml:space="preserve"> </w:t>
            </w:r>
            <w:r w:rsidR="00D6080B" w:rsidRPr="003E774D">
              <w:rPr>
                <w:rFonts w:ascii="Times New Roman" w:hAnsi="Times New Roman"/>
                <w:color w:val="000000"/>
                <w:sz w:val="22"/>
                <w:szCs w:val="22"/>
              </w:rPr>
              <w:t xml:space="preserve">con lo que se mejoró el tiempo de respuesta del 20% de los conceptos atendidos mensualmente; pues, se </w:t>
            </w:r>
            <w:r w:rsidR="00D6080B" w:rsidRPr="003E774D">
              <w:rPr>
                <w:rFonts w:ascii="Times New Roman" w:hAnsi="Times New Roman"/>
                <w:b/>
                <w:color w:val="000000"/>
                <w:sz w:val="22"/>
                <w:szCs w:val="22"/>
              </w:rPr>
              <w:t>redujo de 15 días a 48 horas máximo</w:t>
            </w:r>
            <w:r w:rsidR="00D6080B" w:rsidRPr="003E774D">
              <w:rPr>
                <w:rFonts w:ascii="Times New Roman" w:hAnsi="Times New Roman"/>
                <w:color w:val="000000"/>
                <w:sz w:val="22"/>
                <w:szCs w:val="22"/>
              </w:rPr>
              <w:t xml:space="preserve">. </w:t>
            </w:r>
            <w:r w:rsidR="00D6080B" w:rsidRPr="003E774D">
              <w:rPr>
                <w:rFonts w:ascii="Times New Roman" w:hAnsi="Times New Roman"/>
                <w:sz w:val="22"/>
                <w:szCs w:val="22"/>
              </w:rPr>
              <w:t xml:space="preserve">Se observa que desde la Dirección de Servicio al Ciudadano se viene fomentando que la oportunidad y la calidad, sean criterios tenidos en cuenta para dar respuesta a todo tipo de solicitudes y requerimientos recibidos por la entidad, esto teniendo en cuenta la coherencia del objeto de la solicitud y la respuesta dada.   La relación de datos muestra que  durante el semestre evaluado se registraron </w:t>
            </w:r>
            <w:r w:rsidR="00D6080B" w:rsidRPr="003E774D">
              <w:rPr>
                <w:rFonts w:ascii="Times New Roman" w:hAnsi="Times New Roman"/>
                <w:b/>
                <w:i/>
                <w:sz w:val="22"/>
                <w:szCs w:val="22"/>
              </w:rPr>
              <w:t>9 felicitaciones</w:t>
            </w:r>
            <w:r w:rsidR="00D6080B" w:rsidRPr="003E774D">
              <w:rPr>
                <w:rFonts w:ascii="Times New Roman" w:hAnsi="Times New Roman"/>
                <w:sz w:val="22"/>
                <w:szCs w:val="22"/>
              </w:rPr>
              <w:t>, lo cual es importante resaltar teniendo en cuenta que es muy valioso el reconocimiento del servicio prestado dadas las actividades de mejoramiento continuo que se han venido llevando a c</w:t>
            </w:r>
            <w:r w:rsidR="00862BB6">
              <w:rPr>
                <w:rFonts w:ascii="Times New Roman" w:hAnsi="Times New Roman"/>
                <w:sz w:val="22"/>
                <w:szCs w:val="22"/>
              </w:rPr>
              <w:t>abo las ú</w:t>
            </w:r>
            <w:r w:rsidR="00D6080B" w:rsidRPr="003E774D">
              <w:rPr>
                <w:rFonts w:ascii="Times New Roman" w:hAnsi="Times New Roman"/>
                <w:sz w:val="22"/>
                <w:szCs w:val="22"/>
              </w:rPr>
              <w:t>ltimas vigencias.</w:t>
            </w:r>
            <w:r w:rsidR="00862BB6">
              <w:rPr>
                <w:rFonts w:ascii="Times New Roman" w:hAnsi="Times New Roman"/>
                <w:sz w:val="22"/>
                <w:szCs w:val="22"/>
              </w:rPr>
              <w:t xml:space="preserve"> </w:t>
            </w:r>
            <w:r w:rsidR="00D6080B" w:rsidRPr="003E774D">
              <w:rPr>
                <w:rFonts w:ascii="Times New Roman" w:hAnsi="Times New Roman"/>
                <w:color w:val="000000"/>
                <w:sz w:val="22"/>
                <w:szCs w:val="22"/>
              </w:rPr>
              <w:t>El Sistema Distrital de Quejas y Reclamos SDQS, ha venido aportando un beneficio tangible al proceso de atención al ciudadano en la SDP</w:t>
            </w:r>
            <w:r w:rsidR="00862BB6">
              <w:rPr>
                <w:rFonts w:ascii="Times New Roman" w:hAnsi="Times New Roman"/>
                <w:color w:val="000000"/>
                <w:sz w:val="22"/>
                <w:szCs w:val="22"/>
              </w:rPr>
              <w:t>,</w:t>
            </w:r>
            <w:r w:rsidR="00D6080B" w:rsidRPr="003E774D">
              <w:rPr>
                <w:rFonts w:ascii="Times New Roman" w:hAnsi="Times New Roman"/>
                <w:color w:val="000000"/>
                <w:sz w:val="22"/>
                <w:szCs w:val="22"/>
              </w:rPr>
              <w:t xml:space="preserve"> en cuanto a la descongestión interna de radicaciones y que a su vez </w:t>
            </w:r>
            <w:r w:rsidR="00D6080B" w:rsidRPr="003E774D">
              <w:rPr>
                <w:rFonts w:ascii="Times New Roman" w:hAnsi="Times New Roman"/>
                <w:bCs/>
                <w:sz w:val="22"/>
                <w:szCs w:val="22"/>
              </w:rPr>
              <w:t xml:space="preserve">ha permitido que los procesos de monitoreo y seguimiento se desarrollen completamente de manera sistemática y virtual, facilitando que se dé la oportunidad en las respuestas. Se evidencia que para el primer semestre de 2017 el </w:t>
            </w:r>
            <w:r w:rsidR="00D6080B" w:rsidRPr="003E774D">
              <w:rPr>
                <w:rFonts w:ascii="Times New Roman" w:hAnsi="Times New Roman"/>
                <w:b/>
                <w:bCs/>
                <w:sz w:val="22"/>
                <w:szCs w:val="22"/>
              </w:rPr>
              <w:t>98%</w:t>
            </w:r>
            <w:r w:rsidR="00D6080B" w:rsidRPr="003E774D">
              <w:rPr>
                <w:rFonts w:ascii="Times New Roman" w:hAnsi="Times New Roman"/>
                <w:bCs/>
                <w:sz w:val="22"/>
                <w:szCs w:val="22"/>
              </w:rPr>
              <w:t xml:space="preserve"> (1266/1295) de las solicitudes se contestaron dentro de los términos establecidos por las normas, siendo este un porcentaje significativo; teniendo en cuenta que</w:t>
            </w:r>
            <w:r w:rsidR="00862BB6">
              <w:rPr>
                <w:rFonts w:ascii="Times New Roman" w:hAnsi="Times New Roman"/>
                <w:bCs/>
                <w:sz w:val="22"/>
                <w:szCs w:val="22"/>
              </w:rPr>
              <w:t xml:space="preserve"> </w:t>
            </w:r>
            <w:r w:rsidR="00D6080B" w:rsidRPr="003E774D">
              <w:rPr>
                <w:rFonts w:ascii="Times New Roman" w:hAnsi="Times New Roman"/>
                <w:bCs/>
                <w:sz w:val="22"/>
                <w:szCs w:val="22"/>
              </w:rPr>
              <w:t xml:space="preserve">año tras año se registra un aumento en el total de las solicitudes recibidas a diario por la entidad. </w:t>
            </w:r>
            <w:r w:rsidR="00D6080B" w:rsidRPr="003E774D">
              <w:rPr>
                <w:rFonts w:ascii="Times New Roman" w:hAnsi="Times New Roman"/>
                <w:sz w:val="22"/>
                <w:szCs w:val="22"/>
              </w:rPr>
              <w:t>Así mismo</w:t>
            </w:r>
            <w:r w:rsidR="00A25453" w:rsidRPr="003E774D">
              <w:rPr>
                <w:rFonts w:ascii="Times New Roman" w:hAnsi="Times New Roman"/>
                <w:sz w:val="22"/>
                <w:szCs w:val="22"/>
              </w:rPr>
              <w:t>,</w:t>
            </w:r>
            <w:r w:rsidR="00D6080B" w:rsidRPr="003E774D">
              <w:rPr>
                <w:rFonts w:ascii="Times New Roman" w:hAnsi="Times New Roman"/>
                <w:sz w:val="22"/>
                <w:szCs w:val="22"/>
              </w:rPr>
              <w:t xml:space="preserve"> se recomienda</w:t>
            </w:r>
            <w:r w:rsidR="006F3758" w:rsidRPr="003E774D">
              <w:rPr>
                <w:rFonts w:ascii="Times New Roman" w:hAnsi="Times New Roman"/>
                <w:sz w:val="22"/>
                <w:szCs w:val="22"/>
              </w:rPr>
              <w:t xml:space="preserve"> la implementaci</w:t>
            </w:r>
            <w:r w:rsidR="00A25453" w:rsidRPr="003E774D">
              <w:rPr>
                <w:rFonts w:ascii="Times New Roman" w:hAnsi="Times New Roman"/>
                <w:sz w:val="22"/>
                <w:szCs w:val="22"/>
              </w:rPr>
              <w:t xml:space="preserve">ón de acciones de mejoramiento </w:t>
            </w:r>
            <w:r w:rsidR="006F3758" w:rsidRPr="003E774D">
              <w:rPr>
                <w:rFonts w:ascii="Times New Roman" w:hAnsi="Times New Roman"/>
                <w:sz w:val="22"/>
                <w:szCs w:val="22"/>
              </w:rPr>
              <w:t xml:space="preserve"> tendientes a subsanar la inoportunidad  de atención de las solicitudes, como quiera que en este período  se registran 22 extemporáneas</w:t>
            </w:r>
            <w:r w:rsidR="00D51BEA" w:rsidRPr="003E774D">
              <w:rPr>
                <w:rFonts w:ascii="Times New Roman" w:hAnsi="Times New Roman"/>
                <w:sz w:val="22"/>
                <w:szCs w:val="22"/>
              </w:rPr>
              <w:t>. Aunque el indicador es muy bajo, es preciso asegurar la respuesta oportuna.</w:t>
            </w:r>
          </w:p>
          <w:p w:rsidR="008A6671" w:rsidRPr="003E774D" w:rsidRDefault="008A6671" w:rsidP="008A6671">
            <w:pPr>
              <w:spacing w:line="276" w:lineRule="auto"/>
              <w:ind w:left="720"/>
              <w:jc w:val="both"/>
              <w:rPr>
                <w:rFonts w:ascii="Times New Roman" w:hAnsi="Times New Roman"/>
                <w:bCs/>
                <w:sz w:val="22"/>
                <w:szCs w:val="22"/>
              </w:rPr>
            </w:pPr>
          </w:p>
          <w:p w:rsidR="00DB7288" w:rsidRDefault="008A6671" w:rsidP="00DB7288">
            <w:pPr>
              <w:spacing w:line="276" w:lineRule="auto"/>
              <w:ind w:left="720"/>
              <w:jc w:val="both"/>
              <w:rPr>
                <w:rFonts w:ascii="Times New Roman" w:hAnsi="Times New Roman"/>
                <w:bCs/>
                <w:sz w:val="22"/>
                <w:szCs w:val="22"/>
                <w:lang w:val="es-ES"/>
              </w:rPr>
            </w:pPr>
            <w:r w:rsidRPr="003E774D">
              <w:rPr>
                <w:rFonts w:ascii="Times New Roman" w:hAnsi="Times New Roman"/>
                <w:bCs/>
                <w:sz w:val="22"/>
                <w:szCs w:val="22"/>
              </w:rPr>
              <w:t>-</w:t>
            </w:r>
            <w:r w:rsidR="003322F1" w:rsidRPr="003E774D">
              <w:rPr>
                <w:rFonts w:ascii="Times New Roman" w:hAnsi="Times New Roman"/>
                <w:b/>
                <w:bCs/>
                <w:i/>
                <w:sz w:val="22"/>
                <w:szCs w:val="22"/>
              </w:rPr>
              <w:t xml:space="preserve">Informe de </w:t>
            </w:r>
            <w:r w:rsidR="00C85489">
              <w:rPr>
                <w:rFonts w:ascii="Times New Roman" w:hAnsi="Times New Roman"/>
                <w:b/>
                <w:bCs/>
                <w:i/>
                <w:sz w:val="22"/>
                <w:szCs w:val="22"/>
              </w:rPr>
              <w:t>S</w:t>
            </w:r>
            <w:r w:rsidR="003322F1" w:rsidRPr="003E774D">
              <w:rPr>
                <w:rFonts w:ascii="Times New Roman" w:hAnsi="Times New Roman"/>
                <w:b/>
                <w:bCs/>
                <w:i/>
                <w:sz w:val="22"/>
                <w:szCs w:val="22"/>
              </w:rPr>
              <w:t xml:space="preserve">eguimiento a la </w:t>
            </w:r>
            <w:r w:rsidR="00C85489">
              <w:rPr>
                <w:rFonts w:ascii="Times New Roman" w:hAnsi="Times New Roman"/>
                <w:b/>
                <w:bCs/>
                <w:i/>
                <w:sz w:val="22"/>
                <w:szCs w:val="22"/>
              </w:rPr>
              <w:t>G</w:t>
            </w:r>
            <w:r w:rsidR="003322F1" w:rsidRPr="003E774D">
              <w:rPr>
                <w:rFonts w:ascii="Times New Roman" w:hAnsi="Times New Roman"/>
                <w:b/>
                <w:bCs/>
                <w:i/>
                <w:sz w:val="22"/>
                <w:szCs w:val="22"/>
              </w:rPr>
              <w:t xml:space="preserve">estión </w:t>
            </w:r>
            <w:r w:rsidR="00C85489">
              <w:rPr>
                <w:rFonts w:ascii="Times New Roman" w:hAnsi="Times New Roman"/>
                <w:b/>
                <w:bCs/>
                <w:i/>
                <w:sz w:val="22"/>
                <w:szCs w:val="22"/>
              </w:rPr>
              <w:t>I</w:t>
            </w:r>
            <w:r w:rsidR="003322F1" w:rsidRPr="003E774D">
              <w:rPr>
                <w:rFonts w:ascii="Times New Roman" w:hAnsi="Times New Roman"/>
                <w:b/>
                <w:bCs/>
                <w:i/>
                <w:sz w:val="22"/>
                <w:szCs w:val="22"/>
              </w:rPr>
              <w:t>nstitucional frente a la Ley 1712 de 2014.</w:t>
            </w:r>
            <w:r w:rsidRPr="003E774D">
              <w:rPr>
                <w:rFonts w:ascii="Times New Roman" w:hAnsi="Times New Roman"/>
                <w:b/>
                <w:bCs/>
                <w:sz w:val="22"/>
                <w:szCs w:val="22"/>
                <w:lang w:val="es-ES"/>
              </w:rPr>
              <w:t xml:space="preserve"> </w:t>
            </w:r>
            <w:r w:rsidR="00862BB6">
              <w:rPr>
                <w:rFonts w:ascii="Times New Roman" w:hAnsi="Times New Roman"/>
                <w:b/>
                <w:bCs/>
                <w:sz w:val="22"/>
                <w:szCs w:val="22"/>
                <w:lang w:val="es-ES"/>
              </w:rPr>
              <w:t xml:space="preserve"> </w:t>
            </w:r>
            <w:r w:rsidR="00862BB6">
              <w:rPr>
                <w:rFonts w:ascii="Times New Roman" w:hAnsi="Times New Roman"/>
                <w:bCs/>
                <w:sz w:val="22"/>
                <w:szCs w:val="22"/>
                <w:lang w:val="es-ES"/>
              </w:rPr>
              <w:t>En este</w:t>
            </w:r>
            <w:r w:rsidRPr="003E774D">
              <w:rPr>
                <w:rFonts w:ascii="Times New Roman" w:hAnsi="Times New Roman"/>
                <w:bCs/>
                <w:sz w:val="22"/>
                <w:szCs w:val="22"/>
                <w:lang w:val="es-ES"/>
              </w:rPr>
              <w:t xml:space="preserve"> seguimiento se adelantó el monitoreo en el marco de la estructura del link de Transparencia</w:t>
            </w:r>
            <w:r w:rsidR="00862BB6">
              <w:rPr>
                <w:rFonts w:ascii="Times New Roman" w:hAnsi="Times New Roman"/>
                <w:bCs/>
                <w:sz w:val="22"/>
                <w:szCs w:val="22"/>
                <w:lang w:val="es-ES"/>
              </w:rPr>
              <w:t>,</w:t>
            </w:r>
            <w:r w:rsidRPr="003E774D">
              <w:rPr>
                <w:rFonts w:ascii="Times New Roman" w:hAnsi="Times New Roman"/>
                <w:bCs/>
                <w:sz w:val="22"/>
                <w:szCs w:val="22"/>
                <w:lang w:val="es-ES"/>
              </w:rPr>
              <w:t xml:space="preserve"> con la selección de contenidos que se definió tener en la página Web de la entidad -  </w:t>
            </w:r>
            <w:hyperlink r:id="rId8" w:history="1">
              <w:r w:rsidRPr="003E774D">
                <w:rPr>
                  <w:rStyle w:val="Hipervnculo"/>
                  <w:rFonts w:ascii="Times New Roman" w:hAnsi="Times New Roman"/>
                  <w:sz w:val="22"/>
                  <w:szCs w:val="22"/>
                </w:rPr>
                <w:t>www.sdp.gov.co</w:t>
              </w:r>
            </w:hyperlink>
            <w:r w:rsidRPr="003E774D">
              <w:rPr>
                <w:rFonts w:ascii="Times New Roman" w:hAnsi="Times New Roman"/>
                <w:sz w:val="22"/>
                <w:szCs w:val="22"/>
              </w:rPr>
              <w:t xml:space="preserve"> /Transparencia, </w:t>
            </w:r>
            <w:r w:rsidRPr="003E774D">
              <w:rPr>
                <w:rFonts w:ascii="Times New Roman" w:hAnsi="Times New Roman"/>
                <w:bCs/>
                <w:sz w:val="22"/>
                <w:szCs w:val="22"/>
                <w:lang w:val="es-ES"/>
              </w:rPr>
              <w:t xml:space="preserve">y se encontró que la SDP cumple con lo exigido por la Ley 1712 de 2014, la </w:t>
            </w:r>
            <w:r w:rsidRPr="003E774D">
              <w:rPr>
                <w:rFonts w:ascii="Times New Roman" w:hAnsi="Times New Roman"/>
                <w:sz w:val="22"/>
                <w:szCs w:val="22"/>
              </w:rPr>
              <w:t>Resolución 3564 d</w:t>
            </w:r>
            <w:r w:rsidR="00A25453" w:rsidRPr="003E774D">
              <w:rPr>
                <w:rFonts w:ascii="Times New Roman" w:hAnsi="Times New Roman"/>
                <w:sz w:val="22"/>
                <w:szCs w:val="22"/>
              </w:rPr>
              <w:t>e 2015 y el Decreto 103 de 2015; con</w:t>
            </w:r>
            <w:r w:rsidRPr="003E774D">
              <w:rPr>
                <w:rFonts w:ascii="Times New Roman" w:hAnsi="Times New Roman"/>
                <w:sz w:val="22"/>
                <w:szCs w:val="22"/>
                <w:lang w:val="es-ES"/>
              </w:rPr>
              <w:t xml:space="preserve"> los lineamientos establecidos e impartidos por la Subsecretaría de Gestión Corporativa para la actualización del link de Trasparecía y la gestión de la Dirección de Planeación como líder de éste compromiso</w:t>
            </w:r>
            <w:r w:rsidR="00A25453" w:rsidRPr="003E774D">
              <w:rPr>
                <w:rFonts w:ascii="Times New Roman" w:hAnsi="Times New Roman"/>
                <w:sz w:val="22"/>
                <w:szCs w:val="22"/>
                <w:lang w:val="es-ES"/>
              </w:rPr>
              <w:t>;</w:t>
            </w:r>
            <w:r w:rsidRPr="003E774D">
              <w:rPr>
                <w:rFonts w:ascii="Times New Roman" w:hAnsi="Times New Roman"/>
                <w:sz w:val="22"/>
                <w:szCs w:val="22"/>
                <w:lang w:val="es-ES"/>
              </w:rPr>
              <w:t xml:space="preserve"> se tiene completa la información requerida por la normatividad relacionada,   con corte a 1 de agosto, superando el 13% de atraso encontrado en el informe anterior.  </w:t>
            </w:r>
            <w:r w:rsidRPr="003E774D">
              <w:rPr>
                <w:rFonts w:ascii="Times New Roman" w:hAnsi="Times New Roman"/>
                <w:bCs/>
                <w:sz w:val="22"/>
                <w:szCs w:val="22"/>
                <w:lang w:val="es-ES"/>
              </w:rPr>
              <w:t xml:space="preserve">Con la salida de enlaces de la entidad o cambio a otras áreas, la Dirección de Planeación mantiene actualizado el grupo de enlaces de las dependencias organizado para la alimentación y actualización de la información del link de Transparencia de la SDP.   Para el control, seguimiento y solicitud de </w:t>
            </w:r>
            <w:r w:rsidRPr="003E774D">
              <w:rPr>
                <w:rFonts w:ascii="Times New Roman" w:hAnsi="Times New Roman"/>
                <w:bCs/>
                <w:sz w:val="22"/>
                <w:szCs w:val="22"/>
                <w:lang w:val="es-ES"/>
              </w:rPr>
              <w:lastRenderedPageBreak/>
              <w:t>la actualización de la información en el link de Transparencia en la página web de la entidad, se empezó a requerir el diligenciamiento del E-FO-040.</w:t>
            </w:r>
          </w:p>
          <w:p w:rsidR="00862BB6" w:rsidRPr="003E774D" w:rsidRDefault="00862BB6" w:rsidP="00DB7288">
            <w:pPr>
              <w:spacing w:line="276" w:lineRule="auto"/>
              <w:ind w:left="720"/>
              <w:jc w:val="both"/>
              <w:rPr>
                <w:rFonts w:ascii="Times New Roman" w:hAnsi="Times New Roman"/>
                <w:bCs/>
                <w:sz w:val="22"/>
                <w:szCs w:val="22"/>
                <w:lang w:val="es-ES"/>
              </w:rPr>
            </w:pPr>
          </w:p>
          <w:p w:rsidR="00862BB6" w:rsidRDefault="000E3F67" w:rsidP="00F461DC">
            <w:pPr>
              <w:spacing w:line="276" w:lineRule="auto"/>
              <w:ind w:left="720"/>
              <w:jc w:val="both"/>
              <w:rPr>
                <w:rFonts w:ascii="Times New Roman" w:hAnsi="Times New Roman"/>
                <w:sz w:val="22"/>
                <w:szCs w:val="22"/>
                <w:lang w:val="es-CO"/>
              </w:rPr>
            </w:pPr>
            <w:r w:rsidRPr="003E774D">
              <w:rPr>
                <w:rFonts w:ascii="Times New Roman" w:hAnsi="Times New Roman"/>
                <w:b/>
                <w:bCs/>
                <w:i/>
                <w:sz w:val="22"/>
                <w:szCs w:val="22"/>
                <w:lang w:val="es-ES"/>
              </w:rPr>
              <w:t>-</w:t>
            </w:r>
            <w:r w:rsidR="001C7041" w:rsidRPr="003E774D">
              <w:rPr>
                <w:rFonts w:ascii="Times New Roman" w:hAnsi="Times New Roman"/>
                <w:b/>
                <w:bCs/>
                <w:i/>
                <w:sz w:val="22"/>
                <w:szCs w:val="22"/>
                <w:lang w:val="es-ES"/>
              </w:rPr>
              <w:t xml:space="preserve">Informe de </w:t>
            </w:r>
            <w:r w:rsidR="00C85489">
              <w:rPr>
                <w:rFonts w:ascii="Times New Roman" w:hAnsi="Times New Roman"/>
                <w:b/>
                <w:bCs/>
                <w:i/>
                <w:sz w:val="22"/>
                <w:szCs w:val="22"/>
                <w:lang w:val="es-ES"/>
              </w:rPr>
              <w:t>A</w:t>
            </w:r>
            <w:r w:rsidR="001C7041" w:rsidRPr="003E774D">
              <w:rPr>
                <w:rFonts w:ascii="Times New Roman" w:hAnsi="Times New Roman"/>
                <w:b/>
                <w:bCs/>
                <w:i/>
                <w:sz w:val="22"/>
                <w:szCs w:val="22"/>
                <w:lang w:val="es-ES"/>
              </w:rPr>
              <w:t xml:space="preserve">uditoría al </w:t>
            </w:r>
            <w:r w:rsidR="00C85489">
              <w:rPr>
                <w:rFonts w:ascii="Times New Roman" w:hAnsi="Times New Roman"/>
                <w:b/>
                <w:bCs/>
                <w:i/>
                <w:sz w:val="22"/>
                <w:szCs w:val="22"/>
                <w:lang w:val="es-ES"/>
              </w:rPr>
              <w:t>P</w:t>
            </w:r>
            <w:r w:rsidR="001C7041" w:rsidRPr="003E774D">
              <w:rPr>
                <w:rFonts w:ascii="Times New Roman" w:hAnsi="Times New Roman"/>
                <w:b/>
                <w:bCs/>
                <w:i/>
                <w:sz w:val="22"/>
                <w:szCs w:val="22"/>
                <w:lang w:val="es-ES"/>
              </w:rPr>
              <w:t xml:space="preserve">roceso de Coordinación del Ciclo de </w:t>
            </w:r>
            <w:r w:rsidR="00DB7288" w:rsidRPr="003E774D">
              <w:rPr>
                <w:rFonts w:ascii="Times New Roman" w:hAnsi="Times New Roman"/>
                <w:b/>
                <w:bCs/>
                <w:i/>
                <w:sz w:val="22"/>
                <w:szCs w:val="22"/>
                <w:lang w:val="es-ES"/>
              </w:rPr>
              <w:t xml:space="preserve">Políticas Públicas e </w:t>
            </w:r>
            <w:r w:rsidR="00C85489">
              <w:rPr>
                <w:rFonts w:ascii="Times New Roman" w:hAnsi="Times New Roman"/>
                <w:b/>
                <w:bCs/>
                <w:i/>
                <w:sz w:val="22"/>
                <w:szCs w:val="22"/>
                <w:lang w:val="es-ES"/>
              </w:rPr>
              <w:t>I</w:t>
            </w:r>
            <w:r w:rsidR="00DB7288" w:rsidRPr="003E774D">
              <w:rPr>
                <w:rFonts w:ascii="Times New Roman" w:hAnsi="Times New Roman"/>
                <w:b/>
                <w:bCs/>
                <w:i/>
                <w:sz w:val="22"/>
                <w:szCs w:val="22"/>
                <w:lang w:val="es-ES"/>
              </w:rPr>
              <w:t xml:space="preserve">nstrumentos de </w:t>
            </w:r>
            <w:r w:rsidR="00C85489">
              <w:rPr>
                <w:rFonts w:ascii="Times New Roman" w:hAnsi="Times New Roman"/>
                <w:b/>
                <w:bCs/>
                <w:i/>
                <w:sz w:val="22"/>
                <w:szCs w:val="22"/>
                <w:lang w:val="es-ES"/>
              </w:rPr>
              <w:t>P</w:t>
            </w:r>
            <w:r w:rsidR="00DB7288" w:rsidRPr="003E774D">
              <w:rPr>
                <w:rFonts w:ascii="Times New Roman" w:hAnsi="Times New Roman"/>
                <w:b/>
                <w:bCs/>
                <w:i/>
                <w:sz w:val="22"/>
                <w:szCs w:val="22"/>
                <w:lang w:val="es-ES"/>
              </w:rPr>
              <w:t>laneación.</w:t>
            </w:r>
            <w:r w:rsidR="00DB7288" w:rsidRPr="003E774D">
              <w:rPr>
                <w:rFonts w:ascii="Times New Roman" w:hAnsi="Times New Roman"/>
                <w:b/>
                <w:sz w:val="22"/>
                <w:szCs w:val="22"/>
                <w:lang w:val="es-CO"/>
              </w:rPr>
              <w:t xml:space="preserve"> </w:t>
            </w:r>
            <w:r w:rsidR="00DB7288" w:rsidRPr="003E774D">
              <w:rPr>
                <w:rFonts w:ascii="Times New Roman" w:hAnsi="Times New Roman"/>
                <w:sz w:val="22"/>
                <w:szCs w:val="22"/>
                <w:lang w:val="es-CO"/>
              </w:rPr>
              <w:t xml:space="preserve"> El proceso viene adelantando un trabajo de revisión de la plataforma estratégica del proceso, buscando una mayor articulación entre las 2 </w:t>
            </w:r>
            <w:r w:rsidR="00862BB6">
              <w:rPr>
                <w:rFonts w:ascii="Times New Roman" w:hAnsi="Times New Roman"/>
                <w:sz w:val="22"/>
                <w:szCs w:val="22"/>
                <w:lang w:val="es-CO"/>
              </w:rPr>
              <w:t>s</w:t>
            </w:r>
            <w:r w:rsidR="00DB7288" w:rsidRPr="003E774D">
              <w:rPr>
                <w:rFonts w:ascii="Times New Roman" w:hAnsi="Times New Roman"/>
                <w:sz w:val="22"/>
                <w:szCs w:val="22"/>
                <w:lang w:val="es-CO"/>
              </w:rPr>
              <w:t xml:space="preserve">ubsecretarias que lo conforman, para lo cual se ampliará el objetivo y se adelantará la revisión de sus indicadores, riesgos y controles. Del análisis de los contratos se puede concluir que, en el alcance de la muestra verificada, el proceso adelantó </w:t>
            </w:r>
            <w:r w:rsidR="00A25453" w:rsidRPr="003E774D">
              <w:rPr>
                <w:rFonts w:ascii="Times New Roman" w:hAnsi="Times New Roman"/>
                <w:sz w:val="22"/>
                <w:szCs w:val="22"/>
                <w:lang w:val="es-CO"/>
              </w:rPr>
              <w:t>la</w:t>
            </w:r>
            <w:r w:rsidR="00DB7288" w:rsidRPr="003E774D">
              <w:rPr>
                <w:rFonts w:ascii="Times New Roman" w:hAnsi="Times New Roman"/>
                <w:sz w:val="22"/>
                <w:szCs w:val="22"/>
                <w:lang w:val="es-CO"/>
              </w:rPr>
              <w:t xml:space="preserve"> gestión de acuerdo</w:t>
            </w:r>
            <w:r w:rsidR="00A25453" w:rsidRPr="003E774D">
              <w:rPr>
                <w:rFonts w:ascii="Times New Roman" w:hAnsi="Times New Roman"/>
                <w:sz w:val="22"/>
                <w:szCs w:val="22"/>
                <w:lang w:val="es-CO"/>
              </w:rPr>
              <w:t xml:space="preserve"> con</w:t>
            </w:r>
            <w:r w:rsidR="00DB7288" w:rsidRPr="003E774D">
              <w:rPr>
                <w:rFonts w:ascii="Times New Roman" w:hAnsi="Times New Roman"/>
                <w:sz w:val="22"/>
                <w:szCs w:val="22"/>
                <w:lang w:val="es-CO"/>
              </w:rPr>
              <w:t xml:space="preserve"> los procedimientos  establecidos, en </w:t>
            </w:r>
            <w:r w:rsidR="00A25453" w:rsidRPr="003E774D">
              <w:rPr>
                <w:rFonts w:ascii="Times New Roman" w:hAnsi="Times New Roman"/>
                <w:sz w:val="22"/>
                <w:szCs w:val="22"/>
                <w:lang w:val="es-CO"/>
              </w:rPr>
              <w:t>lo que respecta</w:t>
            </w:r>
            <w:r w:rsidR="00DB7288" w:rsidRPr="003E774D">
              <w:rPr>
                <w:rFonts w:ascii="Times New Roman" w:hAnsi="Times New Roman"/>
                <w:sz w:val="22"/>
                <w:szCs w:val="22"/>
                <w:lang w:val="es-CO"/>
              </w:rPr>
              <w:t xml:space="preserve"> al análisis de necesidades y la formulación de los requerimientos para cada proceso contractual, verificando así la concordancia y el aporte de cada uno para el cumplimiento de los objetivos estratégicos.  De igual forma, se evidenció una adecuada gestión frente a los informes de supervisión y al registro de las órdenes de pago, de acuerdo a lo pactado.</w:t>
            </w:r>
            <w:r w:rsidR="00A25453" w:rsidRPr="003E774D">
              <w:rPr>
                <w:rFonts w:ascii="Times New Roman" w:hAnsi="Times New Roman"/>
                <w:sz w:val="22"/>
                <w:szCs w:val="22"/>
                <w:lang w:val="es-CO"/>
              </w:rPr>
              <w:t xml:space="preserve"> Así mismo,</w:t>
            </w:r>
            <w:r w:rsidR="00DB7288" w:rsidRPr="003E774D">
              <w:rPr>
                <w:rFonts w:ascii="Times New Roman" w:hAnsi="Times New Roman"/>
                <w:sz w:val="22"/>
                <w:szCs w:val="22"/>
                <w:lang w:val="es-CO"/>
              </w:rPr>
              <w:t xml:space="preserve"> es importante resaltar la gestión del proceso, frente al cumplimiento de las metas estratégicas las cuales reportaron, en su mayoría para la vigencia 2016, el cumplimiento esperado de acuerdo </w:t>
            </w:r>
            <w:r w:rsidR="00A25453" w:rsidRPr="003E774D">
              <w:rPr>
                <w:rFonts w:ascii="Times New Roman" w:hAnsi="Times New Roman"/>
                <w:sz w:val="22"/>
                <w:szCs w:val="22"/>
                <w:lang w:val="es-CO"/>
              </w:rPr>
              <w:t>con</w:t>
            </w:r>
            <w:r w:rsidR="00DB7288" w:rsidRPr="003E774D">
              <w:rPr>
                <w:rFonts w:ascii="Times New Roman" w:hAnsi="Times New Roman"/>
                <w:sz w:val="22"/>
                <w:szCs w:val="22"/>
                <w:lang w:val="es-CO"/>
              </w:rPr>
              <w:t xml:space="preserve"> lo establecido en los planes y programas del proceso. Para la vigencia 2017, igualmente se encontró que para el primer semestre, la gestión se desarrolló conforme a lo previsto por el proceso. Como conclusión general sobre el análisis de los riesgos institucionales y de proceso, la OCI encuentra una coherencia entre los mismos y el cumplimiento del objetivo descrito en la caracterización del proceso de Coordinación de Políticas Públicas, identificando algunas debilidades en la efectividad de los controles de los riesgos institucionales, pero una buena gestión de los controles a nivel del riesgo de proceso.</w:t>
            </w:r>
          </w:p>
          <w:p w:rsidR="00862BB6" w:rsidRDefault="00862BB6" w:rsidP="00F461DC">
            <w:pPr>
              <w:spacing w:line="276" w:lineRule="auto"/>
              <w:ind w:left="720"/>
              <w:jc w:val="both"/>
              <w:rPr>
                <w:rFonts w:ascii="Times New Roman" w:hAnsi="Times New Roman"/>
                <w:sz w:val="22"/>
                <w:szCs w:val="22"/>
                <w:lang w:val="es-CO"/>
              </w:rPr>
            </w:pPr>
          </w:p>
          <w:p w:rsidR="00F461DC" w:rsidRDefault="00DB7288" w:rsidP="00F461DC">
            <w:pPr>
              <w:spacing w:line="276" w:lineRule="auto"/>
              <w:ind w:left="720"/>
              <w:jc w:val="both"/>
              <w:rPr>
                <w:rFonts w:ascii="Times New Roman" w:hAnsi="Times New Roman"/>
                <w:sz w:val="22"/>
                <w:szCs w:val="22"/>
                <w:lang w:val="es-ES"/>
              </w:rPr>
            </w:pPr>
            <w:r w:rsidRPr="003E774D">
              <w:rPr>
                <w:rFonts w:ascii="Times New Roman" w:hAnsi="Times New Roman"/>
                <w:sz w:val="22"/>
                <w:szCs w:val="22"/>
                <w:lang w:val="es-ES"/>
              </w:rPr>
              <w:t>Finalmente, revisadas las evidencias de la aplicación de los cuatro controles identificados para el riesgo “</w:t>
            </w:r>
            <w:r w:rsidRPr="003E774D">
              <w:rPr>
                <w:rFonts w:ascii="Times New Roman" w:hAnsi="Times New Roman"/>
                <w:i/>
                <w:sz w:val="22"/>
                <w:szCs w:val="22"/>
                <w:lang w:val="es-ES"/>
              </w:rPr>
              <w:t>Dificultad del posicionamiento e implementación de la política pública LGBTI”</w:t>
            </w:r>
            <w:r w:rsidRPr="003E774D">
              <w:rPr>
                <w:rFonts w:ascii="Times New Roman" w:hAnsi="Times New Roman"/>
                <w:sz w:val="22"/>
                <w:szCs w:val="22"/>
                <w:lang w:val="es-ES"/>
              </w:rPr>
              <w:t>, se observa que el proceso adelanta una gestión efectiva, documentado en cada una de las fases el seguimiento a la implementación y ejecución de la política y generando informes int</w:t>
            </w:r>
            <w:r w:rsidR="00A25453" w:rsidRPr="003E774D">
              <w:rPr>
                <w:rFonts w:ascii="Times New Roman" w:hAnsi="Times New Roman"/>
                <w:sz w:val="22"/>
                <w:szCs w:val="22"/>
                <w:lang w:val="es-ES"/>
              </w:rPr>
              <w:t>ernos y a instancias de control,</w:t>
            </w:r>
            <w:r w:rsidRPr="003E774D">
              <w:rPr>
                <w:rFonts w:ascii="Times New Roman" w:hAnsi="Times New Roman"/>
                <w:sz w:val="22"/>
                <w:szCs w:val="22"/>
                <w:lang w:val="es-ES"/>
              </w:rPr>
              <w:t xml:space="preserve"> para evidenciar la ejecución de las actividades. Se estima que son efectivos frente a la mitigación del riesgo y, aun así, el proceso formuló actividades preventivas para mitigar los riesgos. Ahora bien,  se hace énfasis en la revisión exhaustiva  del soporte documental de proceso en cuanto a la caracterización, análisis de controles y riesgos, con el fin de a asegurar  que como elementos de control contribuyan eficazmente a la toma de decisiones.  </w:t>
            </w:r>
          </w:p>
          <w:p w:rsidR="00C85489" w:rsidRPr="003E774D" w:rsidRDefault="00C85489" w:rsidP="00F461DC">
            <w:pPr>
              <w:spacing w:line="276" w:lineRule="auto"/>
              <w:ind w:left="720"/>
              <w:jc w:val="both"/>
              <w:rPr>
                <w:rFonts w:ascii="Times New Roman" w:hAnsi="Times New Roman"/>
                <w:sz w:val="22"/>
                <w:szCs w:val="22"/>
                <w:lang w:val="es-ES"/>
              </w:rPr>
            </w:pPr>
          </w:p>
          <w:p w:rsidR="005C4D8D" w:rsidRDefault="005C4D8D" w:rsidP="00F461DC">
            <w:pPr>
              <w:spacing w:line="276" w:lineRule="auto"/>
              <w:ind w:left="720"/>
              <w:jc w:val="both"/>
              <w:rPr>
                <w:rFonts w:ascii="Times New Roman" w:hAnsi="Times New Roman"/>
                <w:sz w:val="22"/>
                <w:szCs w:val="22"/>
                <w:lang w:eastAsia="es-CO"/>
              </w:rPr>
            </w:pPr>
            <w:r w:rsidRPr="003E774D">
              <w:rPr>
                <w:rFonts w:ascii="Times New Roman" w:hAnsi="Times New Roman"/>
                <w:b/>
                <w:bCs/>
                <w:i/>
                <w:sz w:val="22"/>
                <w:szCs w:val="22"/>
                <w:lang w:val="es-ES"/>
              </w:rPr>
              <w:t xml:space="preserve">- </w:t>
            </w:r>
            <w:r w:rsidR="00862BB6">
              <w:rPr>
                <w:rFonts w:ascii="Times New Roman" w:hAnsi="Times New Roman"/>
                <w:b/>
                <w:bCs/>
                <w:i/>
                <w:sz w:val="22"/>
                <w:szCs w:val="22"/>
                <w:lang w:val="es-ES"/>
              </w:rPr>
              <w:t>D</w:t>
            </w:r>
            <w:r w:rsidR="00C412C3" w:rsidRPr="003E774D">
              <w:rPr>
                <w:rFonts w:ascii="Times New Roman" w:hAnsi="Times New Roman"/>
                <w:b/>
                <w:bCs/>
                <w:i/>
                <w:sz w:val="22"/>
                <w:szCs w:val="22"/>
                <w:lang w:val="es-ES"/>
              </w:rPr>
              <w:t>os</w:t>
            </w:r>
            <w:r w:rsidRPr="003E774D">
              <w:rPr>
                <w:rFonts w:ascii="Times New Roman" w:hAnsi="Times New Roman"/>
                <w:b/>
                <w:bCs/>
                <w:i/>
                <w:sz w:val="22"/>
                <w:szCs w:val="22"/>
                <w:lang w:val="es-ES"/>
              </w:rPr>
              <w:t xml:space="preserve"> (</w:t>
            </w:r>
            <w:r w:rsidR="00C412C3" w:rsidRPr="003E774D">
              <w:rPr>
                <w:rFonts w:ascii="Times New Roman" w:hAnsi="Times New Roman"/>
                <w:b/>
                <w:bCs/>
                <w:i/>
                <w:sz w:val="22"/>
                <w:szCs w:val="22"/>
                <w:lang w:val="es-ES"/>
              </w:rPr>
              <w:t>2</w:t>
            </w:r>
            <w:r w:rsidRPr="003E774D">
              <w:rPr>
                <w:rFonts w:ascii="Times New Roman" w:hAnsi="Times New Roman"/>
                <w:b/>
                <w:bCs/>
                <w:i/>
                <w:sz w:val="22"/>
                <w:szCs w:val="22"/>
                <w:lang w:val="es-ES"/>
              </w:rPr>
              <w:t xml:space="preserve">) Informes de </w:t>
            </w:r>
            <w:r w:rsidR="00C85489">
              <w:rPr>
                <w:rFonts w:ascii="Times New Roman" w:hAnsi="Times New Roman"/>
                <w:b/>
                <w:bCs/>
                <w:i/>
                <w:sz w:val="22"/>
                <w:szCs w:val="22"/>
                <w:lang w:val="es-ES"/>
              </w:rPr>
              <w:t>G</w:t>
            </w:r>
            <w:r w:rsidRPr="003E774D">
              <w:rPr>
                <w:rFonts w:ascii="Times New Roman" w:hAnsi="Times New Roman"/>
                <w:b/>
                <w:bCs/>
                <w:i/>
                <w:sz w:val="22"/>
                <w:szCs w:val="22"/>
                <w:lang w:val="es-ES"/>
              </w:rPr>
              <w:t xml:space="preserve">estión de las </w:t>
            </w:r>
            <w:r w:rsidR="00C85489">
              <w:rPr>
                <w:rFonts w:ascii="Times New Roman" w:hAnsi="Times New Roman"/>
                <w:b/>
                <w:bCs/>
                <w:i/>
                <w:sz w:val="22"/>
                <w:szCs w:val="22"/>
                <w:lang w:val="es-ES"/>
              </w:rPr>
              <w:t>C</w:t>
            </w:r>
            <w:r w:rsidRPr="003E774D">
              <w:rPr>
                <w:rFonts w:ascii="Times New Roman" w:hAnsi="Times New Roman"/>
                <w:b/>
                <w:bCs/>
                <w:i/>
                <w:sz w:val="22"/>
                <w:szCs w:val="22"/>
                <w:lang w:val="es-ES"/>
              </w:rPr>
              <w:t xml:space="preserve">omunicaciones </w:t>
            </w:r>
            <w:r w:rsidR="00C85489">
              <w:rPr>
                <w:rFonts w:ascii="Times New Roman" w:hAnsi="Times New Roman"/>
                <w:b/>
                <w:bCs/>
                <w:i/>
                <w:sz w:val="22"/>
                <w:szCs w:val="22"/>
                <w:lang w:val="es-ES"/>
              </w:rPr>
              <w:t>O</w:t>
            </w:r>
            <w:r w:rsidRPr="003E774D">
              <w:rPr>
                <w:rFonts w:ascii="Times New Roman" w:hAnsi="Times New Roman"/>
                <w:b/>
                <w:bCs/>
                <w:i/>
                <w:sz w:val="22"/>
                <w:szCs w:val="22"/>
                <w:lang w:val="es-ES"/>
              </w:rPr>
              <w:t>ficiales en la SPD, periodos  abril-junio y julio-septiembre de 2017</w:t>
            </w:r>
            <w:r w:rsidR="00093252">
              <w:rPr>
                <w:rFonts w:ascii="Times New Roman" w:hAnsi="Times New Roman"/>
                <w:b/>
                <w:bCs/>
                <w:i/>
                <w:sz w:val="22"/>
                <w:szCs w:val="22"/>
                <w:lang w:val="es-ES"/>
              </w:rPr>
              <w:t xml:space="preserve"> y</w:t>
            </w:r>
            <w:r w:rsidRPr="003E774D">
              <w:rPr>
                <w:rFonts w:ascii="Times New Roman" w:hAnsi="Times New Roman"/>
                <w:b/>
                <w:bCs/>
                <w:i/>
                <w:sz w:val="22"/>
                <w:szCs w:val="22"/>
                <w:lang w:val="es-ES"/>
              </w:rPr>
              <w:t xml:space="preserve"> Abril-junio:</w:t>
            </w:r>
            <w:r w:rsidR="00586A20" w:rsidRPr="003E774D">
              <w:rPr>
                <w:rFonts w:ascii="Times New Roman" w:hAnsi="Times New Roman"/>
                <w:b/>
                <w:bCs/>
                <w:i/>
                <w:sz w:val="22"/>
                <w:szCs w:val="22"/>
                <w:lang w:val="es-ES"/>
              </w:rPr>
              <w:t xml:space="preserve"> </w:t>
            </w:r>
            <w:r w:rsidRPr="00862BB6">
              <w:rPr>
                <w:rFonts w:ascii="Times New Roman" w:hAnsi="Times New Roman"/>
                <w:sz w:val="22"/>
                <w:szCs w:val="22"/>
                <w:lang w:val="es-ES"/>
              </w:rPr>
              <w:t>Para</w:t>
            </w:r>
            <w:r w:rsidRPr="003E774D">
              <w:rPr>
                <w:rFonts w:ascii="Times New Roman" w:hAnsi="Times New Roman"/>
                <w:sz w:val="22"/>
                <w:szCs w:val="22"/>
                <w:lang w:val="es-ES"/>
              </w:rPr>
              <w:t xml:space="preserve"> el segundo trimestre las radicaciones aumentaron en  3.109,  al pasar de  20.104 en el primer trimestre a 23.213 en el segundo; esto representa un </w:t>
            </w:r>
            <w:r w:rsidRPr="003E774D">
              <w:rPr>
                <w:rFonts w:ascii="Times New Roman" w:hAnsi="Times New Roman"/>
                <w:b/>
                <w:sz w:val="22"/>
                <w:szCs w:val="22"/>
                <w:lang w:val="es-ES"/>
              </w:rPr>
              <w:t>15.5</w:t>
            </w:r>
            <w:r w:rsidRPr="003E774D">
              <w:rPr>
                <w:rFonts w:ascii="Times New Roman" w:hAnsi="Times New Roman"/>
                <w:sz w:val="22"/>
                <w:szCs w:val="22"/>
                <w:lang w:val="es-ES"/>
              </w:rPr>
              <w:t xml:space="preserve">% de aumento. No obstante esta variación comparativa entre periodos, se </w:t>
            </w:r>
            <w:r w:rsidR="00A25453" w:rsidRPr="003E774D">
              <w:rPr>
                <w:rFonts w:ascii="Times New Roman" w:hAnsi="Times New Roman"/>
                <w:sz w:val="22"/>
                <w:szCs w:val="22"/>
                <w:lang w:val="es-ES"/>
              </w:rPr>
              <w:t>observa</w:t>
            </w:r>
            <w:r w:rsidRPr="003E774D">
              <w:rPr>
                <w:rFonts w:ascii="Times New Roman" w:hAnsi="Times New Roman"/>
                <w:sz w:val="22"/>
                <w:szCs w:val="22"/>
                <w:lang w:val="es-ES"/>
              </w:rPr>
              <w:t xml:space="preserve"> que aunque el segundo trimestre present</w:t>
            </w:r>
            <w:r w:rsidR="00862BB6">
              <w:rPr>
                <w:rFonts w:ascii="Times New Roman" w:hAnsi="Times New Roman"/>
                <w:sz w:val="22"/>
                <w:szCs w:val="22"/>
                <w:lang w:val="es-ES"/>
              </w:rPr>
              <w:t>ó</w:t>
            </w:r>
            <w:r w:rsidRPr="003E774D">
              <w:rPr>
                <w:rFonts w:ascii="Times New Roman" w:hAnsi="Times New Roman"/>
                <w:sz w:val="22"/>
                <w:szCs w:val="22"/>
                <w:lang w:val="es-ES"/>
              </w:rPr>
              <w:t xml:space="preserve"> un mayor número de registros, la eficacia de los “respondidos a tiempo” fue del 89.7%, superior al primer trimestre, 85.9%, con menos solicitudes; situación que indica mayores eficiencias </w:t>
            </w:r>
            <w:r w:rsidR="00A25453" w:rsidRPr="003E774D">
              <w:rPr>
                <w:rFonts w:ascii="Times New Roman" w:hAnsi="Times New Roman"/>
                <w:sz w:val="22"/>
                <w:szCs w:val="22"/>
                <w:lang w:val="es-ES"/>
              </w:rPr>
              <w:t>con</w:t>
            </w:r>
            <w:r w:rsidRPr="003E774D">
              <w:rPr>
                <w:rFonts w:ascii="Times New Roman" w:hAnsi="Times New Roman"/>
                <w:sz w:val="22"/>
                <w:szCs w:val="22"/>
                <w:lang w:val="es-ES"/>
              </w:rPr>
              <w:t xml:space="preserve"> los recursos disponibles.  En el segundo trimestre de 2017, la SDP cierra con un índice de eficacia de 96.6%  de registros en término, procedente de la sumatoria de 89.7% “Finalizados a tiempo + 6.9 Desarrollo normal”; lo cual, comparativamente con el pasado trimestre (99.3%), arroja una  desmejora en términos </w:t>
            </w:r>
            <w:r w:rsidRPr="003E774D">
              <w:rPr>
                <w:rFonts w:ascii="Times New Roman" w:hAnsi="Times New Roman"/>
                <w:sz w:val="22"/>
                <w:szCs w:val="22"/>
                <w:lang w:val="es-ES"/>
              </w:rPr>
              <w:lastRenderedPageBreak/>
              <w:t>de oportunidad del 2.7%. Adicionalmente, se registra un significa</w:t>
            </w:r>
            <w:r w:rsidR="00862BB6">
              <w:rPr>
                <w:rFonts w:ascii="Times New Roman" w:hAnsi="Times New Roman"/>
                <w:sz w:val="22"/>
                <w:szCs w:val="22"/>
                <w:lang w:val="es-ES"/>
              </w:rPr>
              <w:t>tivo aumento en las respuestas v</w:t>
            </w:r>
            <w:r w:rsidRPr="003E774D">
              <w:rPr>
                <w:rFonts w:ascii="Times New Roman" w:hAnsi="Times New Roman"/>
                <w:sz w:val="22"/>
                <w:szCs w:val="22"/>
                <w:lang w:val="es-ES"/>
              </w:rPr>
              <w:t xml:space="preserve">encidas (sin respuesta), 111.9% con relación al trimestre pasado; así como, de la categoría de respuesta “Fuera de tiempo”, del 219.1%, con relación al pasado periodo.  </w:t>
            </w:r>
            <w:r w:rsidR="00F461DC" w:rsidRPr="003E774D">
              <w:rPr>
                <w:rFonts w:ascii="Times New Roman" w:hAnsi="Times New Roman"/>
                <w:sz w:val="22"/>
                <w:szCs w:val="22"/>
                <w:lang w:val="es-ES"/>
              </w:rPr>
              <w:t xml:space="preserve"> </w:t>
            </w:r>
            <w:r w:rsidRPr="003E774D">
              <w:rPr>
                <w:rFonts w:ascii="Times New Roman" w:hAnsi="Times New Roman"/>
                <w:sz w:val="22"/>
                <w:szCs w:val="22"/>
                <w:lang w:val="es-ES"/>
              </w:rPr>
              <w:t xml:space="preserve">Los resultados anteriores requieren de medidas contingentes oportunas para minimizar los impactos, pues los indicadores muestran que si bien las radicaciones aumentaron en el 15.5%,   las categorías </w:t>
            </w:r>
            <w:r w:rsidRPr="003E774D">
              <w:rPr>
                <w:rFonts w:ascii="Times New Roman" w:hAnsi="Times New Roman"/>
                <w:i/>
                <w:sz w:val="22"/>
                <w:szCs w:val="22"/>
                <w:lang w:val="es-ES"/>
              </w:rPr>
              <w:t xml:space="preserve">de vencidos y respuestas fuera de tiempo </w:t>
            </w:r>
            <w:r w:rsidRPr="003E774D">
              <w:rPr>
                <w:rFonts w:ascii="Times New Roman" w:hAnsi="Times New Roman"/>
                <w:sz w:val="22"/>
                <w:szCs w:val="22"/>
                <w:lang w:val="es-ES"/>
              </w:rPr>
              <w:t>aumentaron drásticamente</w:t>
            </w:r>
            <w:r w:rsidRPr="003E774D">
              <w:rPr>
                <w:rFonts w:ascii="Times New Roman" w:hAnsi="Times New Roman"/>
                <w:b/>
                <w:i/>
                <w:sz w:val="22"/>
                <w:szCs w:val="22"/>
                <w:lang w:val="es-ES"/>
              </w:rPr>
              <w:t xml:space="preserve">, </w:t>
            </w:r>
            <w:r w:rsidRPr="003E774D">
              <w:rPr>
                <w:rFonts w:ascii="Times New Roman" w:hAnsi="Times New Roman"/>
                <w:sz w:val="22"/>
                <w:szCs w:val="22"/>
                <w:lang w:val="es-ES"/>
              </w:rPr>
              <w:t>lo cual impacta la exposición al riesgo  de incumplimiento.</w:t>
            </w:r>
            <w:r w:rsidR="00F461DC" w:rsidRPr="003E774D">
              <w:rPr>
                <w:rFonts w:ascii="Times New Roman" w:hAnsi="Times New Roman"/>
                <w:sz w:val="22"/>
                <w:szCs w:val="22"/>
                <w:lang w:val="es-ES"/>
              </w:rPr>
              <w:t xml:space="preserve"> </w:t>
            </w:r>
            <w:r w:rsidRPr="003E774D">
              <w:rPr>
                <w:rFonts w:ascii="Times New Roman" w:hAnsi="Times New Roman"/>
                <w:sz w:val="22"/>
                <w:szCs w:val="22"/>
                <w:lang w:eastAsia="es-CO"/>
              </w:rPr>
              <w:t>La opción de consulta de radicaciones incluida en el aplicativo S</w:t>
            </w:r>
            <w:r w:rsidR="00A25453" w:rsidRPr="003E774D">
              <w:rPr>
                <w:rFonts w:ascii="Times New Roman" w:hAnsi="Times New Roman"/>
                <w:sz w:val="22"/>
                <w:szCs w:val="22"/>
                <w:lang w:eastAsia="es-CO"/>
              </w:rPr>
              <w:t>IPA reporta información errada, por lo que se</w:t>
            </w:r>
            <w:r w:rsidRPr="003E774D">
              <w:rPr>
                <w:rFonts w:ascii="Times New Roman" w:hAnsi="Times New Roman"/>
                <w:sz w:val="22"/>
                <w:szCs w:val="22"/>
                <w:lang w:eastAsia="es-CO"/>
              </w:rPr>
              <w:t xml:space="preserve"> requiere un</w:t>
            </w:r>
            <w:r w:rsidR="00A25453" w:rsidRPr="003E774D">
              <w:rPr>
                <w:rFonts w:ascii="Times New Roman" w:hAnsi="Times New Roman"/>
                <w:sz w:val="22"/>
                <w:szCs w:val="22"/>
                <w:lang w:eastAsia="es-CO"/>
              </w:rPr>
              <w:t xml:space="preserve">a revisión general de esta opción y </w:t>
            </w:r>
            <w:r w:rsidRPr="003E774D">
              <w:rPr>
                <w:rFonts w:ascii="Times New Roman" w:hAnsi="Times New Roman"/>
                <w:sz w:val="22"/>
                <w:szCs w:val="22"/>
                <w:lang w:eastAsia="es-CO"/>
              </w:rPr>
              <w:t xml:space="preserve">  a nivel  particular de la característica “Dependencia de apoyo”</w:t>
            </w:r>
            <w:r w:rsidR="00F461DC" w:rsidRPr="003E774D">
              <w:rPr>
                <w:rFonts w:ascii="Times New Roman" w:hAnsi="Times New Roman"/>
                <w:sz w:val="22"/>
                <w:szCs w:val="22"/>
                <w:lang w:eastAsia="es-CO"/>
              </w:rPr>
              <w:t>.</w:t>
            </w:r>
          </w:p>
          <w:p w:rsidR="00862BB6" w:rsidRPr="003E774D" w:rsidRDefault="00862BB6" w:rsidP="00F461DC">
            <w:pPr>
              <w:spacing w:line="276" w:lineRule="auto"/>
              <w:ind w:left="720"/>
              <w:jc w:val="both"/>
              <w:rPr>
                <w:rFonts w:ascii="Times New Roman" w:hAnsi="Times New Roman"/>
                <w:sz w:val="22"/>
                <w:szCs w:val="22"/>
                <w:lang w:eastAsia="es-CO"/>
              </w:rPr>
            </w:pPr>
          </w:p>
          <w:p w:rsidR="00F162D8" w:rsidRPr="003E774D" w:rsidRDefault="00F461DC" w:rsidP="00F162D8">
            <w:pPr>
              <w:pStyle w:val="Prrafodelista"/>
              <w:autoSpaceDE w:val="0"/>
              <w:autoSpaceDN w:val="0"/>
              <w:adjustRightInd w:val="0"/>
              <w:spacing w:after="0" w:line="240" w:lineRule="auto"/>
              <w:jc w:val="both"/>
              <w:rPr>
                <w:rFonts w:ascii="Times New Roman" w:hAnsi="Times New Roman"/>
                <w:lang w:val="es-ES" w:eastAsia="es-ES"/>
              </w:rPr>
            </w:pPr>
            <w:r w:rsidRPr="003E774D">
              <w:rPr>
                <w:rFonts w:ascii="Times New Roman" w:hAnsi="Times New Roman"/>
                <w:bCs/>
                <w:i/>
                <w:lang w:val="es-ES"/>
              </w:rPr>
              <w:t>En el periodo julio-</w:t>
            </w:r>
            <w:r w:rsidRPr="003E774D">
              <w:rPr>
                <w:rFonts w:ascii="Times New Roman" w:hAnsi="Times New Roman"/>
                <w:lang w:val="es-ES"/>
              </w:rPr>
              <w:t xml:space="preserve">septiembre 2017,  aunque los últimos seguimientos registran una tendencia de aumento  en la gestión de comunicaciones internas y externas en la entidad;  el  15.5% en el segundo trimestre y 10.8 en el tercer trimestre, para un acumulado de 27.9% en lo corrido del año;  la eficacia de respuesta aumentó  del 96.6% en el 2º trimestre al 97.0% en el 3º trimestre. </w:t>
            </w:r>
            <w:r w:rsidRPr="003E774D">
              <w:rPr>
                <w:rFonts w:ascii="Times New Roman" w:hAnsi="Times New Roman"/>
                <w:bCs/>
                <w:lang w:val="es-ES" w:eastAsia="es-ES"/>
              </w:rPr>
              <w:t xml:space="preserve">Si bien en este  trimestre los registros vencidos disminuyeron el 48%, respecto del 2° trimestre de la vigencia;  los registros finalizados fuera de tiempo, aumentaron en 29.5%. </w:t>
            </w:r>
            <w:r w:rsidRPr="003E774D">
              <w:rPr>
                <w:rFonts w:ascii="Times New Roman" w:hAnsi="Times New Roman"/>
                <w:lang w:val="es-ES"/>
              </w:rPr>
              <w:t xml:space="preserve">     </w:t>
            </w:r>
            <w:r w:rsidR="00093252">
              <w:rPr>
                <w:rFonts w:ascii="Times New Roman" w:hAnsi="Times New Roman"/>
                <w:lang w:val="es-ES"/>
              </w:rPr>
              <w:t xml:space="preserve">La </w:t>
            </w:r>
            <w:r w:rsidRPr="003E774D">
              <w:rPr>
                <w:rFonts w:ascii="Times New Roman" w:hAnsi="Times New Roman"/>
                <w:lang w:val="es-ES" w:eastAsia="es-ES"/>
              </w:rPr>
              <w:t>OCI viene haciendo seguimiento al cumpliendo y  desarrollo de las actividades identificadas para dar solución al hallazgo ID 1729 que soluciona la información herrada presentada en el reporte de los registros de la SDP en el SIPA</w:t>
            </w:r>
            <w:r w:rsidR="00F162D8" w:rsidRPr="003E774D">
              <w:rPr>
                <w:rFonts w:ascii="Times New Roman" w:hAnsi="Times New Roman"/>
                <w:lang w:val="es-ES" w:eastAsia="es-ES"/>
              </w:rPr>
              <w:t>.</w:t>
            </w:r>
          </w:p>
          <w:p w:rsidR="00427798" w:rsidRDefault="00427798" w:rsidP="00F162D8">
            <w:pPr>
              <w:pStyle w:val="Prrafodelista"/>
              <w:autoSpaceDE w:val="0"/>
              <w:autoSpaceDN w:val="0"/>
              <w:adjustRightInd w:val="0"/>
              <w:spacing w:after="0" w:line="240" w:lineRule="auto"/>
              <w:jc w:val="both"/>
              <w:rPr>
                <w:rFonts w:ascii="Times New Roman" w:hAnsi="Times New Roman"/>
                <w:lang w:val="es-ES" w:eastAsia="es-ES"/>
              </w:rPr>
            </w:pPr>
          </w:p>
          <w:p w:rsidR="00093252" w:rsidRPr="003E774D" w:rsidRDefault="00093252" w:rsidP="00F162D8">
            <w:pPr>
              <w:pStyle w:val="Prrafodelista"/>
              <w:autoSpaceDE w:val="0"/>
              <w:autoSpaceDN w:val="0"/>
              <w:adjustRightInd w:val="0"/>
              <w:spacing w:after="0" w:line="240" w:lineRule="auto"/>
              <w:jc w:val="both"/>
              <w:rPr>
                <w:rFonts w:ascii="Times New Roman" w:hAnsi="Times New Roman"/>
                <w:lang w:val="es-ES" w:eastAsia="es-ES"/>
              </w:rPr>
            </w:pPr>
            <w:r w:rsidRPr="00093252">
              <w:rPr>
                <w:rFonts w:ascii="Times New Roman" w:hAnsi="Times New Roman"/>
                <w:lang w:val="es-ES" w:eastAsia="es-ES"/>
              </w:rPr>
              <w:t xml:space="preserve">Informe de auditoría al proceso de Producción y análisis de la información: El proceso PADI, a cargo de la SIEE, con la </w:t>
            </w:r>
            <w:proofErr w:type="spellStart"/>
            <w:r w:rsidRPr="00093252">
              <w:rPr>
                <w:rFonts w:ascii="Times New Roman" w:hAnsi="Times New Roman"/>
                <w:lang w:val="es-ES" w:eastAsia="es-ES"/>
              </w:rPr>
              <w:t>co</w:t>
            </w:r>
            <w:proofErr w:type="spellEnd"/>
            <w:r w:rsidRPr="00093252">
              <w:rPr>
                <w:rFonts w:ascii="Times New Roman" w:hAnsi="Times New Roman"/>
                <w:lang w:val="es-ES" w:eastAsia="es-ES"/>
              </w:rPr>
              <w:t xml:space="preserve">-responsabilidad de las Direcciones de: Estudios Macro, </w:t>
            </w:r>
            <w:proofErr w:type="spellStart"/>
            <w:r w:rsidRPr="00093252">
              <w:rPr>
                <w:rFonts w:ascii="Times New Roman" w:hAnsi="Times New Roman"/>
                <w:lang w:val="es-ES" w:eastAsia="es-ES"/>
              </w:rPr>
              <w:t>Sisbén</w:t>
            </w:r>
            <w:proofErr w:type="spellEnd"/>
            <w:r w:rsidRPr="00093252">
              <w:rPr>
                <w:rFonts w:ascii="Times New Roman" w:hAnsi="Times New Roman"/>
                <w:lang w:val="es-ES" w:eastAsia="es-ES"/>
              </w:rPr>
              <w:t>, Información Cartografía y Estadística, Estratificación y Servicio al Ciudadano,</w:t>
            </w:r>
            <w:r>
              <w:rPr>
                <w:rFonts w:ascii="Times New Roman" w:hAnsi="Times New Roman"/>
                <w:lang w:val="es-ES" w:eastAsia="es-ES"/>
              </w:rPr>
              <w:t xml:space="preserve"> </w:t>
            </w:r>
            <w:r w:rsidRPr="00093252">
              <w:rPr>
                <w:rFonts w:ascii="Times New Roman" w:hAnsi="Times New Roman"/>
                <w:lang w:val="es-ES" w:eastAsia="es-ES"/>
              </w:rPr>
              <w:t xml:space="preserve">se encuentra claramente definido en la caracterización; cuenta con  mapa de riesgos, procedimientos, formatos y demás elementos de control implementados, que soportan de manera relativa, la Producción, Análisis Y Divulgación de la Información, mediante la recopilación,  análisis,  actualización y producción de la información estratégica de ciudad,  la gestión de la información y el uso de recursos tecnológicos, con el fin de proporcionar información a través de los diferentes canales de atención y herramientas de consulta dispuestas por la entidad para la toma de decisiones en el Distrito Capital. El valor de su aporte institucional, se proyecta hacía los siguientes logros Aporta al cumplimiento del Plan de Desarrollo en lo referente al Eje  “04  Eje transversal Nuevo ordenamiento territorial”- Programa “26 Información relevante e integral para la planeación territorial”,  y en particular en el Proyecto Estratégico “159 Actualización e integración de instrumentos de información para análisis como insumo para la creación de política pública, focalización del gasto público y seguimiento y control del desarrollo urbano y rural”; lo cual,  se encuentra alineado con el  Plan Estratégico 2016-2020 mediante los objetivos“7.- Diseñar, desarrollar y divulgar estudios de ciudad y región con el fin de generar conocimiento que le aporte a la toma de decisiones sobre la formulación, seguimiento y evaluación de políticas públicas mediante métodos de investigación cuantitativos y cualitativos, trabajos multidisciplinarios e intersectoriales” y “8.- Optimizar el flujo de producción, sistematización, administración y divulgación de información gráfica y alfanumérica para aportar en la toma de decisiones, orientar el gasto público, brindar información a la ciudadanía, facilitar la formulación, gestión, seguimiento y evaluación de las políticas públicas.”, y para cumplir con estos objetivos cuenta con los recursos del proyecto de Inversión “984 Producción y análisis de información para la creación de política pública, focalización del gasto público y seguimiento del desarrollo urbano”. El proceso en su Mapa de </w:t>
            </w:r>
            <w:r>
              <w:rPr>
                <w:rFonts w:ascii="Times New Roman" w:hAnsi="Times New Roman"/>
                <w:lang w:val="es-ES" w:eastAsia="es-ES"/>
              </w:rPr>
              <w:t xml:space="preserve">Riesgos registra  dos riesgos: </w:t>
            </w:r>
            <w:r w:rsidRPr="00093252">
              <w:rPr>
                <w:rFonts w:ascii="Times New Roman" w:hAnsi="Times New Roman"/>
                <w:lang w:val="es-ES" w:eastAsia="es-ES"/>
              </w:rPr>
              <w:t xml:space="preserve">“Inconsistencia en la captura y/o recolección de la información” y “Errores en el procesamiento y/o administración de la información”,  y en el Mapa de Riesgos Institucional el riesgo “Divulgación de información inconsistente”. Para el riesgo “Errores en el procesamiento y/o administración de la información”,  se evidenció que las actividades de </w:t>
            </w:r>
            <w:r w:rsidRPr="00093252">
              <w:rPr>
                <w:rFonts w:ascii="Times New Roman" w:hAnsi="Times New Roman"/>
                <w:lang w:val="es-ES" w:eastAsia="es-ES"/>
              </w:rPr>
              <w:lastRenderedPageBreak/>
              <w:t>control adoptadas,</w:t>
            </w:r>
            <w:r>
              <w:rPr>
                <w:rFonts w:ascii="Times New Roman" w:hAnsi="Times New Roman"/>
                <w:lang w:val="es-ES" w:eastAsia="es-ES"/>
              </w:rPr>
              <w:t xml:space="preserve"> </w:t>
            </w:r>
            <w:r w:rsidRPr="00093252">
              <w:rPr>
                <w:rFonts w:ascii="Times New Roman" w:hAnsi="Times New Roman"/>
                <w:lang w:val="es-ES" w:eastAsia="es-ES"/>
              </w:rPr>
              <w:t>resultan idóneas y efectivas</w:t>
            </w:r>
            <w:r>
              <w:rPr>
                <w:rFonts w:ascii="Times New Roman" w:hAnsi="Times New Roman"/>
                <w:lang w:val="es-ES" w:eastAsia="es-ES"/>
              </w:rPr>
              <w:t xml:space="preserve">, y </w:t>
            </w:r>
            <w:r w:rsidRPr="00093252">
              <w:rPr>
                <w:rFonts w:ascii="Times New Roman" w:hAnsi="Times New Roman"/>
                <w:lang w:val="es-ES" w:eastAsia="es-ES"/>
              </w:rPr>
              <w:t xml:space="preserve">aseguran razonablemente la no materialización del riesgo en el proceso, en el alcance de las pruebas efectuadas. La ejecución de recursos asignados al Proyecto 984, se ha realizado conforme los principios de anualidad y planificación, cumpliendo al 100% en 2016 y a 2017 se presenta un avance significativo del 68%, lo cual es concordante con el cumplimiento del plan de contratación en la mayoría de los elementos planeados frente a la gestión alcanzada. En cuanto al manejo de los recursos y cumplimiento de  metas Meta 504 PDD: Actualizar 1 base de datos </w:t>
            </w:r>
            <w:proofErr w:type="spellStart"/>
            <w:r w:rsidRPr="00093252">
              <w:rPr>
                <w:rFonts w:ascii="Times New Roman" w:hAnsi="Times New Roman"/>
                <w:lang w:val="es-ES" w:eastAsia="es-ES"/>
              </w:rPr>
              <w:t>Sisbén</w:t>
            </w:r>
            <w:proofErr w:type="spellEnd"/>
            <w:r w:rsidRPr="00093252">
              <w:rPr>
                <w:rFonts w:ascii="Times New Roman" w:hAnsi="Times New Roman"/>
                <w:lang w:val="es-ES" w:eastAsia="es-ES"/>
              </w:rPr>
              <w:t xml:space="preserve"> mediante la aplicación de encuestas en las modalidades de barrido y demanda, se evidenció que el pago en la contratación que se suscribe para la aplicación de las encuestas </w:t>
            </w:r>
            <w:proofErr w:type="spellStart"/>
            <w:r w:rsidRPr="00093252">
              <w:rPr>
                <w:rFonts w:ascii="Times New Roman" w:hAnsi="Times New Roman"/>
                <w:lang w:val="es-ES" w:eastAsia="es-ES"/>
              </w:rPr>
              <w:t>Sisbén</w:t>
            </w:r>
            <w:proofErr w:type="spellEnd"/>
            <w:r w:rsidRPr="00093252">
              <w:rPr>
                <w:rFonts w:ascii="Times New Roman" w:hAnsi="Times New Roman"/>
                <w:lang w:val="es-ES" w:eastAsia="es-ES"/>
              </w:rPr>
              <w:t xml:space="preserve"> se realiza con base en las encuestas avaladas por la interventoría, razón por la cual la tendencia observada es a realizar más encuestas por parte del contratista, buscando no afectar la ejecución contractual por aquellas encuestas devueltas ya se trate por inconsistencias en el procesamiento o en la aplicación propiamente dicha. Es así, que con corte a mayo de 2017, a dos meses de finalizar la ejecución, se han avalado 91.609 encuestas de 97.459 contratadas, es decir un 94% ejecutado, por lo que si en promedio mensual se aplican 8.000 encuestas se alcanzaría una meta de 107.609 encuestas, superando así la meta y optimizando la relación costo beneficio al generar un costo menor por encuesta contratada. Respecto de acciones para la mejora se identificaron las siguientes: No se pudo confrontar el estado de las licencias urbanísticas</w:t>
            </w:r>
            <w:r>
              <w:rPr>
                <w:rFonts w:ascii="Times New Roman" w:hAnsi="Times New Roman"/>
                <w:lang w:val="es-ES" w:eastAsia="es-ES"/>
              </w:rPr>
              <w:t>,</w:t>
            </w:r>
            <w:r w:rsidRPr="00093252">
              <w:rPr>
                <w:rFonts w:ascii="Times New Roman" w:hAnsi="Times New Roman"/>
                <w:lang w:val="es-ES" w:eastAsia="es-ES"/>
              </w:rPr>
              <w:t xml:space="preserve"> ni de la información geográfica de la BDGC al 30 de junio de 2017, con la información dispuesta en el sistema SINU – POT debido a que los requerimientos publicación de la DICE están pendientes de atender por parte de la DS. A la fecha de la evaluación, no se identificó en el SECOP la inclusión de la última modificación del contrato 203 realizada en el mes de marzo de 2017. El seguimiento mensual descrito en el A-FO-214 y en el POA, no es concordante con la estructura de los indicadores 1327, 1397, 1398 y  1399 por cuanto se indica para el numerador un valor absoluto o relativo y el denominador carece de valor.</w:t>
            </w:r>
          </w:p>
          <w:p w:rsidR="00427798" w:rsidRPr="003E774D" w:rsidRDefault="00427798" w:rsidP="00F162D8">
            <w:pPr>
              <w:pStyle w:val="Prrafodelista"/>
              <w:autoSpaceDE w:val="0"/>
              <w:autoSpaceDN w:val="0"/>
              <w:adjustRightInd w:val="0"/>
              <w:spacing w:after="0" w:line="240" w:lineRule="auto"/>
              <w:jc w:val="both"/>
              <w:rPr>
                <w:rFonts w:ascii="Times New Roman" w:hAnsi="Times New Roman"/>
                <w:lang w:val="es-ES" w:eastAsia="es-ES"/>
              </w:rPr>
            </w:pPr>
          </w:p>
          <w:p w:rsidR="00B054AB" w:rsidRPr="003E774D" w:rsidRDefault="00B054AB" w:rsidP="000648B7">
            <w:pPr>
              <w:pStyle w:val="Prrafodelista"/>
              <w:spacing w:after="0" w:line="240" w:lineRule="auto"/>
              <w:jc w:val="both"/>
              <w:rPr>
                <w:rFonts w:ascii="Times New Roman" w:hAnsi="Times New Roman"/>
              </w:rPr>
            </w:pPr>
            <w:r w:rsidRPr="003E774D">
              <w:rPr>
                <w:rFonts w:ascii="Times New Roman" w:hAnsi="Times New Roman"/>
                <w:b/>
                <w:lang w:val="es-ES"/>
              </w:rPr>
              <w:t xml:space="preserve">- </w:t>
            </w:r>
            <w:r w:rsidRPr="003E774D">
              <w:rPr>
                <w:rFonts w:ascii="Times New Roman" w:hAnsi="Times New Roman"/>
                <w:b/>
                <w:i/>
                <w:lang w:val="es-ES"/>
              </w:rPr>
              <w:t xml:space="preserve">Informe de Auditoría a la </w:t>
            </w:r>
            <w:r w:rsidR="00D409D1">
              <w:rPr>
                <w:rFonts w:ascii="Times New Roman" w:hAnsi="Times New Roman"/>
                <w:b/>
                <w:i/>
                <w:lang w:val="es-ES"/>
              </w:rPr>
              <w:t>Gestión del proceso de Recursos F</w:t>
            </w:r>
            <w:r w:rsidRPr="003E774D">
              <w:rPr>
                <w:rFonts w:ascii="Times New Roman" w:hAnsi="Times New Roman"/>
                <w:b/>
                <w:i/>
                <w:lang w:val="es-ES"/>
              </w:rPr>
              <w:t xml:space="preserve">ísicos y </w:t>
            </w:r>
            <w:r w:rsidR="00D409D1">
              <w:rPr>
                <w:rFonts w:ascii="Times New Roman" w:hAnsi="Times New Roman"/>
                <w:b/>
                <w:i/>
                <w:lang w:val="es-ES"/>
              </w:rPr>
              <w:t>S</w:t>
            </w:r>
            <w:r w:rsidRPr="003E774D">
              <w:rPr>
                <w:rFonts w:ascii="Times New Roman" w:hAnsi="Times New Roman"/>
                <w:b/>
                <w:i/>
                <w:lang w:val="es-ES"/>
              </w:rPr>
              <w:t xml:space="preserve">ervicios </w:t>
            </w:r>
            <w:r w:rsidR="00D409D1">
              <w:rPr>
                <w:rFonts w:ascii="Times New Roman" w:hAnsi="Times New Roman"/>
                <w:b/>
                <w:i/>
                <w:lang w:val="es-ES"/>
              </w:rPr>
              <w:t>G</w:t>
            </w:r>
            <w:r w:rsidRPr="003E774D">
              <w:rPr>
                <w:rFonts w:ascii="Times New Roman" w:hAnsi="Times New Roman"/>
                <w:b/>
                <w:i/>
                <w:lang w:val="es-ES"/>
              </w:rPr>
              <w:t>enerales</w:t>
            </w:r>
            <w:r w:rsidR="00C412C3" w:rsidRPr="003E774D">
              <w:rPr>
                <w:rFonts w:ascii="Times New Roman" w:hAnsi="Times New Roman"/>
                <w:b/>
                <w:i/>
                <w:lang w:val="es-ES"/>
              </w:rPr>
              <w:t xml:space="preserve">. </w:t>
            </w:r>
            <w:r w:rsidR="00C412C3" w:rsidRPr="00093252">
              <w:rPr>
                <w:rFonts w:ascii="Times New Roman" w:hAnsi="Times New Roman"/>
                <w:lang w:val="es-ES"/>
              </w:rPr>
              <w:t>El</w:t>
            </w:r>
            <w:r w:rsidR="00C412C3" w:rsidRPr="003E774D">
              <w:rPr>
                <w:rFonts w:ascii="Times New Roman" w:hAnsi="Times New Roman"/>
                <w:b/>
                <w:i/>
                <w:lang w:val="es-ES"/>
              </w:rPr>
              <w:t xml:space="preserve"> </w:t>
            </w:r>
            <w:r w:rsidRPr="003E774D">
              <w:rPr>
                <w:rFonts w:ascii="Times New Roman" w:hAnsi="Times New Roman"/>
                <w:b/>
                <w:i/>
                <w:lang w:val="es-ES"/>
              </w:rPr>
              <w:t xml:space="preserve"> </w:t>
            </w:r>
            <w:r w:rsidRPr="003E774D">
              <w:rPr>
                <w:rFonts w:ascii="Times New Roman" w:hAnsi="Times New Roman"/>
              </w:rPr>
              <w:t xml:space="preserve">proceso cuenta con la caracterización </w:t>
            </w:r>
            <w:r w:rsidRPr="003E774D">
              <w:rPr>
                <w:rFonts w:ascii="Times New Roman" w:hAnsi="Times New Roman"/>
                <w:bCs/>
              </w:rPr>
              <w:t>A-CA-004, versión 6, acta de mejoramiento N° 429 de mayo 19 de 2016, la cual se encuentra actualizada según el requerimiento de la Dirección de Planeación en la vigencia 2016.</w:t>
            </w:r>
            <w:r w:rsidR="00C53993" w:rsidRPr="003E774D">
              <w:rPr>
                <w:rFonts w:ascii="Times New Roman" w:hAnsi="Times New Roman"/>
                <w:bCs/>
              </w:rPr>
              <w:t>El proceso reconoce</w:t>
            </w:r>
            <w:r w:rsidR="00C53993" w:rsidRPr="003E774D">
              <w:rPr>
                <w:rFonts w:ascii="Times New Roman" w:hAnsi="Times New Roman"/>
              </w:rPr>
              <w:t xml:space="preserve"> </w:t>
            </w:r>
            <w:r w:rsidRPr="003E774D">
              <w:rPr>
                <w:rFonts w:ascii="Times New Roman" w:hAnsi="Times New Roman"/>
              </w:rPr>
              <w:t xml:space="preserve"> la aplicación de controles informales clave</w:t>
            </w:r>
            <w:r w:rsidR="00C53993" w:rsidRPr="003E774D">
              <w:rPr>
                <w:rFonts w:ascii="Times New Roman" w:hAnsi="Times New Roman"/>
              </w:rPr>
              <w:t>,</w:t>
            </w:r>
            <w:r w:rsidRPr="003E774D">
              <w:rPr>
                <w:rFonts w:ascii="Times New Roman" w:hAnsi="Times New Roman"/>
              </w:rPr>
              <w:t xml:space="preserve"> en algunos casos </w:t>
            </w:r>
            <w:r w:rsidR="00C53993" w:rsidRPr="003E774D">
              <w:rPr>
                <w:rFonts w:ascii="Times New Roman" w:hAnsi="Times New Roman"/>
              </w:rPr>
              <w:t xml:space="preserve">, </w:t>
            </w:r>
            <w:r w:rsidRPr="003E774D">
              <w:rPr>
                <w:rFonts w:ascii="Times New Roman" w:hAnsi="Times New Roman"/>
              </w:rPr>
              <w:t xml:space="preserve">y en otros </w:t>
            </w:r>
            <w:r w:rsidR="00C53993" w:rsidRPr="003E774D">
              <w:rPr>
                <w:rFonts w:ascii="Times New Roman" w:hAnsi="Times New Roman"/>
              </w:rPr>
              <w:t xml:space="preserve">, con carácter complementario; </w:t>
            </w:r>
            <w:r w:rsidRPr="003E774D">
              <w:rPr>
                <w:rFonts w:ascii="Times New Roman" w:hAnsi="Times New Roman"/>
              </w:rPr>
              <w:t xml:space="preserve"> los cuales</w:t>
            </w:r>
            <w:r w:rsidR="00C53993" w:rsidRPr="003E774D">
              <w:rPr>
                <w:rFonts w:ascii="Times New Roman" w:hAnsi="Times New Roman"/>
              </w:rPr>
              <w:t xml:space="preserve">, </w:t>
            </w:r>
            <w:r w:rsidRPr="003E774D">
              <w:rPr>
                <w:rFonts w:ascii="Times New Roman" w:hAnsi="Times New Roman"/>
              </w:rPr>
              <w:t xml:space="preserve"> aportan a la minimización de los riesgos de actividades criticas del proceso tales como  las siguientes herramientas en Excel: </w:t>
            </w:r>
            <w:r w:rsidRPr="003E774D">
              <w:rPr>
                <w:rFonts w:ascii="Times New Roman" w:hAnsi="Times New Roman"/>
                <w:i/>
              </w:rPr>
              <w:t>(Gastos generales / Dirección Financiera, Control para la Proyección del presupuesto, Seguimiento de ejecución de contratos por vigencia /DRFSG  y el control de ejecución del contrato de suministro integral del servicio de aseo y cafetería/DRFSG).</w:t>
            </w:r>
            <w:r w:rsidR="00C15988" w:rsidRPr="003E774D">
              <w:rPr>
                <w:rFonts w:ascii="Times New Roman" w:hAnsi="Times New Roman"/>
                <w:i/>
              </w:rPr>
              <w:t xml:space="preserve"> </w:t>
            </w:r>
            <w:r w:rsidRPr="003E774D">
              <w:rPr>
                <w:rFonts w:ascii="Times New Roman" w:hAnsi="Times New Roman"/>
              </w:rPr>
              <w:t>Frente a la gestión de los riesgos, se encuentra que en lo corrido de la vigencia 2017, el proceso ha dado cumplimiento a las estrategias establecidas en la Política de Administración del Riesgo, a nivel de proceso institucional, así como, con la identificación y formulación de 1 riesgo de corrupción.</w:t>
            </w:r>
            <w:r w:rsidR="00C15988" w:rsidRPr="003E774D">
              <w:rPr>
                <w:rFonts w:ascii="Times New Roman" w:hAnsi="Times New Roman"/>
              </w:rPr>
              <w:t xml:space="preserve"> </w:t>
            </w:r>
            <w:r w:rsidR="00C53993" w:rsidRPr="003E774D">
              <w:rPr>
                <w:rFonts w:ascii="Times New Roman" w:hAnsi="Times New Roman"/>
              </w:rPr>
              <w:t>Se</w:t>
            </w:r>
            <w:r w:rsidRPr="003E774D">
              <w:rPr>
                <w:rFonts w:ascii="Times New Roman" w:hAnsi="Times New Roman"/>
              </w:rPr>
              <w:t xml:space="preserve"> observó la inclusión</w:t>
            </w:r>
            <w:r w:rsidR="00C53993" w:rsidRPr="003E774D">
              <w:rPr>
                <w:rFonts w:ascii="Times New Roman" w:hAnsi="Times New Roman"/>
              </w:rPr>
              <w:t xml:space="preserve"> en los diferentes expedientes </w:t>
            </w:r>
            <w:r w:rsidRPr="003E774D">
              <w:rPr>
                <w:rFonts w:ascii="Times New Roman" w:hAnsi="Times New Roman"/>
              </w:rPr>
              <w:t>de la documentación soporte de los procesos pre-contractuales y contractuales, los cuales fueron realizados de conformidad con las exigencias del procedimiento de contratación de la SDP, ya que se encontró que contaban con documentos esenciales como; términos de referencia, convocatoria, publicación, modalidad, tipo de contrato, selección contratista, adjudicación, disponibilidad presupuestal</w:t>
            </w:r>
            <w:r w:rsidR="00C53993" w:rsidRPr="003E774D">
              <w:rPr>
                <w:rFonts w:ascii="Times New Roman" w:hAnsi="Times New Roman"/>
              </w:rPr>
              <w:t>,</w:t>
            </w:r>
            <w:r w:rsidRPr="003E774D">
              <w:rPr>
                <w:rFonts w:ascii="Times New Roman" w:hAnsi="Times New Roman"/>
              </w:rPr>
              <w:t xml:space="preserve"> entre otros.</w:t>
            </w:r>
          </w:p>
          <w:p w:rsidR="00C15988" w:rsidRDefault="00B054AB" w:rsidP="00D409D1">
            <w:pPr>
              <w:ind w:left="738"/>
              <w:jc w:val="both"/>
              <w:rPr>
                <w:rFonts w:ascii="Times New Roman" w:hAnsi="Times New Roman"/>
                <w:sz w:val="22"/>
                <w:szCs w:val="22"/>
              </w:rPr>
            </w:pPr>
            <w:r w:rsidRPr="003E774D">
              <w:rPr>
                <w:rFonts w:ascii="Times New Roman" w:hAnsi="Times New Roman"/>
                <w:sz w:val="22"/>
                <w:szCs w:val="22"/>
              </w:rPr>
              <w:t>En la revisión documental</w:t>
            </w:r>
            <w:r w:rsidR="00C53993" w:rsidRPr="003E774D">
              <w:rPr>
                <w:rFonts w:ascii="Times New Roman" w:hAnsi="Times New Roman"/>
                <w:sz w:val="22"/>
                <w:szCs w:val="22"/>
              </w:rPr>
              <w:t xml:space="preserve"> </w:t>
            </w:r>
            <w:r w:rsidRPr="003E774D">
              <w:rPr>
                <w:rFonts w:ascii="Times New Roman" w:hAnsi="Times New Roman"/>
                <w:sz w:val="22"/>
                <w:szCs w:val="22"/>
              </w:rPr>
              <w:t xml:space="preserve">, se encontró que los procedimientos; A-PD-120 </w:t>
            </w:r>
            <w:r w:rsidRPr="003E774D">
              <w:rPr>
                <w:rFonts w:ascii="Times New Roman" w:hAnsi="Times New Roman"/>
                <w:i/>
                <w:sz w:val="22"/>
                <w:szCs w:val="22"/>
              </w:rPr>
              <w:t>GESTIÓN DEL PLAN DE CONTRATACION</w:t>
            </w:r>
            <w:r w:rsidRPr="003E774D">
              <w:rPr>
                <w:rFonts w:ascii="Times New Roman" w:hAnsi="Times New Roman"/>
                <w:sz w:val="22"/>
                <w:szCs w:val="22"/>
              </w:rPr>
              <w:t xml:space="preserve"> y A-PD-044 ELABORACION Y APROBACION DEL PRESUPUESTO DE LA SDP, no han sido actualizados, de acuerdo a la solicitud de actualización de documentos (Memorando 3-2016-01148).</w:t>
            </w:r>
            <w:r w:rsidR="00C53993" w:rsidRPr="003E774D">
              <w:rPr>
                <w:rFonts w:ascii="Times New Roman" w:hAnsi="Times New Roman"/>
                <w:sz w:val="22"/>
                <w:szCs w:val="22"/>
              </w:rPr>
              <w:t xml:space="preserve"> Así mismo, s</w:t>
            </w:r>
            <w:r w:rsidRPr="003E774D">
              <w:rPr>
                <w:rFonts w:ascii="Times New Roman" w:hAnsi="Times New Roman"/>
                <w:sz w:val="22"/>
                <w:szCs w:val="22"/>
              </w:rPr>
              <w:t xml:space="preserve">e observó que no se tiene identificada la función de </w:t>
            </w:r>
            <w:r w:rsidRPr="003E774D">
              <w:rPr>
                <w:rFonts w:ascii="Times New Roman" w:hAnsi="Times New Roman"/>
                <w:i/>
                <w:sz w:val="22"/>
                <w:szCs w:val="22"/>
              </w:rPr>
              <w:t xml:space="preserve">“Elaborar y ejecutar el programa anual de compras </w:t>
            </w:r>
            <w:r w:rsidR="00C53993" w:rsidRPr="003E774D">
              <w:rPr>
                <w:rFonts w:ascii="Times New Roman" w:hAnsi="Times New Roman"/>
                <w:i/>
                <w:sz w:val="22"/>
                <w:szCs w:val="22"/>
              </w:rPr>
              <w:t>y adquisiciones de la entidad “</w:t>
            </w:r>
            <w:r w:rsidRPr="003E774D">
              <w:rPr>
                <w:rFonts w:ascii="Times New Roman" w:hAnsi="Times New Roman"/>
                <w:sz w:val="22"/>
                <w:szCs w:val="22"/>
              </w:rPr>
              <w:t>en el objetivo del proceso ni en las actividades del ciclo PHVA, por lo que tampoco se registran riesgos ni controles formales</w:t>
            </w:r>
            <w:r w:rsidR="00C53993" w:rsidRPr="003E774D">
              <w:rPr>
                <w:rFonts w:ascii="Times New Roman" w:hAnsi="Times New Roman"/>
                <w:sz w:val="22"/>
                <w:szCs w:val="22"/>
              </w:rPr>
              <w:t xml:space="preserve"> para tales actividades</w:t>
            </w:r>
            <w:r w:rsidRPr="003E774D">
              <w:rPr>
                <w:rFonts w:ascii="Times New Roman" w:hAnsi="Times New Roman"/>
                <w:sz w:val="22"/>
                <w:szCs w:val="22"/>
              </w:rPr>
              <w:t xml:space="preserve">; razón por </w:t>
            </w:r>
            <w:r w:rsidRPr="003E774D">
              <w:rPr>
                <w:rFonts w:ascii="Times New Roman" w:hAnsi="Times New Roman"/>
                <w:sz w:val="22"/>
                <w:szCs w:val="22"/>
              </w:rPr>
              <w:lastRenderedPageBreak/>
              <w:t>la cual,  se recomienda realizar las acciones a lugar, con el fin de ajustar, incluir y/o complementar la información relevante del proceso en los documentos correspondientes.</w:t>
            </w:r>
            <w:r w:rsidR="00C15988" w:rsidRPr="003E774D">
              <w:rPr>
                <w:rFonts w:ascii="Times New Roman" w:hAnsi="Times New Roman"/>
                <w:sz w:val="22"/>
                <w:szCs w:val="22"/>
              </w:rPr>
              <w:t xml:space="preserve"> No obstante que el cumplimiento del objetivo  del proceso “</w:t>
            </w:r>
            <w:r w:rsidR="00C15988" w:rsidRPr="003E774D">
              <w:rPr>
                <w:rFonts w:ascii="Times New Roman" w:eastAsiaTheme="minorHAnsi" w:hAnsi="Times New Roman"/>
                <w:i/>
                <w:sz w:val="22"/>
                <w:szCs w:val="22"/>
              </w:rPr>
              <w:t>Prestar los servicios de apoyo logístico, de infraestructura física y control de inventarios para garantizar el efectivo funcionamiento de la entidad</w:t>
            </w:r>
            <w:r w:rsidR="00C15988" w:rsidRPr="003E774D">
              <w:rPr>
                <w:rFonts w:ascii="Times New Roman" w:hAnsi="Times New Roman"/>
                <w:sz w:val="22"/>
                <w:szCs w:val="22"/>
              </w:rPr>
              <w:t xml:space="preserve">” ,  está encaminado a apoyar  el normal funcionamiento de la SDP , y se </w:t>
            </w:r>
            <w:proofErr w:type="spellStart"/>
            <w:r w:rsidR="00C15988" w:rsidRPr="003E774D">
              <w:rPr>
                <w:rFonts w:ascii="Times New Roman" w:hAnsi="Times New Roman"/>
                <w:sz w:val="22"/>
                <w:szCs w:val="22"/>
              </w:rPr>
              <w:t>operativiza</w:t>
            </w:r>
            <w:proofErr w:type="spellEnd"/>
            <w:r w:rsidR="00C15988" w:rsidRPr="003E774D">
              <w:rPr>
                <w:rFonts w:ascii="Times New Roman" w:hAnsi="Times New Roman"/>
                <w:sz w:val="22"/>
                <w:szCs w:val="22"/>
              </w:rPr>
              <w:t>, en buena parte, a través de los Recursos de Funcionamiento,  altamente significativos, su plan de acción no se encuentra recogido en el POA del proceso y en consecuencia no es objeto de monitoreo, seguimiento y/o medición de los logros obtenidos</w:t>
            </w:r>
            <w:r w:rsidR="00C53993" w:rsidRPr="003E774D">
              <w:rPr>
                <w:rFonts w:ascii="Times New Roman" w:hAnsi="Times New Roman"/>
                <w:sz w:val="22"/>
                <w:szCs w:val="22"/>
              </w:rPr>
              <w:t>.</w:t>
            </w:r>
            <w:r w:rsidR="00C15988" w:rsidRPr="003E774D">
              <w:rPr>
                <w:rFonts w:ascii="Times New Roman" w:hAnsi="Times New Roman"/>
                <w:sz w:val="22"/>
                <w:szCs w:val="22"/>
              </w:rPr>
              <w:t xml:space="preserve"> De la Gestión  del Proceso frente a los Recursos de Inversión y Funcionamiento, en el  contrato para la prestación del servicio integral de fotocopiado (174/2016 y 177/2017 - COPYMAS SA.S), se detectó que  los servicios que se solicitan a través de órdenes de trabajo no se les está haciendo la debida validación, ya que dichas ordenes aunque firmadas por el responsable del área se encuentran con enmendaduras, lo cual no permite establecer si en realidad el servicio solicitado y firmado correspondía al número real o es una actividad que presenta mal manejo bien sea por el funcionario intermediario de la solicitud o del prestador del servicio, por lo que la OCI recomienda, generar una circular tanto al interior de la entidad como comunicación al prestador de servicio donde se indique que las ordenes que se encuentren en estas condiciones no deben procesarse, y/o utilizar una marca de seguridad o referencia que permita invalidar las casillas restantes desocupadas dentro de la misma orden, para evitar diligenciamientos posteriores.</w:t>
            </w:r>
          </w:p>
          <w:p w:rsidR="00D409D1" w:rsidRPr="003E774D" w:rsidRDefault="00D409D1" w:rsidP="00D409D1">
            <w:pPr>
              <w:ind w:left="738"/>
              <w:jc w:val="both"/>
              <w:rPr>
                <w:rFonts w:ascii="Times New Roman" w:hAnsi="Times New Roman"/>
                <w:sz w:val="22"/>
                <w:szCs w:val="22"/>
              </w:rPr>
            </w:pPr>
          </w:p>
          <w:p w:rsidR="00C412C3" w:rsidRDefault="00C15988" w:rsidP="00D409D1">
            <w:pPr>
              <w:pStyle w:val="Prrafodelista"/>
              <w:spacing w:after="0" w:line="240" w:lineRule="auto"/>
              <w:ind w:left="738"/>
              <w:jc w:val="both"/>
              <w:rPr>
                <w:rFonts w:ascii="Times New Roman" w:hAnsi="Times New Roman"/>
                <w:lang w:eastAsia="es-CO"/>
              </w:rPr>
            </w:pPr>
            <w:r w:rsidRPr="003E774D">
              <w:rPr>
                <w:rFonts w:ascii="Times New Roman" w:hAnsi="Times New Roman"/>
              </w:rPr>
              <w:t>-</w:t>
            </w:r>
            <w:r w:rsidRPr="003E774D">
              <w:rPr>
                <w:rFonts w:ascii="Times New Roman" w:hAnsi="Times New Roman"/>
                <w:b/>
                <w:i/>
              </w:rPr>
              <w:t xml:space="preserve">Informe de Auditoría   al </w:t>
            </w:r>
            <w:r w:rsidR="00C85489">
              <w:rPr>
                <w:rFonts w:ascii="Times New Roman" w:hAnsi="Times New Roman"/>
                <w:b/>
                <w:i/>
              </w:rPr>
              <w:t>P</w:t>
            </w:r>
            <w:r w:rsidRPr="003E774D">
              <w:rPr>
                <w:rFonts w:ascii="Times New Roman" w:hAnsi="Times New Roman"/>
                <w:b/>
                <w:i/>
              </w:rPr>
              <w:t xml:space="preserve">roceso de Gestión Documental. </w:t>
            </w:r>
            <w:r w:rsidR="00A563FF" w:rsidRPr="003E774D">
              <w:rPr>
                <w:rFonts w:ascii="Times New Roman" w:hAnsi="Times New Roman"/>
                <w:lang w:val="es-ES"/>
              </w:rPr>
              <w:t xml:space="preserve">Frente a la gestión de los riesgos, se encuentra que en lo corrido de la vigencia 2017, el proceso dio cumplimiento a las estrategias establecidas en la Política de Administración del Riesgo, a nivel de proceso institucional, así como, con la identificación y formulación de 1 riesgo de corrupción. </w:t>
            </w:r>
            <w:r w:rsidR="00A563FF" w:rsidRPr="003E774D">
              <w:rPr>
                <w:rFonts w:ascii="Times New Roman" w:hAnsi="Times New Roman"/>
              </w:rPr>
              <w:t>Frente al riesgo de corrupción “</w:t>
            </w:r>
            <w:r w:rsidR="00A563FF" w:rsidRPr="003E774D">
              <w:rPr>
                <w:rFonts w:ascii="Times New Roman" w:hAnsi="Times New Roman"/>
                <w:b/>
              </w:rPr>
              <w:t xml:space="preserve">Adulteración o sustracción de la documentación custodiada por la Dirección de Recursos Físicos y Gestión Documental por parte de un servidor público”, </w:t>
            </w:r>
            <w:r w:rsidR="00A563FF" w:rsidRPr="003E774D">
              <w:rPr>
                <w:rFonts w:ascii="Times New Roman" w:hAnsi="Times New Roman"/>
              </w:rPr>
              <w:t>la OCI</w:t>
            </w:r>
            <w:r w:rsidR="00A563FF" w:rsidRPr="003E774D">
              <w:rPr>
                <w:rFonts w:ascii="Times New Roman" w:hAnsi="Times New Roman"/>
                <w:b/>
              </w:rPr>
              <w:t xml:space="preserve"> </w:t>
            </w:r>
            <w:r w:rsidR="00A563FF" w:rsidRPr="003E774D">
              <w:rPr>
                <w:rFonts w:ascii="Times New Roman" w:hAnsi="Times New Roman"/>
              </w:rPr>
              <w:t>identificó  que, frente a este riesgo, en la vigencia 2017,</w:t>
            </w:r>
            <w:r w:rsidR="00A563FF" w:rsidRPr="003E774D">
              <w:rPr>
                <w:rFonts w:ascii="Times New Roman" w:hAnsi="Times New Roman"/>
                <w:b/>
              </w:rPr>
              <w:t xml:space="preserve"> se abrieron 2 procesos (</w:t>
            </w:r>
            <w:r w:rsidR="00A563FF" w:rsidRPr="003E774D">
              <w:rPr>
                <w:rFonts w:ascii="Times New Roman" w:hAnsi="Times New Roman"/>
                <w:lang w:val="es-ES"/>
              </w:rPr>
              <w:t xml:space="preserve">01-17 y 8-17.), uno de los cuales se encuentra cerrado y otro en etapa de investigación, y según lo analizado por el equipo auditor, permite confirmar que la valoración del riesgo efectuada por el proceso es adecuada. De igual forma, se verifico que el proceso de Gestión Documental y Control Interno Disciplinario adelantan acciones de mejora independientes para de evitar la materialización del riesgo. El proceso tiene </w:t>
            </w:r>
            <w:r w:rsidR="00A563FF" w:rsidRPr="003E774D">
              <w:rPr>
                <w:rFonts w:ascii="Times New Roman" w:hAnsi="Times New Roman"/>
                <w:color w:val="222222"/>
                <w:lang w:eastAsia="es-CO"/>
              </w:rPr>
              <w:t>claro los criterios, parámetros archivísticos y documentales establecidos en la</w:t>
            </w:r>
            <w:r w:rsidR="00D023E6" w:rsidRPr="003E774D">
              <w:rPr>
                <w:rFonts w:ascii="Times New Roman" w:hAnsi="Times New Roman"/>
                <w:color w:val="222222"/>
                <w:lang w:eastAsia="es-CO"/>
              </w:rPr>
              <w:t xml:space="preserve"> Política de Gestión Documental; </w:t>
            </w:r>
            <w:r w:rsidR="00A563FF" w:rsidRPr="003E774D">
              <w:rPr>
                <w:rFonts w:ascii="Times New Roman" w:hAnsi="Times New Roman"/>
                <w:color w:val="222222"/>
                <w:lang w:eastAsia="es-CO"/>
              </w:rPr>
              <w:t xml:space="preserve"> además</w:t>
            </w:r>
            <w:r w:rsidR="00D023E6" w:rsidRPr="003E774D">
              <w:rPr>
                <w:rFonts w:ascii="Times New Roman" w:hAnsi="Times New Roman"/>
                <w:color w:val="222222"/>
                <w:lang w:eastAsia="es-CO"/>
              </w:rPr>
              <w:t xml:space="preserve">, </w:t>
            </w:r>
            <w:r w:rsidR="00A563FF" w:rsidRPr="003E774D">
              <w:rPr>
                <w:rFonts w:ascii="Times New Roman" w:hAnsi="Times New Roman"/>
                <w:color w:val="222222"/>
                <w:lang w:eastAsia="es-CO"/>
              </w:rPr>
              <w:t xml:space="preserve"> con las actividades que se programan relacionadas con la prevención de la gestión documental, se orienta a una adecuada conservación y salvaguarda de la documentación de la entidad.      </w:t>
            </w:r>
            <w:r w:rsidR="00A563FF" w:rsidRPr="003E774D">
              <w:rPr>
                <w:rFonts w:ascii="Times New Roman" w:hAnsi="Times New Roman"/>
              </w:rPr>
              <w:t>El proceso,</w:t>
            </w:r>
            <w:r w:rsidR="00D023E6" w:rsidRPr="003E774D">
              <w:rPr>
                <w:rFonts w:ascii="Times New Roman" w:hAnsi="Times New Roman"/>
              </w:rPr>
              <w:t xml:space="preserve"> generó Planes de Mejoramiento </w:t>
            </w:r>
            <w:r w:rsidR="00A563FF" w:rsidRPr="003E774D">
              <w:rPr>
                <w:rFonts w:ascii="Times New Roman" w:hAnsi="Times New Roman"/>
              </w:rPr>
              <w:t xml:space="preserve">los cuales guardan relación y son consecuentes con la mitigación de las causas de los riesgos identificados. Se observa al proceso que  de </w:t>
            </w:r>
            <w:r w:rsidR="00A563FF" w:rsidRPr="003E774D">
              <w:rPr>
                <w:rFonts w:ascii="Times New Roman" w:hAnsi="Times New Roman"/>
                <w:lang w:eastAsia="es-CO"/>
              </w:rPr>
              <w:t xml:space="preserve"> la revisión efectuada a los 4 riesgos del proceso Gestión Documental, no fue posible adelantar un análisis y evaluación objetiva, como quiera que las actividades de control relacionadas no cumplen con las condiciones mínimas requeridas en cuanto a documentación, registro y aplicación que permitan verificar la efectividad de los mismos. En consecuencia, no fue posible aceptar o rechazar la matriz de  </w:t>
            </w:r>
            <w:r w:rsidR="00A563FF" w:rsidRPr="003E774D">
              <w:rPr>
                <w:rFonts w:ascii="Times New Roman" w:hAnsi="Times New Roman"/>
                <w:b/>
                <w:lang w:eastAsia="es-CO"/>
              </w:rPr>
              <w:t>riesgo residual</w:t>
            </w:r>
            <w:r w:rsidR="00A563FF" w:rsidRPr="003E774D">
              <w:rPr>
                <w:rFonts w:ascii="Times New Roman" w:hAnsi="Times New Roman"/>
                <w:lang w:eastAsia="es-CO"/>
              </w:rPr>
              <w:t xml:space="preserve"> </w:t>
            </w:r>
            <w:r w:rsidR="00D023E6" w:rsidRPr="003E774D">
              <w:rPr>
                <w:rFonts w:ascii="Times New Roman" w:hAnsi="Times New Roman"/>
                <w:lang w:eastAsia="es-CO"/>
              </w:rPr>
              <w:t>valorada por el proceso.</w:t>
            </w:r>
          </w:p>
          <w:p w:rsidR="00D409D1" w:rsidRPr="003E774D" w:rsidRDefault="00D409D1" w:rsidP="00D409D1">
            <w:pPr>
              <w:pStyle w:val="Prrafodelista"/>
              <w:spacing w:after="0" w:line="240" w:lineRule="auto"/>
              <w:ind w:left="738"/>
              <w:jc w:val="both"/>
              <w:rPr>
                <w:rFonts w:ascii="Times New Roman" w:hAnsi="Times New Roman"/>
                <w:lang w:val="es-ES"/>
              </w:rPr>
            </w:pPr>
          </w:p>
          <w:p w:rsidR="007F08A3" w:rsidRPr="003E774D" w:rsidRDefault="007F08A3" w:rsidP="00D409D1">
            <w:pPr>
              <w:widowControl w:val="0"/>
              <w:ind w:left="738" w:hanging="284"/>
              <w:jc w:val="both"/>
              <w:rPr>
                <w:rFonts w:ascii="Times New Roman" w:hAnsi="Times New Roman"/>
                <w:sz w:val="22"/>
                <w:szCs w:val="22"/>
              </w:rPr>
            </w:pPr>
            <w:r w:rsidRPr="003E774D">
              <w:rPr>
                <w:rFonts w:ascii="Times New Roman" w:hAnsi="Times New Roman"/>
                <w:b/>
                <w:i/>
                <w:sz w:val="22"/>
                <w:szCs w:val="22"/>
              </w:rPr>
              <w:t xml:space="preserve">     </w:t>
            </w:r>
            <w:r w:rsidR="00267BCD" w:rsidRPr="003E774D">
              <w:rPr>
                <w:rFonts w:ascii="Times New Roman" w:hAnsi="Times New Roman"/>
                <w:b/>
                <w:i/>
                <w:sz w:val="22"/>
                <w:szCs w:val="22"/>
              </w:rPr>
              <w:t xml:space="preserve">-Informe de Auditoría al </w:t>
            </w:r>
            <w:r w:rsidR="00D409D1">
              <w:rPr>
                <w:rFonts w:ascii="Times New Roman" w:hAnsi="Times New Roman"/>
                <w:b/>
                <w:i/>
                <w:sz w:val="22"/>
                <w:szCs w:val="22"/>
              </w:rPr>
              <w:t>P</w:t>
            </w:r>
            <w:r w:rsidR="00267BCD" w:rsidRPr="003E774D">
              <w:rPr>
                <w:rFonts w:ascii="Times New Roman" w:hAnsi="Times New Roman"/>
                <w:b/>
                <w:i/>
                <w:sz w:val="22"/>
                <w:szCs w:val="22"/>
              </w:rPr>
              <w:t xml:space="preserve">roceso de </w:t>
            </w:r>
            <w:r w:rsidR="00D409D1">
              <w:rPr>
                <w:rFonts w:ascii="Times New Roman" w:hAnsi="Times New Roman"/>
                <w:b/>
                <w:i/>
                <w:sz w:val="22"/>
                <w:szCs w:val="22"/>
              </w:rPr>
              <w:t>R</w:t>
            </w:r>
            <w:r w:rsidR="00267BCD" w:rsidRPr="003E774D">
              <w:rPr>
                <w:rFonts w:ascii="Times New Roman" w:hAnsi="Times New Roman"/>
                <w:b/>
                <w:i/>
                <w:sz w:val="22"/>
                <w:szCs w:val="22"/>
              </w:rPr>
              <w:t xml:space="preserve">ecursos </w:t>
            </w:r>
            <w:r w:rsidR="00D409D1">
              <w:rPr>
                <w:rFonts w:ascii="Times New Roman" w:hAnsi="Times New Roman"/>
                <w:b/>
                <w:i/>
                <w:sz w:val="22"/>
                <w:szCs w:val="22"/>
              </w:rPr>
              <w:t>F</w:t>
            </w:r>
            <w:r w:rsidR="00267BCD" w:rsidRPr="003E774D">
              <w:rPr>
                <w:rFonts w:ascii="Times New Roman" w:hAnsi="Times New Roman"/>
                <w:b/>
                <w:i/>
                <w:sz w:val="22"/>
                <w:szCs w:val="22"/>
              </w:rPr>
              <w:t>inancieros.</w:t>
            </w:r>
            <w:r w:rsidR="00D409D1">
              <w:rPr>
                <w:rFonts w:ascii="Times New Roman" w:hAnsi="Times New Roman"/>
                <w:b/>
                <w:i/>
                <w:sz w:val="22"/>
                <w:szCs w:val="22"/>
              </w:rPr>
              <w:t xml:space="preserve"> </w:t>
            </w:r>
            <w:r w:rsidRPr="003E774D">
              <w:rPr>
                <w:rFonts w:ascii="Times New Roman" w:hAnsi="Times New Roman"/>
                <w:sz w:val="22"/>
                <w:szCs w:val="22"/>
              </w:rPr>
              <w:t>La adopción del módulo LIMAY permite una mayor integración con los demás aplicativos manejados en el sistema SI CAPITAL tales como OPGET, PREDIS, SAE – SAI, PREDIS. Se ha configurado en una oportunidad para la actualización de los procedimientos de la Dirección de Gestión Financiera y la implementación de las NICSP. Se ha avanzado en el levantamiento del mapa de riesgos de la DGF, no obstante, es un proceso en mejora continua, fundamentado en el levantamiento de procedimientos de las principales actividades a cargo de la DGF.</w:t>
            </w:r>
            <w:r w:rsidR="00D023E6" w:rsidRPr="003E774D">
              <w:rPr>
                <w:rFonts w:ascii="Times New Roman" w:hAnsi="Times New Roman"/>
                <w:sz w:val="22"/>
                <w:szCs w:val="22"/>
              </w:rPr>
              <w:t xml:space="preserve"> </w:t>
            </w:r>
            <w:r w:rsidRPr="003E774D">
              <w:rPr>
                <w:rFonts w:ascii="Times New Roman" w:hAnsi="Times New Roman"/>
                <w:sz w:val="22"/>
                <w:szCs w:val="22"/>
              </w:rPr>
              <w:t xml:space="preserve">El Manual de Políticas </w:t>
            </w:r>
            <w:r w:rsidRPr="003E774D">
              <w:rPr>
                <w:rFonts w:ascii="Times New Roman" w:hAnsi="Times New Roman"/>
                <w:sz w:val="22"/>
                <w:szCs w:val="22"/>
              </w:rPr>
              <w:lastRenderedPageBreak/>
              <w:t>Contables - A-IN-0</w:t>
            </w:r>
            <w:r w:rsidR="00D023E6" w:rsidRPr="003E774D">
              <w:rPr>
                <w:rFonts w:ascii="Times New Roman" w:hAnsi="Times New Roman"/>
                <w:sz w:val="22"/>
                <w:szCs w:val="22"/>
              </w:rPr>
              <w:t xml:space="preserve">21 es un referente importante </w:t>
            </w:r>
            <w:r w:rsidRPr="003E774D">
              <w:rPr>
                <w:rFonts w:ascii="Times New Roman" w:hAnsi="Times New Roman"/>
                <w:sz w:val="22"/>
                <w:szCs w:val="22"/>
              </w:rPr>
              <w:t xml:space="preserve"> de la normatividad atinente a contabilidad pública, que debe ser divulgado a todas</w:t>
            </w:r>
            <w:r w:rsidR="00D023E6" w:rsidRPr="003E774D">
              <w:rPr>
                <w:rFonts w:ascii="Times New Roman" w:hAnsi="Times New Roman"/>
                <w:sz w:val="22"/>
                <w:szCs w:val="22"/>
              </w:rPr>
              <w:t xml:space="preserve"> dependencias  proveedoras de información  de la</w:t>
            </w:r>
            <w:r w:rsidRPr="003E774D">
              <w:rPr>
                <w:rFonts w:ascii="Times New Roman" w:hAnsi="Times New Roman"/>
                <w:sz w:val="22"/>
                <w:szCs w:val="22"/>
              </w:rPr>
              <w:t xml:space="preserve"> SDP para su aplicación en  los ámbitos relacionados con el registro contable de las operaciones de la entidad.</w:t>
            </w:r>
            <w:r w:rsidR="00D023E6" w:rsidRPr="003E774D">
              <w:rPr>
                <w:rFonts w:ascii="Times New Roman" w:hAnsi="Times New Roman"/>
                <w:sz w:val="22"/>
                <w:szCs w:val="22"/>
              </w:rPr>
              <w:t xml:space="preserve"> </w:t>
            </w:r>
            <w:r w:rsidRPr="003E774D">
              <w:rPr>
                <w:rFonts w:ascii="Times New Roman" w:hAnsi="Times New Roman"/>
                <w:sz w:val="22"/>
                <w:szCs w:val="22"/>
              </w:rPr>
              <w:t xml:space="preserve">En cuanto a las situaciones susceptibles de mejora registradas en la auditoría interna desarrollada en la vigencia 2016, se evidenció que a la fecha de </w:t>
            </w:r>
            <w:r w:rsidR="00D023E6" w:rsidRPr="003E774D">
              <w:rPr>
                <w:rFonts w:ascii="Times New Roman" w:hAnsi="Times New Roman"/>
                <w:sz w:val="22"/>
                <w:szCs w:val="22"/>
              </w:rPr>
              <w:t xml:space="preserve">la </w:t>
            </w:r>
            <w:r w:rsidRPr="003E774D">
              <w:rPr>
                <w:rFonts w:ascii="Times New Roman" w:hAnsi="Times New Roman"/>
                <w:sz w:val="22"/>
                <w:szCs w:val="22"/>
              </w:rPr>
              <w:t>auditoría ya se habían oficializado las Notas a los Estados Financieros de la vigencia 2016. Adicionalmente, referente al recaudo de recursos adeudados por concepto de incapacidades y licencias, se ha avanzado en la gestión logrando recuperar recursos.</w:t>
            </w:r>
            <w:r w:rsidR="00A563FF" w:rsidRPr="003E774D">
              <w:rPr>
                <w:rFonts w:ascii="Times New Roman" w:hAnsi="Times New Roman"/>
                <w:sz w:val="22"/>
                <w:szCs w:val="22"/>
              </w:rPr>
              <w:t xml:space="preserve"> Ahora, bien, pese </w:t>
            </w:r>
            <w:r w:rsidR="00A563FF" w:rsidRPr="003E774D">
              <w:rPr>
                <w:rFonts w:ascii="Times New Roman" w:hAnsi="Times New Roman"/>
                <w:sz w:val="22"/>
                <w:szCs w:val="22"/>
                <w:lang w:eastAsia="es-CO"/>
              </w:rPr>
              <w:t xml:space="preserve"> a que fue una situación de mejora establecida en auditoría interna desarrollada en 2016 al proceso de administración de recursos financieros, al corte de junio de 2017 aún se evidencian casos en los cuales los gastos de viáticos no son legalizados en el tiempo establecido, por lo que 2 de las 4 comisiones registradas a este cierre, corresponden a los meses de marzo y mayo de 2017. El  Registro en la cuenta 1424 Recursos Entregados en Administración del pago efectuado en cumplimiento del Contrato Interadministrativo 374 de 2016, que no corresponde a la naturaleza de la cuenta; Lo anterior,  en atención a que, a diferencia de los convenios interadministrativos, los contratos interadministrativos no tienen como objeto la realización común de intereses compartidos entre las partes sino una prestación. El  registro de naturaleza crédito del 12 de enero de 2017 por $292.68 millones y $133.66 millones, en el grupo 16 – Propiedad, Planta y Equipo, debió efectuarse al cierre de la vigencia 2016, al referirse al registro de bajas de almacén reglamentado en el artículo 1 de la Resolución 1869 del 26 de diciembre de 2016. No obstante, la DGF requirió a la DRFGD, esta acción no se realizó oportunamente antes del cierre de la vigencia 2016.</w:t>
            </w:r>
          </w:p>
          <w:p w:rsidR="007F08A3" w:rsidRPr="003E774D" w:rsidRDefault="007F08A3" w:rsidP="007F08A3">
            <w:pPr>
              <w:widowControl w:val="0"/>
              <w:rPr>
                <w:rFonts w:ascii="Times New Roman" w:hAnsi="Times New Roman"/>
                <w:sz w:val="22"/>
                <w:szCs w:val="22"/>
              </w:rPr>
            </w:pPr>
          </w:p>
          <w:p w:rsidR="007F08A3" w:rsidRDefault="007F08A3" w:rsidP="00D409D1">
            <w:pPr>
              <w:tabs>
                <w:tab w:val="left" w:pos="7560"/>
              </w:tabs>
              <w:ind w:left="738"/>
              <w:jc w:val="both"/>
              <w:rPr>
                <w:rFonts w:ascii="Times New Roman" w:hAnsi="Times New Roman"/>
                <w:sz w:val="22"/>
                <w:szCs w:val="22"/>
                <w:lang w:val="es-CO" w:eastAsia="en-US"/>
              </w:rPr>
            </w:pPr>
            <w:r w:rsidRPr="003E774D">
              <w:rPr>
                <w:rFonts w:ascii="Times New Roman" w:hAnsi="Times New Roman"/>
                <w:sz w:val="22"/>
                <w:szCs w:val="22"/>
              </w:rPr>
              <w:t>-</w:t>
            </w:r>
            <w:r w:rsidRPr="003E774D">
              <w:rPr>
                <w:rFonts w:ascii="Times New Roman" w:hAnsi="Times New Roman"/>
                <w:b/>
                <w:i/>
                <w:sz w:val="22"/>
                <w:szCs w:val="22"/>
              </w:rPr>
              <w:t>Informe de</w:t>
            </w:r>
            <w:r w:rsidR="004E5C1B" w:rsidRPr="003E774D">
              <w:rPr>
                <w:rFonts w:ascii="Times New Roman" w:hAnsi="Times New Roman"/>
                <w:b/>
                <w:i/>
                <w:sz w:val="22"/>
                <w:szCs w:val="22"/>
              </w:rPr>
              <w:t xml:space="preserve"> </w:t>
            </w:r>
            <w:r w:rsidR="00C85489">
              <w:rPr>
                <w:rFonts w:ascii="Times New Roman" w:hAnsi="Times New Roman"/>
                <w:b/>
                <w:i/>
                <w:sz w:val="22"/>
                <w:szCs w:val="22"/>
              </w:rPr>
              <w:t>S</w:t>
            </w:r>
            <w:r w:rsidR="004E5C1B" w:rsidRPr="003E774D">
              <w:rPr>
                <w:rFonts w:ascii="Times New Roman" w:hAnsi="Times New Roman"/>
                <w:b/>
                <w:i/>
                <w:sz w:val="22"/>
                <w:szCs w:val="22"/>
              </w:rPr>
              <w:t xml:space="preserve">eguimiento  al </w:t>
            </w:r>
            <w:r w:rsidR="00C85489">
              <w:rPr>
                <w:rFonts w:ascii="Times New Roman" w:hAnsi="Times New Roman"/>
                <w:b/>
                <w:i/>
                <w:sz w:val="22"/>
                <w:szCs w:val="22"/>
              </w:rPr>
              <w:t>C</w:t>
            </w:r>
            <w:r w:rsidR="004E5C1B" w:rsidRPr="003E774D">
              <w:rPr>
                <w:rFonts w:ascii="Times New Roman" w:hAnsi="Times New Roman"/>
                <w:b/>
                <w:i/>
                <w:sz w:val="22"/>
                <w:szCs w:val="22"/>
              </w:rPr>
              <w:t xml:space="preserve">umplimiento de los </w:t>
            </w:r>
            <w:r w:rsidR="00C85489">
              <w:rPr>
                <w:rFonts w:ascii="Times New Roman" w:hAnsi="Times New Roman"/>
                <w:b/>
                <w:i/>
                <w:sz w:val="22"/>
                <w:szCs w:val="22"/>
              </w:rPr>
              <w:t>L</w:t>
            </w:r>
            <w:r w:rsidR="004E5C1B" w:rsidRPr="003E774D">
              <w:rPr>
                <w:rFonts w:ascii="Times New Roman" w:hAnsi="Times New Roman"/>
                <w:b/>
                <w:i/>
                <w:sz w:val="22"/>
                <w:szCs w:val="22"/>
              </w:rPr>
              <w:t xml:space="preserve">ineamientos de </w:t>
            </w:r>
            <w:r w:rsidR="00C85489">
              <w:rPr>
                <w:rFonts w:ascii="Times New Roman" w:hAnsi="Times New Roman"/>
                <w:b/>
                <w:i/>
                <w:sz w:val="22"/>
                <w:szCs w:val="22"/>
              </w:rPr>
              <w:t>A</w:t>
            </w:r>
            <w:r w:rsidR="004E5C1B" w:rsidRPr="003E774D">
              <w:rPr>
                <w:rFonts w:ascii="Times New Roman" w:hAnsi="Times New Roman"/>
                <w:b/>
                <w:i/>
                <w:sz w:val="22"/>
                <w:szCs w:val="22"/>
              </w:rPr>
              <w:t>ust</w:t>
            </w:r>
            <w:r w:rsidR="00D023E6" w:rsidRPr="003E774D">
              <w:rPr>
                <w:rFonts w:ascii="Times New Roman" w:hAnsi="Times New Roman"/>
                <w:b/>
                <w:i/>
                <w:sz w:val="22"/>
                <w:szCs w:val="22"/>
              </w:rPr>
              <w:t>e</w:t>
            </w:r>
            <w:r w:rsidR="00B87648" w:rsidRPr="003E774D">
              <w:rPr>
                <w:rFonts w:ascii="Times New Roman" w:hAnsi="Times New Roman"/>
                <w:b/>
                <w:i/>
                <w:sz w:val="22"/>
                <w:szCs w:val="22"/>
              </w:rPr>
              <w:t xml:space="preserve">ridad en el </w:t>
            </w:r>
            <w:r w:rsidR="00C85489">
              <w:rPr>
                <w:rFonts w:ascii="Times New Roman" w:hAnsi="Times New Roman"/>
                <w:b/>
                <w:i/>
                <w:sz w:val="22"/>
                <w:szCs w:val="22"/>
              </w:rPr>
              <w:t>G</w:t>
            </w:r>
            <w:r w:rsidR="00B87648" w:rsidRPr="003E774D">
              <w:rPr>
                <w:rFonts w:ascii="Times New Roman" w:hAnsi="Times New Roman"/>
                <w:b/>
                <w:i/>
                <w:sz w:val="22"/>
                <w:szCs w:val="22"/>
              </w:rPr>
              <w:t xml:space="preserve">asto, </w:t>
            </w:r>
            <w:r w:rsidRPr="003E774D">
              <w:rPr>
                <w:rFonts w:ascii="Times New Roman" w:hAnsi="Times New Roman"/>
                <w:b/>
                <w:i/>
                <w:sz w:val="22"/>
                <w:szCs w:val="22"/>
              </w:rPr>
              <w:t xml:space="preserve"> periodo</w:t>
            </w:r>
            <w:r w:rsidR="008F3891" w:rsidRPr="003E774D">
              <w:rPr>
                <w:rFonts w:ascii="Times New Roman" w:hAnsi="Times New Roman"/>
                <w:b/>
                <w:i/>
                <w:sz w:val="22"/>
                <w:szCs w:val="22"/>
              </w:rPr>
              <w:t xml:space="preserve"> abr</w:t>
            </w:r>
            <w:r w:rsidR="00D023E6" w:rsidRPr="003E774D">
              <w:rPr>
                <w:rFonts w:ascii="Times New Roman" w:hAnsi="Times New Roman"/>
                <w:b/>
                <w:i/>
                <w:sz w:val="22"/>
                <w:szCs w:val="22"/>
              </w:rPr>
              <w:t>i</w:t>
            </w:r>
            <w:r w:rsidR="00B87648" w:rsidRPr="003E774D">
              <w:rPr>
                <w:rFonts w:ascii="Times New Roman" w:hAnsi="Times New Roman"/>
                <w:b/>
                <w:i/>
                <w:sz w:val="22"/>
                <w:szCs w:val="22"/>
              </w:rPr>
              <w:t>l-</w:t>
            </w:r>
            <w:r w:rsidR="008F3891" w:rsidRPr="003E774D">
              <w:rPr>
                <w:rFonts w:ascii="Times New Roman" w:hAnsi="Times New Roman"/>
                <w:b/>
                <w:i/>
                <w:sz w:val="22"/>
                <w:szCs w:val="22"/>
              </w:rPr>
              <w:t xml:space="preserve"> junio </w:t>
            </w:r>
            <w:r w:rsidR="00D023E6" w:rsidRPr="003E774D">
              <w:rPr>
                <w:rFonts w:ascii="Times New Roman" w:hAnsi="Times New Roman"/>
                <w:b/>
                <w:i/>
                <w:sz w:val="22"/>
                <w:szCs w:val="22"/>
              </w:rPr>
              <w:t>d</w:t>
            </w:r>
            <w:r w:rsidR="008F3891" w:rsidRPr="003E774D">
              <w:rPr>
                <w:rFonts w:ascii="Times New Roman" w:hAnsi="Times New Roman"/>
                <w:b/>
                <w:i/>
                <w:sz w:val="22"/>
                <w:szCs w:val="22"/>
              </w:rPr>
              <w:t xml:space="preserve">e 2017:  </w:t>
            </w:r>
            <w:r w:rsidR="00B87648" w:rsidRPr="003E774D">
              <w:rPr>
                <w:rFonts w:ascii="Times New Roman" w:hAnsi="Times New Roman"/>
                <w:sz w:val="22"/>
                <w:szCs w:val="22"/>
                <w:lang w:val="es-CO" w:eastAsia="en-US"/>
              </w:rPr>
              <w:t>Durante el segundo trimestre del presente año, se mantiene en general el cumplimiento de la ejecución de gastos bajo la premisa de austeridad del gasto público por parte de la SPD, observando las disposiciones legales generales y la reglamentación en  la materia; los gastos en sus diferentes rubros se encuentran debidamente justificados y ejecutados de conformidad a las necesidades propias del funcionamiento y prestación del servicio, los que van acorde</w:t>
            </w:r>
            <w:r w:rsidR="00D023E6" w:rsidRPr="003E774D">
              <w:rPr>
                <w:rFonts w:ascii="Times New Roman" w:hAnsi="Times New Roman"/>
                <w:sz w:val="22"/>
                <w:szCs w:val="22"/>
                <w:lang w:val="es-CO" w:eastAsia="en-US"/>
              </w:rPr>
              <w:t xml:space="preserve"> con</w:t>
            </w:r>
            <w:r w:rsidR="00B87648" w:rsidRPr="003E774D">
              <w:rPr>
                <w:rFonts w:ascii="Times New Roman" w:hAnsi="Times New Roman"/>
                <w:sz w:val="22"/>
                <w:szCs w:val="22"/>
                <w:lang w:val="es-CO" w:eastAsia="en-US"/>
              </w:rPr>
              <w:t xml:space="preserve"> las asignaciones presupuestales autorizadas para la vigencia. En términos generales</w:t>
            </w:r>
            <w:r w:rsidR="00D023E6" w:rsidRPr="003E774D">
              <w:rPr>
                <w:rFonts w:ascii="Times New Roman" w:hAnsi="Times New Roman"/>
                <w:sz w:val="22"/>
                <w:szCs w:val="22"/>
                <w:lang w:val="es-CO" w:eastAsia="en-US"/>
              </w:rPr>
              <w:t xml:space="preserve">, </w:t>
            </w:r>
            <w:r w:rsidR="00B87648" w:rsidRPr="003E774D">
              <w:rPr>
                <w:rFonts w:ascii="Times New Roman" w:hAnsi="Times New Roman"/>
                <w:sz w:val="22"/>
                <w:szCs w:val="22"/>
                <w:lang w:val="es-CO" w:eastAsia="en-US"/>
              </w:rPr>
              <w:t xml:space="preserve"> las variaciones presentadas se soportan en la dinámica propia de la entidad, y que aseguran el ejercicio de la función pública. Aún</w:t>
            </w:r>
            <w:r w:rsidR="00D023E6" w:rsidRPr="003E774D">
              <w:rPr>
                <w:rFonts w:ascii="Times New Roman" w:hAnsi="Times New Roman"/>
                <w:sz w:val="22"/>
                <w:szCs w:val="22"/>
                <w:lang w:val="es-CO" w:eastAsia="en-US"/>
              </w:rPr>
              <w:t xml:space="preserve">, </w:t>
            </w:r>
            <w:r w:rsidR="00B87648" w:rsidRPr="003E774D">
              <w:rPr>
                <w:rFonts w:ascii="Times New Roman" w:hAnsi="Times New Roman"/>
                <w:sz w:val="22"/>
                <w:szCs w:val="22"/>
                <w:lang w:val="es-CO" w:eastAsia="en-US"/>
              </w:rPr>
              <w:t xml:space="preserve"> se identifican aspectos que han sido presentados con anterioridad, por lo cual se recomienda retomar estos temas,  ya que fortalecen el cumplimiento de las metas y políticas tanto de austeridad como de la entidad, y  permiten  la optimización de los recursos y mayores beneficios en términos de funciona</w:t>
            </w:r>
            <w:r w:rsidR="00D409D1">
              <w:rPr>
                <w:rFonts w:ascii="Times New Roman" w:hAnsi="Times New Roman"/>
                <w:sz w:val="22"/>
                <w:szCs w:val="22"/>
                <w:lang w:val="es-CO" w:eastAsia="en-US"/>
              </w:rPr>
              <w:t>miento y resultados.</w:t>
            </w:r>
          </w:p>
          <w:p w:rsidR="00D409D1" w:rsidRPr="003E774D" w:rsidRDefault="00D409D1" w:rsidP="00D409D1">
            <w:pPr>
              <w:tabs>
                <w:tab w:val="left" w:pos="7560"/>
              </w:tabs>
              <w:ind w:left="738"/>
              <w:jc w:val="both"/>
              <w:rPr>
                <w:rFonts w:ascii="Times New Roman" w:hAnsi="Times New Roman"/>
                <w:sz w:val="22"/>
                <w:szCs w:val="22"/>
                <w:lang w:val="es-CO" w:eastAsia="en-US"/>
              </w:rPr>
            </w:pPr>
          </w:p>
          <w:p w:rsidR="00267BCD" w:rsidRPr="003E774D" w:rsidRDefault="00D409D1" w:rsidP="00D409D1">
            <w:pPr>
              <w:widowControl w:val="0"/>
              <w:ind w:left="738"/>
              <w:jc w:val="both"/>
              <w:rPr>
                <w:rFonts w:ascii="Times New Roman" w:hAnsi="Times New Roman"/>
                <w:sz w:val="22"/>
                <w:szCs w:val="22"/>
                <w:lang w:val="es-CO" w:eastAsia="en-US"/>
              </w:rPr>
            </w:pPr>
            <w:r>
              <w:rPr>
                <w:rFonts w:ascii="Times New Roman" w:hAnsi="Times New Roman"/>
                <w:b/>
                <w:i/>
                <w:sz w:val="22"/>
                <w:szCs w:val="22"/>
              </w:rPr>
              <w:t xml:space="preserve"> </w:t>
            </w:r>
            <w:r w:rsidR="007F08A3" w:rsidRPr="003E774D">
              <w:rPr>
                <w:rFonts w:ascii="Times New Roman" w:hAnsi="Times New Roman"/>
                <w:b/>
                <w:i/>
                <w:sz w:val="22"/>
                <w:szCs w:val="22"/>
              </w:rPr>
              <w:t xml:space="preserve">-Informe de Seguimiento a la </w:t>
            </w:r>
            <w:r w:rsidR="00C85489">
              <w:rPr>
                <w:rFonts w:ascii="Times New Roman" w:hAnsi="Times New Roman"/>
                <w:b/>
                <w:i/>
                <w:sz w:val="22"/>
                <w:szCs w:val="22"/>
              </w:rPr>
              <w:t>I</w:t>
            </w:r>
            <w:r w:rsidR="007F08A3" w:rsidRPr="003E774D">
              <w:rPr>
                <w:rFonts w:ascii="Times New Roman" w:hAnsi="Times New Roman"/>
                <w:b/>
                <w:i/>
                <w:sz w:val="22"/>
                <w:szCs w:val="22"/>
              </w:rPr>
              <w:t xml:space="preserve">mplementación de la </w:t>
            </w:r>
            <w:r w:rsidR="00C85489">
              <w:rPr>
                <w:rFonts w:ascii="Times New Roman" w:hAnsi="Times New Roman"/>
                <w:b/>
                <w:i/>
                <w:sz w:val="22"/>
                <w:szCs w:val="22"/>
              </w:rPr>
              <w:t>N</w:t>
            </w:r>
            <w:r w:rsidR="007F08A3" w:rsidRPr="003E774D">
              <w:rPr>
                <w:rFonts w:ascii="Times New Roman" w:hAnsi="Times New Roman"/>
                <w:b/>
                <w:i/>
                <w:sz w:val="22"/>
                <w:szCs w:val="22"/>
              </w:rPr>
              <w:t>ormas NIIF  con corte a septiembre 30 de 2017</w:t>
            </w:r>
            <w:r w:rsidR="00D7002A" w:rsidRPr="003E774D">
              <w:rPr>
                <w:rFonts w:ascii="Times New Roman" w:hAnsi="Times New Roman"/>
                <w:b/>
                <w:i/>
                <w:sz w:val="22"/>
                <w:szCs w:val="22"/>
              </w:rPr>
              <w:t>:</w:t>
            </w:r>
            <w:r w:rsidR="00D7002A" w:rsidRPr="003E774D">
              <w:rPr>
                <w:rFonts w:ascii="Times New Roman" w:hAnsi="Times New Roman"/>
                <w:sz w:val="22"/>
                <w:szCs w:val="22"/>
                <w:lang w:val="es-CO" w:eastAsia="en-US"/>
              </w:rPr>
              <w:t xml:space="preserve"> De acuerdo con las diferentes fuentes de información de seguimientos realizados se tienen los siguientes avances: Encuesta proceso de implementación solicitada por la SHD a 31 de enero de 2017: Se indica que se han completado las labores de planeación y diagnóstico y una ejecución del 30% del proceso de implementación, identificadas las Políticas Contables y en ejecución la prueba piloto con cifras a corte 30 de septiembre de 2016 de manera parcial, debido a que no se había finalizado la revisión de propiedad, planta y equipo y pendientes por identificar partidas por depurar.</w:t>
            </w:r>
            <w:r>
              <w:rPr>
                <w:rFonts w:ascii="Times New Roman" w:hAnsi="Times New Roman"/>
                <w:sz w:val="22"/>
                <w:szCs w:val="22"/>
                <w:lang w:val="es-CO" w:eastAsia="en-US"/>
              </w:rPr>
              <w:t xml:space="preserve"> </w:t>
            </w:r>
            <w:r w:rsidR="00D7002A" w:rsidRPr="003E774D">
              <w:rPr>
                <w:rFonts w:ascii="Times New Roman" w:hAnsi="Times New Roman"/>
                <w:sz w:val="22"/>
                <w:szCs w:val="22"/>
                <w:lang w:val="es-CO" w:eastAsia="en-US"/>
              </w:rPr>
              <w:t xml:space="preserve">Informe de seguimiento de la OCI con corte a marzo de 2017, donde se estableció que quedaba pendiente la definición de los rubros de propiedad, planta y equipo e intangibles. En la fase de diagnóstico se trabaja en la depuración de cuentas y el procedimiento para la recepción, registro, gestión y cobro de incapacidades y licencias. Encuesta proceso de implementación de la CGN a 19 de septiembre de 2017, presentando un avance del 100% en las actividades de sensibilización y diagnóstico de la situación contable. En 70% la capacitación normativa y depuración de saldos en un 65%. En la encuesta se </w:t>
            </w:r>
            <w:r w:rsidR="00D7002A" w:rsidRPr="003E774D">
              <w:rPr>
                <w:rFonts w:ascii="Times New Roman" w:hAnsi="Times New Roman"/>
                <w:sz w:val="22"/>
                <w:szCs w:val="22"/>
                <w:lang w:val="es-CO" w:eastAsia="en-US"/>
              </w:rPr>
              <w:lastRenderedPageBreak/>
              <w:t>concluye un porcentaje de avance en el proceso de implementación.</w:t>
            </w:r>
          </w:p>
          <w:p w:rsidR="00D7002A" w:rsidRPr="003E774D" w:rsidRDefault="00D7002A" w:rsidP="00D7002A">
            <w:pPr>
              <w:widowControl w:val="0"/>
              <w:jc w:val="both"/>
              <w:rPr>
                <w:rFonts w:ascii="Times New Roman" w:hAnsi="Times New Roman"/>
                <w:sz w:val="22"/>
                <w:szCs w:val="22"/>
                <w:lang w:val="es-CO" w:eastAsia="en-US"/>
              </w:rPr>
            </w:pPr>
          </w:p>
          <w:p w:rsidR="00D7002A" w:rsidRDefault="00D7002A" w:rsidP="00D409D1">
            <w:pPr>
              <w:pStyle w:val="Prrafodelista"/>
              <w:spacing w:after="0" w:line="240" w:lineRule="auto"/>
              <w:ind w:left="738"/>
              <w:contextualSpacing w:val="0"/>
              <w:jc w:val="both"/>
              <w:rPr>
                <w:rFonts w:ascii="Times New Roman" w:hAnsi="Times New Roman"/>
              </w:rPr>
            </w:pPr>
            <w:r w:rsidRPr="003E774D">
              <w:rPr>
                <w:rFonts w:ascii="Times New Roman" w:hAnsi="Times New Roman"/>
                <w:b/>
                <w:i/>
              </w:rPr>
              <w:t xml:space="preserve">-Informe de </w:t>
            </w:r>
            <w:r w:rsidR="00C85489">
              <w:rPr>
                <w:rFonts w:ascii="Times New Roman" w:hAnsi="Times New Roman"/>
                <w:b/>
                <w:i/>
              </w:rPr>
              <w:t>S</w:t>
            </w:r>
            <w:r w:rsidRPr="003E774D">
              <w:rPr>
                <w:rFonts w:ascii="Times New Roman" w:hAnsi="Times New Roman"/>
                <w:b/>
                <w:i/>
              </w:rPr>
              <w:t xml:space="preserve">eguimiento a la </w:t>
            </w:r>
            <w:r w:rsidR="00C85489">
              <w:rPr>
                <w:rFonts w:ascii="Times New Roman" w:hAnsi="Times New Roman"/>
                <w:b/>
                <w:i/>
              </w:rPr>
              <w:t>G</w:t>
            </w:r>
            <w:r w:rsidRPr="003E774D">
              <w:rPr>
                <w:rFonts w:ascii="Times New Roman" w:hAnsi="Times New Roman"/>
                <w:b/>
                <w:i/>
              </w:rPr>
              <w:t xml:space="preserve">estión de la </w:t>
            </w:r>
            <w:r w:rsidR="00C85489">
              <w:rPr>
                <w:rFonts w:ascii="Times New Roman" w:hAnsi="Times New Roman"/>
                <w:b/>
                <w:i/>
              </w:rPr>
              <w:t>P</w:t>
            </w:r>
            <w:r w:rsidRPr="003E774D">
              <w:rPr>
                <w:rFonts w:ascii="Times New Roman" w:hAnsi="Times New Roman"/>
                <w:b/>
                <w:i/>
              </w:rPr>
              <w:t xml:space="preserve">olítica de Administración del </w:t>
            </w:r>
            <w:r w:rsidR="00C85489">
              <w:rPr>
                <w:rFonts w:ascii="Times New Roman" w:hAnsi="Times New Roman"/>
                <w:b/>
                <w:i/>
              </w:rPr>
              <w:t>R</w:t>
            </w:r>
            <w:r w:rsidRPr="003E774D">
              <w:rPr>
                <w:rFonts w:ascii="Times New Roman" w:hAnsi="Times New Roman"/>
                <w:b/>
                <w:i/>
              </w:rPr>
              <w:t xml:space="preserve">iesgo </w:t>
            </w:r>
            <w:r w:rsidRPr="003E774D">
              <w:rPr>
                <w:rFonts w:ascii="Times New Roman" w:hAnsi="Times New Roman"/>
              </w:rPr>
              <w:t>En términos generales, la entidad viene dando cumplimiento formal a las disposiciones normativas y metodológicas relacionadas con la administración del riesgo, en el marco de los criterios establecidos para este seguimiento.</w:t>
            </w:r>
            <w:r w:rsidR="003133C5" w:rsidRPr="003E774D">
              <w:rPr>
                <w:rFonts w:ascii="Times New Roman" w:hAnsi="Times New Roman"/>
              </w:rPr>
              <w:t xml:space="preserve"> </w:t>
            </w:r>
            <w:r w:rsidRPr="003E774D">
              <w:rPr>
                <w:rFonts w:ascii="Times New Roman" w:hAnsi="Times New Roman"/>
              </w:rPr>
              <w:t>Se ha dado una amplia participación de los procesos en la gestión del riesgo, misma que se ha manifestado actualmente en la asistencia a los talleres que sobre la materia lidera la Dirección de Planeación. El proceso de Gestión Contractual extendió la socialización de sus riesgos a 41 personas de las diferentes áreas de la entidad, lo cual representa un ejercicio destacado. La Oficina de Control Interno viene dando un tratamiento preferencial a la gestión de riesgos dentro de sus auditorías, lo cual ya está quedando consignado en los informes definitivos de las mismas, como parte del ejercicio de articulación que se viene dando en el proceso de Evaluación y Control con las Normas Internacionales de Auditoría.</w:t>
            </w:r>
            <w:r w:rsidR="003133C5" w:rsidRPr="003E774D">
              <w:rPr>
                <w:rFonts w:ascii="Times New Roman" w:hAnsi="Times New Roman"/>
              </w:rPr>
              <w:t xml:space="preserve"> Los documentos de la política de administración del riesgo (E-LE-030) y del instructivo de administración del riesgo (E-IN-005), podrían ser objeto de una revisión de forma, incluso revisar la posibilidad de hacer un único documento que inicie con la política. Lo anterior se sugiere para evitar que se repitan textos de un documento a otro, se aclaren las estrategias de la gestión del riesgo y se diferencien claramente los elementos de la política de los del instructivo. Se recomienda revisar la viabilidad de implementar un único mecanismo tecnológico interno en la gestión de riesgos que facilite la formulación, seguimientos y consulta. O consolidar un único documento que recoja verdaderamente todo en materia de riesgos. Muchos de los seguimientos a los riesgos son textos densos, y aunque ello no es malo ni bueno, hay casos en los cuales la información no da cuenta de lo esperado, o no hace alusión a la evidencia, o hace alusión a otros asuntos o logros, o es confuso, o es insuficiente.</w:t>
            </w:r>
          </w:p>
          <w:p w:rsidR="00D409D1" w:rsidRPr="003E774D" w:rsidRDefault="00D409D1" w:rsidP="00D409D1">
            <w:pPr>
              <w:pStyle w:val="Prrafodelista"/>
              <w:spacing w:after="0" w:line="240" w:lineRule="auto"/>
              <w:ind w:left="738"/>
              <w:contextualSpacing w:val="0"/>
              <w:jc w:val="both"/>
              <w:rPr>
                <w:rFonts w:ascii="Times New Roman" w:hAnsi="Times New Roman"/>
              </w:rPr>
            </w:pPr>
          </w:p>
          <w:p w:rsidR="004E5C1B" w:rsidRDefault="00C85489" w:rsidP="00C85489">
            <w:pPr>
              <w:ind w:left="738"/>
              <w:jc w:val="both"/>
              <w:rPr>
                <w:rFonts w:ascii="Times New Roman" w:hAnsi="Times New Roman"/>
                <w:sz w:val="22"/>
                <w:szCs w:val="22"/>
                <w:lang w:val="es-CO" w:eastAsia="en-US"/>
              </w:rPr>
            </w:pPr>
            <w:r>
              <w:rPr>
                <w:rFonts w:ascii="Times New Roman" w:hAnsi="Times New Roman"/>
                <w:b/>
                <w:i/>
                <w:sz w:val="22"/>
                <w:szCs w:val="22"/>
              </w:rPr>
              <w:t>- I</w:t>
            </w:r>
            <w:r w:rsidR="004E5C1B" w:rsidRPr="003E774D">
              <w:rPr>
                <w:rFonts w:ascii="Times New Roman" w:hAnsi="Times New Roman"/>
                <w:b/>
                <w:i/>
                <w:sz w:val="22"/>
                <w:szCs w:val="22"/>
              </w:rPr>
              <w:t xml:space="preserve">nforme de </w:t>
            </w:r>
            <w:r>
              <w:rPr>
                <w:rFonts w:ascii="Times New Roman" w:hAnsi="Times New Roman"/>
                <w:b/>
                <w:i/>
                <w:sz w:val="22"/>
                <w:szCs w:val="22"/>
              </w:rPr>
              <w:t>S</w:t>
            </w:r>
            <w:r w:rsidR="004E5C1B" w:rsidRPr="003E774D">
              <w:rPr>
                <w:rFonts w:ascii="Times New Roman" w:hAnsi="Times New Roman"/>
                <w:b/>
                <w:i/>
                <w:sz w:val="22"/>
                <w:szCs w:val="22"/>
              </w:rPr>
              <w:t xml:space="preserve">eguimiento de la </w:t>
            </w:r>
            <w:r>
              <w:rPr>
                <w:rFonts w:ascii="Times New Roman" w:hAnsi="Times New Roman"/>
                <w:b/>
                <w:i/>
                <w:sz w:val="22"/>
                <w:szCs w:val="22"/>
              </w:rPr>
              <w:t>G</w:t>
            </w:r>
            <w:r w:rsidR="004E5C1B" w:rsidRPr="003E774D">
              <w:rPr>
                <w:rFonts w:ascii="Times New Roman" w:hAnsi="Times New Roman"/>
                <w:b/>
                <w:i/>
                <w:sz w:val="22"/>
                <w:szCs w:val="22"/>
              </w:rPr>
              <w:t xml:space="preserve">estión de Comité de Conciliación: </w:t>
            </w:r>
            <w:r w:rsidR="004E5C1B" w:rsidRPr="003E774D">
              <w:rPr>
                <w:rFonts w:ascii="Times New Roman" w:hAnsi="Times New Roman"/>
                <w:sz w:val="22"/>
                <w:szCs w:val="22"/>
                <w:lang w:val="es-CO" w:eastAsia="en-US"/>
              </w:rPr>
              <w:t>Conforme las actas y documentos evaluados para el periodo objeto de auditoría y de acuerdo a lo establecido en la normativa nacional, distrital e interna para la gestión del Comité de Conciliación de la SDP, se evidenció el cumplimiento de las siguientes funciones:</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Sesiones ordinarias 2 veces al mes, a excepción de los periodos en que no se presentaron casos o situaciones para estudio del Comité.</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Verificación y cumplimiento de quórum para estudiar y decidir las fichas técnicas presentadas.</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Evaluación de todos los procesos judiciales y extrajudiciales presentados a consideración del Comité, conforme las fichas técnicas de conciliación, acción de repetición, pacto de cumplimiento y llamamiento de garantía con fines de repetición, elaboradas por los abogados apoderados de la Entidad.</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Formulación, revisión, aprobación, socialización e implementación de políticas de prevención de daño antijurídico y lineamientos de defensa judicial de la Entidad.</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Consolidación e implementación de un acuerdo único de reglamento</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 xml:space="preserve"> Así mismo, se evidenció el cumplimiento de las siguientes funciones de la Secretaría Técnica del comité:</w:t>
            </w:r>
            <w:r>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77% de cumplimiento en la oportunidad del envío de las citaciones a las sesiones de Comité y citación de todos los miembros permanentes con voz y voto y con solo voz a las sesiones del Comité, a excepción del Director de Defensa Judicial de la Agencia Nacional de Defensa Jurídica del Estado.</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Elaboración y aprobación de todas las Actas de Comité para las sesiones realizadas en el periodo evaluado, 73% de cumplimiento en el envío oportuno del proyecto de acta para revisión de los miembros asistentes y cargue oportuno de las actas en el sistema SIPROJ para el 91% de las actas elaboradas.</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Verificación de las fichas técnicas presentadas por los apoderados de la Entidad y envío oportuno a los miembros y asistentes del Comité para su revisión y análisis.</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Seguimiento y control de las decisiones y requerimientos del Comité de Conciliación</w:t>
            </w:r>
            <w:r w:rsidR="007A319C" w:rsidRPr="003E774D">
              <w:rPr>
                <w:rFonts w:ascii="Times New Roman" w:hAnsi="Times New Roman"/>
                <w:sz w:val="22"/>
                <w:szCs w:val="22"/>
                <w:lang w:val="es-CO" w:eastAsia="en-US"/>
              </w:rPr>
              <w:t xml:space="preserve"> </w:t>
            </w:r>
            <w:r w:rsidR="004E5C1B" w:rsidRPr="003E774D">
              <w:rPr>
                <w:rFonts w:ascii="Times New Roman" w:hAnsi="Times New Roman"/>
                <w:sz w:val="22"/>
                <w:szCs w:val="22"/>
                <w:lang w:val="es-CO" w:eastAsia="en-US"/>
              </w:rPr>
              <w:t>.Organización, actualización y custodia del archivo de gestión del Comité de Conciliación de la SDP.</w:t>
            </w:r>
          </w:p>
          <w:p w:rsidR="00C85489" w:rsidRPr="003E774D" w:rsidRDefault="00C85489" w:rsidP="00C85489">
            <w:pPr>
              <w:ind w:left="738"/>
              <w:jc w:val="both"/>
              <w:rPr>
                <w:rFonts w:ascii="Times New Roman" w:hAnsi="Times New Roman"/>
                <w:sz w:val="22"/>
                <w:szCs w:val="22"/>
                <w:lang w:val="es-CO" w:eastAsia="en-US"/>
              </w:rPr>
            </w:pPr>
          </w:p>
          <w:p w:rsidR="007A319C" w:rsidRDefault="00C412C3" w:rsidP="00C85489">
            <w:pPr>
              <w:ind w:left="738" w:right="-108" w:hanging="13"/>
              <w:jc w:val="both"/>
              <w:rPr>
                <w:rFonts w:ascii="Times New Roman" w:hAnsi="Times New Roman"/>
                <w:sz w:val="22"/>
                <w:szCs w:val="22"/>
                <w:lang w:val="es-CO" w:eastAsia="en-US"/>
              </w:rPr>
            </w:pPr>
            <w:r w:rsidRPr="003E774D">
              <w:rPr>
                <w:rFonts w:ascii="Times New Roman" w:hAnsi="Times New Roman"/>
                <w:sz w:val="22"/>
                <w:szCs w:val="22"/>
                <w:lang w:val="es-CO" w:eastAsia="en-US"/>
              </w:rPr>
              <w:lastRenderedPageBreak/>
              <w:t>Se p</w:t>
            </w:r>
            <w:r w:rsidR="008F3891" w:rsidRPr="003E774D">
              <w:rPr>
                <w:rFonts w:ascii="Times New Roman" w:hAnsi="Times New Roman"/>
                <w:sz w:val="22"/>
                <w:szCs w:val="22"/>
                <w:lang w:val="es-CO" w:eastAsia="en-US"/>
              </w:rPr>
              <w:t>re</w:t>
            </w:r>
            <w:r w:rsidRPr="003E774D">
              <w:rPr>
                <w:rFonts w:ascii="Times New Roman" w:hAnsi="Times New Roman"/>
                <w:sz w:val="22"/>
                <w:szCs w:val="22"/>
                <w:lang w:val="es-CO" w:eastAsia="en-US"/>
              </w:rPr>
              <w:t>sentaron las siguientes observaciones para la imple</w:t>
            </w:r>
            <w:r w:rsidR="00967762" w:rsidRPr="003E774D">
              <w:rPr>
                <w:rFonts w:ascii="Times New Roman" w:hAnsi="Times New Roman"/>
                <w:sz w:val="22"/>
                <w:szCs w:val="22"/>
                <w:lang w:val="es-CO" w:eastAsia="en-US"/>
              </w:rPr>
              <w:t>mentación de acciones de mejora</w:t>
            </w:r>
            <w:r w:rsidR="00C85489" w:rsidRPr="003E774D">
              <w:rPr>
                <w:rFonts w:ascii="Times New Roman" w:hAnsi="Times New Roman"/>
                <w:sz w:val="22"/>
                <w:szCs w:val="22"/>
                <w:lang w:val="es-CO" w:eastAsia="en-US"/>
              </w:rPr>
              <w:t>: no</w:t>
            </w:r>
            <w:r w:rsidR="007A319C" w:rsidRPr="003E774D">
              <w:rPr>
                <w:rFonts w:ascii="Times New Roman" w:hAnsi="Times New Roman"/>
                <w:sz w:val="22"/>
                <w:szCs w:val="22"/>
                <w:lang w:val="es-CO" w:eastAsia="en-US"/>
              </w:rPr>
              <w:t xml:space="preserve"> se evidenció reporte o comunicación al Coordinador de los agentes del Ministerio Público ante la Jurisdic</w:t>
            </w:r>
            <w:r w:rsidR="00967762" w:rsidRPr="003E774D">
              <w:rPr>
                <w:rFonts w:ascii="Times New Roman" w:hAnsi="Times New Roman"/>
                <w:sz w:val="22"/>
                <w:szCs w:val="22"/>
                <w:lang w:val="es-CO" w:eastAsia="en-US"/>
              </w:rPr>
              <w:t>ción Contencioso Administrativa</w:t>
            </w:r>
            <w:r w:rsidR="007A319C" w:rsidRPr="003E774D">
              <w:rPr>
                <w:rFonts w:ascii="Times New Roman" w:hAnsi="Times New Roman"/>
                <w:sz w:val="22"/>
                <w:szCs w:val="22"/>
                <w:lang w:val="es-CO" w:eastAsia="en-US"/>
              </w:rPr>
              <w:t xml:space="preserve"> de las decisiones que el Comité adoptó respecto de las 2 fichas técnicas de  acción de repetición evaluadas en el periodo: proceso 2005-00072 Acta 15-2016 y proceso 2012-00253 Acta 12-2017. No se observó comunicación  a la Dirección de Defensa Judicial y Prevención del Daño Antijurídico de la Secretaría Jurídica Distrital, de la decisión tomada para la acción de repetición evaluada por el Comité en el proceso 2012-00253 Acta 12-2017</w:t>
            </w:r>
            <w:r w:rsidR="009E4645" w:rsidRPr="003E774D">
              <w:rPr>
                <w:rFonts w:ascii="Times New Roman" w:hAnsi="Times New Roman"/>
                <w:sz w:val="22"/>
                <w:szCs w:val="22"/>
                <w:lang w:val="es-CO" w:eastAsia="en-US"/>
              </w:rPr>
              <w:t>.</w:t>
            </w:r>
          </w:p>
          <w:p w:rsidR="00C85489" w:rsidRPr="003E774D" w:rsidRDefault="00C85489" w:rsidP="00C85489">
            <w:pPr>
              <w:ind w:left="738" w:right="-108" w:hanging="13"/>
              <w:jc w:val="both"/>
              <w:rPr>
                <w:rFonts w:ascii="Times New Roman" w:hAnsi="Times New Roman"/>
                <w:sz w:val="22"/>
                <w:szCs w:val="22"/>
                <w:lang w:val="es-CO" w:eastAsia="en-US"/>
              </w:rPr>
            </w:pPr>
          </w:p>
          <w:p w:rsidR="009E4645" w:rsidRDefault="00780979" w:rsidP="00C85489">
            <w:pPr>
              <w:keepNext/>
              <w:ind w:left="738"/>
              <w:jc w:val="both"/>
              <w:rPr>
                <w:rFonts w:ascii="Times New Roman" w:hAnsi="Times New Roman"/>
                <w:bCs/>
                <w:sz w:val="22"/>
                <w:szCs w:val="22"/>
                <w:lang w:val="es-CO" w:eastAsia="en-US"/>
              </w:rPr>
            </w:pPr>
            <w:r w:rsidRPr="003E774D">
              <w:rPr>
                <w:rFonts w:ascii="Times New Roman" w:hAnsi="Times New Roman"/>
                <w:sz w:val="22"/>
                <w:szCs w:val="22"/>
                <w:lang w:val="es-CO" w:eastAsia="en-US"/>
              </w:rPr>
              <w:t>-</w:t>
            </w:r>
            <w:r w:rsidR="00C85489">
              <w:rPr>
                <w:rFonts w:ascii="Times New Roman" w:hAnsi="Times New Roman"/>
                <w:sz w:val="22"/>
                <w:szCs w:val="22"/>
                <w:lang w:val="es-CO" w:eastAsia="en-US"/>
              </w:rPr>
              <w:t xml:space="preserve"> </w:t>
            </w:r>
            <w:r w:rsidR="00C85489">
              <w:rPr>
                <w:rFonts w:ascii="Times New Roman" w:hAnsi="Times New Roman"/>
                <w:b/>
                <w:i/>
                <w:sz w:val="22"/>
                <w:szCs w:val="22"/>
                <w:lang w:val="es-CO" w:eastAsia="en-US"/>
              </w:rPr>
              <w:t>I</w:t>
            </w:r>
            <w:r w:rsidRPr="003E774D">
              <w:rPr>
                <w:rFonts w:ascii="Times New Roman" w:hAnsi="Times New Roman"/>
                <w:b/>
                <w:i/>
                <w:sz w:val="22"/>
                <w:szCs w:val="22"/>
                <w:lang w:val="es-CO" w:eastAsia="en-US"/>
              </w:rPr>
              <w:t xml:space="preserve">nforme de </w:t>
            </w:r>
            <w:r w:rsidR="00C85489">
              <w:rPr>
                <w:rFonts w:ascii="Times New Roman" w:hAnsi="Times New Roman"/>
                <w:b/>
                <w:i/>
                <w:sz w:val="22"/>
                <w:szCs w:val="22"/>
                <w:lang w:val="es-CO" w:eastAsia="en-US"/>
              </w:rPr>
              <w:t>S</w:t>
            </w:r>
            <w:r w:rsidRPr="003E774D">
              <w:rPr>
                <w:rFonts w:ascii="Times New Roman" w:hAnsi="Times New Roman"/>
                <w:b/>
                <w:i/>
                <w:sz w:val="22"/>
                <w:szCs w:val="22"/>
                <w:lang w:val="es-CO" w:eastAsia="en-US"/>
              </w:rPr>
              <w:t xml:space="preserve">eguimiento a las </w:t>
            </w:r>
            <w:r w:rsidR="00C85489">
              <w:rPr>
                <w:rFonts w:ascii="Times New Roman" w:hAnsi="Times New Roman"/>
                <w:b/>
                <w:i/>
                <w:sz w:val="22"/>
                <w:szCs w:val="22"/>
                <w:lang w:val="es-CO" w:eastAsia="en-US"/>
              </w:rPr>
              <w:t>A</w:t>
            </w:r>
            <w:r w:rsidRPr="003E774D">
              <w:rPr>
                <w:rFonts w:ascii="Times New Roman" w:hAnsi="Times New Roman"/>
                <w:b/>
                <w:i/>
                <w:sz w:val="22"/>
                <w:szCs w:val="22"/>
                <w:lang w:val="es-CO" w:eastAsia="en-US"/>
              </w:rPr>
              <w:t xml:space="preserve">ctividades </w:t>
            </w:r>
            <w:r w:rsidR="00C85489">
              <w:rPr>
                <w:rFonts w:ascii="Times New Roman" w:hAnsi="Times New Roman"/>
                <w:b/>
                <w:i/>
                <w:sz w:val="22"/>
                <w:szCs w:val="22"/>
                <w:lang w:val="es-CO" w:eastAsia="en-US"/>
              </w:rPr>
              <w:t>A</w:t>
            </w:r>
            <w:r w:rsidRPr="003E774D">
              <w:rPr>
                <w:rFonts w:ascii="Times New Roman" w:hAnsi="Times New Roman"/>
                <w:b/>
                <w:i/>
                <w:sz w:val="22"/>
                <w:szCs w:val="22"/>
                <w:lang w:val="es-CO" w:eastAsia="en-US"/>
              </w:rPr>
              <w:t xml:space="preserve">delantadas para la </w:t>
            </w:r>
            <w:r w:rsidR="00C85489">
              <w:rPr>
                <w:rFonts w:ascii="Times New Roman" w:hAnsi="Times New Roman"/>
                <w:b/>
                <w:i/>
                <w:sz w:val="22"/>
                <w:szCs w:val="22"/>
                <w:lang w:val="es-CO" w:eastAsia="en-US"/>
              </w:rPr>
              <w:t>I</w:t>
            </w:r>
            <w:r w:rsidRPr="003E774D">
              <w:rPr>
                <w:rFonts w:ascii="Times New Roman" w:hAnsi="Times New Roman"/>
                <w:b/>
                <w:i/>
                <w:sz w:val="22"/>
                <w:szCs w:val="22"/>
                <w:lang w:val="es-CO" w:eastAsia="en-US"/>
              </w:rPr>
              <w:t>mplementación del Sistema de Seguridad de la Información – SGSI.</w:t>
            </w:r>
            <w:r w:rsidRPr="003E774D">
              <w:rPr>
                <w:rFonts w:ascii="Times New Roman" w:hAnsi="Times New Roman"/>
                <w:bCs/>
                <w:sz w:val="22"/>
                <w:szCs w:val="22"/>
                <w:lang w:val="es-CO" w:eastAsia="en-US"/>
              </w:rPr>
              <w:t xml:space="preserve"> En el marco de las 8 acciones susceptibles de mejora Identificadas en la pasada a</w:t>
            </w:r>
            <w:r w:rsidR="00350E13" w:rsidRPr="003E774D">
              <w:rPr>
                <w:rFonts w:ascii="Times New Roman" w:hAnsi="Times New Roman"/>
                <w:bCs/>
                <w:sz w:val="22"/>
                <w:szCs w:val="22"/>
                <w:lang w:val="es-CO" w:eastAsia="en-US"/>
              </w:rPr>
              <w:t>u</w:t>
            </w:r>
            <w:r w:rsidRPr="003E774D">
              <w:rPr>
                <w:rFonts w:ascii="Times New Roman" w:hAnsi="Times New Roman"/>
                <w:bCs/>
                <w:sz w:val="22"/>
                <w:szCs w:val="22"/>
                <w:lang w:val="es-CO" w:eastAsia="en-US"/>
              </w:rPr>
              <w:t>ditoría se registraron los siguientes resultados: Se incluyó en el procedimiento “</w:t>
            </w:r>
            <w:r w:rsidRPr="003E774D">
              <w:rPr>
                <w:rFonts w:ascii="Times New Roman" w:hAnsi="Times New Roman"/>
                <w:bCs/>
                <w:i/>
                <w:sz w:val="22"/>
                <w:szCs w:val="22"/>
                <w:lang w:val="es-CO" w:eastAsia="en-US"/>
              </w:rPr>
              <w:t>A-PD-092 Procedimiento de copias de respaldo y recuperación de información</w:t>
            </w:r>
            <w:r w:rsidRPr="003E774D">
              <w:rPr>
                <w:rFonts w:ascii="Times New Roman" w:hAnsi="Times New Roman"/>
                <w:bCs/>
                <w:sz w:val="22"/>
                <w:szCs w:val="22"/>
                <w:lang w:val="es-CO" w:eastAsia="en-US"/>
              </w:rPr>
              <w:t>” el control de verificación de la copia de la información respaldada ; Se incluyó en el formato “</w:t>
            </w:r>
            <w:r w:rsidRPr="003E774D">
              <w:rPr>
                <w:rFonts w:ascii="Times New Roman" w:hAnsi="Times New Roman"/>
                <w:bCs/>
                <w:i/>
                <w:sz w:val="22"/>
                <w:szCs w:val="22"/>
                <w:lang w:val="es-CO" w:eastAsia="en-US"/>
              </w:rPr>
              <w:t>A-FO-191 Acta de entrega de puesto de trabajo</w:t>
            </w:r>
            <w:r w:rsidRPr="003E774D">
              <w:rPr>
                <w:rFonts w:ascii="Times New Roman" w:hAnsi="Times New Roman"/>
                <w:bCs/>
                <w:sz w:val="22"/>
                <w:szCs w:val="22"/>
                <w:lang w:val="es-CO" w:eastAsia="en-US"/>
              </w:rPr>
              <w:t>”, las características y nivel de detalle de la información a ser entregada tanto en formato análogo como digital al momento de la desvinculación o traslado de la entidad; de los requisitos de verificación y la validación del responsable de recibirla; Se incluyó en el formato “</w:t>
            </w:r>
            <w:r w:rsidRPr="003E774D">
              <w:rPr>
                <w:rFonts w:ascii="Times New Roman" w:hAnsi="Times New Roman"/>
                <w:bCs/>
                <w:i/>
                <w:sz w:val="22"/>
                <w:szCs w:val="22"/>
                <w:lang w:val="es-CO" w:eastAsia="en-US"/>
              </w:rPr>
              <w:t>A-FO-010 solicitud gestión cuentas de usuario</w:t>
            </w:r>
            <w:r w:rsidRPr="003E774D">
              <w:rPr>
                <w:rFonts w:ascii="Times New Roman" w:hAnsi="Times New Roman"/>
                <w:bCs/>
                <w:sz w:val="22"/>
                <w:szCs w:val="22"/>
                <w:lang w:val="es-CO" w:eastAsia="en-US"/>
              </w:rPr>
              <w:t>” la categoría de pasante; Se verificó que el procedimiento “A-PD-104 Gestión de cuentas de usuario" cuenta con los registros de asignación de roles solicitados por los responsables de cada área; Se incluyó en la Guía “</w:t>
            </w:r>
            <w:r w:rsidRPr="003E774D">
              <w:rPr>
                <w:rFonts w:ascii="Times New Roman" w:hAnsi="Times New Roman"/>
                <w:bCs/>
                <w:i/>
                <w:sz w:val="22"/>
                <w:szCs w:val="22"/>
                <w:lang w:val="es-CO" w:eastAsia="en-US"/>
              </w:rPr>
              <w:t>A-IN-322 Guía Para Acceder A Los Servicios Documentales</w:t>
            </w:r>
            <w:r w:rsidRPr="003E774D">
              <w:rPr>
                <w:rFonts w:ascii="Times New Roman" w:hAnsi="Times New Roman"/>
                <w:bCs/>
                <w:sz w:val="22"/>
                <w:szCs w:val="22"/>
                <w:lang w:val="es-CO" w:eastAsia="en-US"/>
              </w:rPr>
              <w:t>“ el formato “</w:t>
            </w:r>
            <w:r w:rsidRPr="003E774D">
              <w:rPr>
                <w:rFonts w:ascii="Times New Roman" w:hAnsi="Times New Roman"/>
                <w:bCs/>
                <w:i/>
                <w:sz w:val="22"/>
                <w:szCs w:val="22"/>
                <w:lang w:val="es-CO" w:eastAsia="en-US"/>
              </w:rPr>
              <w:t>A-FO-360 Consulta Y Préstamo Documental En Archivos De Gestión en el documento</w:t>
            </w:r>
            <w:r w:rsidRPr="003E774D">
              <w:rPr>
                <w:rFonts w:ascii="Times New Roman" w:hAnsi="Times New Roman"/>
                <w:bCs/>
                <w:sz w:val="22"/>
                <w:szCs w:val="22"/>
                <w:lang w:val="es-CO" w:eastAsia="en-US"/>
              </w:rPr>
              <w:t xml:space="preserve">” el cual se socializó   en reunión del 10 de agosto de 2017; Se Verificó que el documento </w:t>
            </w:r>
            <w:r w:rsidRPr="003E774D">
              <w:rPr>
                <w:rFonts w:ascii="Times New Roman" w:hAnsi="Times New Roman"/>
                <w:sz w:val="22"/>
                <w:szCs w:val="22"/>
                <w:lang w:val="es-ES"/>
              </w:rPr>
              <w:t>“</w:t>
            </w:r>
            <w:r w:rsidRPr="003E774D">
              <w:rPr>
                <w:rFonts w:ascii="Times New Roman" w:hAnsi="Times New Roman"/>
                <w:bCs/>
                <w:i/>
                <w:sz w:val="22"/>
                <w:szCs w:val="22"/>
                <w:lang w:val="es-CO" w:eastAsia="en-US"/>
              </w:rPr>
              <w:t>A-LE-283 Matriz de inventarios y clasificación de activos, de información</w:t>
            </w:r>
            <w:r w:rsidRPr="003E774D">
              <w:rPr>
                <w:rFonts w:ascii="Times New Roman" w:hAnsi="Times New Roman"/>
                <w:bCs/>
                <w:sz w:val="22"/>
                <w:szCs w:val="22"/>
                <w:lang w:val="es-CO" w:eastAsia="en-US"/>
              </w:rPr>
              <w:t xml:space="preserve">” al desplegarse en el Sistema Integrado de Gestión y en la pestaña de Transparencia del Portal de la Entidad presentan la misma información. </w:t>
            </w:r>
          </w:p>
          <w:p w:rsidR="00C85489" w:rsidRPr="003E774D" w:rsidRDefault="00C85489" w:rsidP="00C85489">
            <w:pPr>
              <w:keepNext/>
              <w:ind w:left="738"/>
              <w:jc w:val="both"/>
              <w:rPr>
                <w:rFonts w:ascii="Times New Roman" w:hAnsi="Times New Roman"/>
                <w:bCs/>
                <w:sz w:val="22"/>
                <w:szCs w:val="22"/>
                <w:lang w:val="es-CO" w:eastAsia="en-US"/>
              </w:rPr>
            </w:pPr>
          </w:p>
          <w:p w:rsidR="00A04C98" w:rsidRPr="003E774D" w:rsidRDefault="00780979" w:rsidP="00C85489">
            <w:pPr>
              <w:keepNext/>
              <w:ind w:left="738" w:right="-108"/>
              <w:jc w:val="both"/>
              <w:rPr>
                <w:rFonts w:ascii="Times New Roman" w:eastAsiaTheme="minorHAnsi" w:hAnsi="Times New Roman"/>
                <w:sz w:val="22"/>
                <w:szCs w:val="22"/>
                <w:lang w:val="es-CO" w:eastAsia="en-US"/>
              </w:rPr>
            </w:pPr>
            <w:r w:rsidRPr="003E774D">
              <w:rPr>
                <w:rFonts w:ascii="Times New Roman" w:hAnsi="Times New Roman"/>
                <w:bCs/>
                <w:sz w:val="22"/>
                <w:szCs w:val="22"/>
                <w:lang w:val="es-CO" w:eastAsia="en-US"/>
              </w:rPr>
              <w:t xml:space="preserve">En esta oportunidad se observa y recomienda frene a los siguientes temas: </w:t>
            </w:r>
            <w:r w:rsidRPr="003E774D">
              <w:rPr>
                <w:rFonts w:ascii="Times New Roman" w:hAnsi="Times New Roman"/>
                <w:sz w:val="22"/>
                <w:szCs w:val="22"/>
                <w:lang w:val="es-ES"/>
              </w:rPr>
              <w:t xml:space="preserve">En el seguimiento a las actividades realizadas al cumplimiento del control A.11.2.3 " </w:t>
            </w:r>
            <w:r w:rsidRPr="003E774D">
              <w:rPr>
                <w:rFonts w:ascii="Times New Roman" w:hAnsi="Times New Roman"/>
                <w:i/>
                <w:sz w:val="22"/>
                <w:szCs w:val="22"/>
                <w:lang w:val="es-ES"/>
              </w:rPr>
              <w:t>Seguridad del Cableado</w:t>
            </w:r>
            <w:r w:rsidRPr="003E774D">
              <w:rPr>
                <w:rFonts w:ascii="Times New Roman" w:hAnsi="Times New Roman"/>
                <w:sz w:val="22"/>
                <w:szCs w:val="22"/>
                <w:lang w:val="es-ES"/>
              </w:rPr>
              <w:t xml:space="preserve"> " se verifico que de acuerdo con la documentación aportada por la DS y la DRFGD no se realizaron actividades de verificación del estado del cableado de energía, y telecomunicaciones con el fin de prevenir la perdida, daño o compromiso de activos y la interrupción de las operaciones de la SDP</w:t>
            </w:r>
            <w:r w:rsidR="00A04C98" w:rsidRPr="003E774D">
              <w:rPr>
                <w:rFonts w:ascii="Times New Roman" w:hAnsi="Times New Roman"/>
                <w:sz w:val="22"/>
                <w:szCs w:val="22"/>
                <w:lang w:val="es-ES"/>
              </w:rPr>
              <w:t>; seguimiento realizado a la modificación realizada al procedimiento “A</w:t>
            </w:r>
            <w:r w:rsidR="00A04C98" w:rsidRPr="003E774D">
              <w:rPr>
                <w:rFonts w:ascii="Times New Roman" w:hAnsi="Times New Roman"/>
                <w:i/>
                <w:sz w:val="22"/>
                <w:szCs w:val="22"/>
                <w:lang w:val="es-ES"/>
              </w:rPr>
              <w:t>-PD-092 Procedimiento de copias de respaldo y recuperación de información</w:t>
            </w:r>
            <w:r w:rsidR="00A04C98" w:rsidRPr="003E774D">
              <w:rPr>
                <w:rFonts w:ascii="Times New Roman" w:hAnsi="Times New Roman"/>
                <w:sz w:val="22"/>
                <w:szCs w:val="22"/>
                <w:lang w:val="es-ES"/>
              </w:rPr>
              <w:t>” se recomienda revisar la actividad 19 “</w:t>
            </w:r>
            <w:r w:rsidR="00A04C98" w:rsidRPr="003E774D">
              <w:rPr>
                <w:rFonts w:ascii="Times New Roman" w:hAnsi="Times New Roman"/>
                <w:i/>
                <w:sz w:val="22"/>
                <w:szCs w:val="22"/>
                <w:lang w:val="es-ES"/>
              </w:rPr>
              <w:t>Revisar con el usuario (si aún labora en la entidad) lo copiado en el disco externo y documentar en GLPI</w:t>
            </w:r>
            <w:r w:rsidR="00A04C98" w:rsidRPr="003E774D">
              <w:rPr>
                <w:rFonts w:ascii="Times New Roman" w:hAnsi="Times New Roman"/>
                <w:sz w:val="22"/>
                <w:szCs w:val="22"/>
                <w:lang w:val="es-ES"/>
              </w:rPr>
              <w:t xml:space="preserve">,  con el fin de fortalecer la eficacia del control A.12.3.1 "Respaldo de la información y se materializase el riesgo "Falta de disponibilidad de la información en la DS"; y, </w:t>
            </w:r>
            <w:r w:rsidR="00A04C98" w:rsidRPr="003E774D">
              <w:rPr>
                <w:rFonts w:ascii="Times New Roman" w:eastAsiaTheme="minorHAnsi" w:hAnsi="Times New Roman"/>
                <w:sz w:val="22"/>
                <w:szCs w:val="22"/>
                <w:lang w:val="es-CO" w:eastAsia="en-US"/>
              </w:rPr>
              <w:t>El SGSI no cuenta con un plan de acción que le permita cumplir con lo establecido en el Decreto 2573 de 2014 en cuanto a la implementación del Modelo de Seguridad y Privacidad de la Información junto con sus anexos, a partir de sus instrumentos de Diagnóstico</w:t>
            </w:r>
          </w:p>
          <w:p w:rsidR="00780979" w:rsidRPr="003E774D" w:rsidRDefault="00780979" w:rsidP="00C85489">
            <w:pPr>
              <w:keepNext/>
              <w:jc w:val="both"/>
              <w:rPr>
                <w:rFonts w:ascii="Times New Roman" w:hAnsi="Times New Roman"/>
                <w:bCs/>
                <w:sz w:val="22"/>
                <w:szCs w:val="22"/>
                <w:lang w:val="es-CO" w:eastAsia="en-US"/>
              </w:rPr>
            </w:pPr>
          </w:p>
          <w:p w:rsidR="00954B4E" w:rsidRPr="003E774D" w:rsidRDefault="006B4628" w:rsidP="002A66C6">
            <w:pPr>
              <w:pStyle w:val="Prrafodelista"/>
              <w:spacing w:after="0" w:line="240" w:lineRule="auto"/>
              <w:ind w:left="0" w:right="-674"/>
              <w:jc w:val="both"/>
              <w:rPr>
                <w:rFonts w:ascii="Times New Roman" w:hAnsi="Times New Roman"/>
                <w:bCs/>
              </w:rPr>
            </w:pPr>
            <w:r w:rsidRPr="003E774D">
              <w:rPr>
                <w:rFonts w:ascii="Times New Roman" w:hAnsi="Times New Roman"/>
                <w:b/>
              </w:rPr>
              <w:t xml:space="preserve">2.3. COMPONENTE: </w:t>
            </w:r>
            <w:r w:rsidR="0087261D" w:rsidRPr="003E774D">
              <w:rPr>
                <w:rFonts w:ascii="Times New Roman" w:hAnsi="Times New Roman"/>
                <w:b/>
              </w:rPr>
              <w:t>PLANES DE MEJORAMIENTO</w:t>
            </w:r>
            <w:r w:rsidR="0087261D" w:rsidRPr="003E774D">
              <w:rPr>
                <w:rFonts w:ascii="Times New Roman" w:hAnsi="Times New Roman"/>
              </w:rPr>
              <w:t>:</w:t>
            </w:r>
            <w:r w:rsidR="0087261D" w:rsidRPr="003E774D">
              <w:rPr>
                <w:rFonts w:ascii="Times New Roman" w:hAnsi="Times New Roman"/>
                <w:bCs/>
              </w:rPr>
              <w:t xml:space="preserve"> </w:t>
            </w:r>
          </w:p>
          <w:p w:rsidR="00954B4E" w:rsidRPr="003E774D" w:rsidRDefault="00954B4E" w:rsidP="002A66C6">
            <w:pPr>
              <w:pStyle w:val="Prrafodelista"/>
              <w:spacing w:after="0" w:line="240" w:lineRule="auto"/>
              <w:ind w:left="0" w:right="-674"/>
              <w:jc w:val="both"/>
              <w:rPr>
                <w:rFonts w:ascii="Times New Roman" w:hAnsi="Times New Roman"/>
                <w:bCs/>
              </w:rPr>
            </w:pPr>
          </w:p>
          <w:p w:rsidR="006B4628" w:rsidRDefault="00350E13" w:rsidP="00EF6AFC">
            <w:pPr>
              <w:ind w:right="115"/>
              <w:jc w:val="both"/>
              <w:rPr>
                <w:rFonts w:ascii="Times New Roman" w:hAnsi="Times New Roman"/>
                <w:sz w:val="22"/>
                <w:szCs w:val="22"/>
              </w:rPr>
            </w:pPr>
            <w:r w:rsidRPr="003E774D">
              <w:rPr>
                <w:rFonts w:ascii="Times New Roman" w:hAnsi="Times New Roman"/>
                <w:sz w:val="22"/>
                <w:szCs w:val="22"/>
              </w:rPr>
              <w:t>En el transcurso del año</w:t>
            </w:r>
            <w:r w:rsidR="00A5191B">
              <w:rPr>
                <w:rFonts w:ascii="Times New Roman" w:hAnsi="Times New Roman"/>
                <w:sz w:val="22"/>
                <w:szCs w:val="22"/>
              </w:rPr>
              <w:t>,</w:t>
            </w:r>
            <w:r w:rsidRPr="003E774D">
              <w:rPr>
                <w:rFonts w:ascii="Times New Roman" w:hAnsi="Times New Roman"/>
                <w:sz w:val="22"/>
                <w:szCs w:val="22"/>
              </w:rPr>
              <w:t xml:space="preserve"> se han</w:t>
            </w:r>
            <w:r w:rsidR="00260A23" w:rsidRPr="003E774D">
              <w:rPr>
                <w:rFonts w:ascii="Times New Roman" w:hAnsi="Times New Roman"/>
                <w:sz w:val="22"/>
                <w:szCs w:val="22"/>
              </w:rPr>
              <w:t xml:space="preserve"> adelantado  3 seguimientos </w:t>
            </w:r>
            <w:r w:rsidRPr="003E774D">
              <w:rPr>
                <w:rFonts w:ascii="Times New Roman" w:hAnsi="Times New Roman"/>
                <w:sz w:val="22"/>
                <w:szCs w:val="22"/>
              </w:rPr>
              <w:t xml:space="preserve"> </w:t>
            </w:r>
            <w:r w:rsidR="00260A23" w:rsidRPr="003E774D">
              <w:rPr>
                <w:rFonts w:ascii="Times New Roman" w:hAnsi="Times New Roman"/>
                <w:sz w:val="22"/>
                <w:szCs w:val="22"/>
              </w:rPr>
              <w:t>para el</w:t>
            </w:r>
            <w:r w:rsidRPr="003E774D">
              <w:rPr>
                <w:rFonts w:ascii="Times New Roman" w:hAnsi="Times New Roman"/>
                <w:sz w:val="22"/>
                <w:szCs w:val="22"/>
              </w:rPr>
              <w:t xml:space="preserve"> período</w:t>
            </w:r>
            <w:r w:rsidR="00284C75" w:rsidRPr="003E774D">
              <w:rPr>
                <w:rFonts w:ascii="Times New Roman" w:hAnsi="Times New Roman"/>
                <w:sz w:val="22"/>
                <w:szCs w:val="22"/>
              </w:rPr>
              <w:t xml:space="preserve"> abril </w:t>
            </w:r>
            <w:r w:rsidR="00A5191B">
              <w:rPr>
                <w:rFonts w:ascii="Times New Roman" w:hAnsi="Times New Roman"/>
                <w:sz w:val="22"/>
                <w:szCs w:val="22"/>
              </w:rPr>
              <w:t>–</w:t>
            </w:r>
            <w:r w:rsidR="00284C75" w:rsidRPr="003E774D">
              <w:rPr>
                <w:rFonts w:ascii="Times New Roman" w:hAnsi="Times New Roman"/>
                <w:sz w:val="22"/>
                <w:szCs w:val="22"/>
              </w:rPr>
              <w:t>junio</w:t>
            </w:r>
            <w:r w:rsidR="00A5191B">
              <w:rPr>
                <w:rFonts w:ascii="Times New Roman" w:hAnsi="Times New Roman"/>
                <w:sz w:val="22"/>
                <w:szCs w:val="22"/>
              </w:rPr>
              <w:t xml:space="preserve">, </w:t>
            </w:r>
            <w:r w:rsidR="00284C75" w:rsidRPr="003E774D">
              <w:rPr>
                <w:rFonts w:ascii="Times New Roman" w:hAnsi="Times New Roman"/>
                <w:sz w:val="22"/>
                <w:szCs w:val="22"/>
              </w:rPr>
              <w:t xml:space="preserve"> </w:t>
            </w:r>
            <w:r w:rsidR="00A5191B">
              <w:rPr>
                <w:rFonts w:ascii="Times New Roman" w:hAnsi="Times New Roman"/>
                <w:sz w:val="22"/>
                <w:szCs w:val="22"/>
              </w:rPr>
              <w:t xml:space="preserve">a través de los cuales </w:t>
            </w:r>
            <w:r w:rsidR="00260A23" w:rsidRPr="003E774D">
              <w:rPr>
                <w:rFonts w:ascii="Times New Roman" w:hAnsi="Times New Roman"/>
                <w:sz w:val="22"/>
                <w:szCs w:val="22"/>
              </w:rPr>
              <w:t>se</w:t>
            </w:r>
            <w:r w:rsidRPr="003E774D">
              <w:rPr>
                <w:rFonts w:ascii="Times New Roman" w:hAnsi="Times New Roman"/>
                <w:sz w:val="22"/>
                <w:szCs w:val="22"/>
              </w:rPr>
              <w:t xml:space="preserve"> encontró lo siguiente</w:t>
            </w:r>
            <w:r w:rsidR="00284C75" w:rsidRPr="003E774D">
              <w:rPr>
                <w:rFonts w:ascii="Times New Roman" w:hAnsi="Times New Roman"/>
                <w:sz w:val="22"/>
                <w:szCs w:val="22"/>
              </w:rPr>
              <w:t>:</w:t>
            </w:r>
          </w:p>
          <w:p w:rsidR="006B519C" w:rsidRDefault="006B519C" w:rsidP="00EF6AFC">
            <w:pPr>
              <w:ind w:right="115"/>
              <w:jc w:val="both"/>
              <w:rPr>
                <w:rFonts w:ascii="Times New Roman" w:hAnsi="Times New Roman"/>
                <w:sz w:val="22"/>
                <w:szCs w:val="22"/>
              </w:rPr>
            </w:pPr>
          </w:p>
          <w:p w:rsidR="006B519C" w:rsidRDefault="006B519C" w:rsidP="00EF6AFC">
            <w:pPr>
              <w:ind w:right="115"/>
              <w:jc w:val="both"/>
              <w:rPr>
                <w:rFonts w:ascii="Times New Roman" w:hAnsi="Times New Roman"/>
                <w:sz w:val="22"/>
                <w:szCs w:val="22"/>
              </w:rPr>
            </w:pPr>
          </w:p>
          <w:p w:rsidR="006B519C" w:rsidRDefault="006B519C" w:rsidP="00EF6AFC">
            <w:pPr>
              <w:ind w:right="115"/>
              <w:jc w:val="both"/>
              <w:rPr>
                <w:rFonts w:ascii="Times New Roman" w:hAnsi="Times New Roman"/>
                <w:sz w:val="22"/>
                <w:szCs w:val="22"/>
              </w:rPr>
            </w:pPr>
          </w:p>
          <w:p w:rsidR="006B519C" w:rsidRDefault="006B519C" w:rsidP="00EF6AFC">
            <w:pPr>
              <w:ind w:right="115"/>
              <w:jc w:val="both"/>
              <w:rPr>
                <w:rFonts w:ascii="Times New Roman" w:hAnsi="Times New Roman"/>
                <w:sz w:val="22"/>
                <w:szCs w:val="22"/>
              </w:rPr>
            </w:pPr>
          </w:p>
          <w:p w:rsidR="006B519C" w:rsidRPr="003E774D" w:rsidRDefault="006B519C" w:rsidP="00EF6AFC">
            <w:pPr>
              <w:ind w:right="115"/>
              <w:jc w:val="both"/>
              <w:rPr>
                <w:rFonts w:ascii="Times New Roman" w:hAnsi="Times New Roman"/>
                <w:sz w:val="22"/>
                <w:szCs w:val="22"/>
              </w:rPr>
            </w:pPr>
          </w:p>
          <w:p w:rsidR="00954B4E" w:rsidRPr="003E774D" w:rsidRDefault="00954B4E" w:rsidP="002A66C6">
            <w:pPr>
              <w:ind w:left="500"/>
              <w:contextualSpacing/>
              <w:jc w:val="both"/>
              <w:rPr>
                <w:rFonts w:ascii="Times New Roman" w:hAnsi="Times New Roman"/>
                <w:b/>
                <w:sz w:val="22"/>
                <w:szCs w:val="22"/>
                <w:lang w:val="es-CO" w:eastAsia="en-US"/>
              </w:rPr>
            </w:pPr>
          </w:p>
          <w:p w:rsidR="00284C75" w:rsidRPr="003E774D" w:rsidRDefault="00284C75" w:rsidP="00284C75">
            <w:pPr>
              <w:ind w:left="500"/>
              <w:contextualSpacing/>
              <w:jc w:val="center"/>
              <w:rPr>
                <w:rFonts w:ascii="Times New Roman" w:hAnsi="Times New Roman"/>
                <w:b/>
                <w:sz w:val="22"/>
                <w:szCs w:val="22"/>
                <w:lang w:val="es-ES"/>
              </w:rPr>
            </w:pPr>
            <w:r w:rsidRPr="003E774D">
              <w:rPr>
                <w:rFonts w:ascii="Times New Roman" w:hAnsi="Times New Roman"/>
                <w:b/>
                <w:sz w:val="22"/>
                <w:szCs w:val="22"/>
                <w:lang w:val="es-CO" w:eastAsia="en-US"/>
              </w:rPr>
              <w:lastRenderedPageBreak/>
              <w:t>ESTADO</w:t>
            </w:r>
            <w:r w:rsidRPr="003E774D">
              <w:rPr>
                <w:rFonts w:ascii="Times New Roman" w:hAnsi="Times New Roman"/>
                <w:b/>
                <w:sz w:val="22"/>
                <w:szCs w:val="22"/>
                <w:lang w:val="es-ES"/>
              </w:rPr>
              <w:t xml:space="preserve"> DEL PLAN DE MEJORAMIENTO INSTITUCIONAL</w:t>
            </w:r>
          </w:p>
          <w:p w:rsidR="00284C75" w:rsidRDefault="00284C75" w:rsidP="00284C75">
            <w:pPr>
              <w:ind w:right="-674"/>
              <w:jc w:val="both"/>
              <w:rPr>
                <w:rFonts w:ascii="Times New Roman" w:hAnsi="Times New Roman"/>
                <w:sz w:val="22"/>
                <w:szCs w:val="22"/>
                <w:lang w:val="es-ES"/>
              </w:rPr>
            </w:pPr>
          </w:p>
          <w:p w:rsidR="00284C75" w:rsidRPr="003E774D" w:rsidRDefault="006B519C" w:rsidP="00284C75">
            <w:pPr>
              <w:ind w:right="-674"/>
              <w:jc w:val="both"/>
              <w:rPr>
                <w:rFonts w:ascii="Times New Roman" w:hAnsi="Times New Roman"/>
                <w:sz w:val="22"/>
                <w:szCs w:val="22"/>
                <w:lang w:val="es-ES"/>
              </w:rPr>
            </w:pPr>
            <w:r>
              <w:rPr>
                <w:noProof/>
                <w:lang w:val="es-CO" w:eastAsia="es-CO"/>
              </w:rPr>
              <w:drawing>
                <wp:inline distT="0" distB="0" distL="0" distR="0" wp14:anchorId="7C2FEC75" wp14:editId="5F797396">
                  <wp:extent cx="5741890" cy="312486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9840" t="31058" r="19818" b="10535"/>
                          <a:stretch/>
                        </pic:blipFill>
                        <pic:spPr bwMode="auto">
                          <a:xfrm>
                            <a:off x="0" y="0"/>
                            <a:ext cx="5773038" cy="3141814"/>
                          </a:xfrm>
                          <a:prstGeom prst="rect">
                            <a:avLst/>
                          </a:prstGeom>
                          <a:ln>
                            <a:noFill/>
                          </a:ln>
                          <a:extLst>
                            <a:ext uri="{53640926-AAD7-44D8-BBD7-CCE9431645EC}">
                              <a14:shadowObscured xmlns:a14="http://schemas.microsoft.com/office/drawing/2010/main"/>
                            </a:ext>
                          </a:extLst>
                        </pic:spPr>
                      </pic:pic>
                    </a:graphicData>
                  </a:graphic>
                </wp:inline>
              </w:drawing>
            </w:r>
          </w:p>
          <w:p w:rsidR="006B519C" w:rsidRDefault="006B519C" w:rsidP="00284C75">
            <w:pPr>
              <w:ind w:right="-674"/>
              <w:jc w:val="both"/>
              <w:rPr>
                <w:rFonts w:ascii="Times New Roman" w:hAnsi="Times New Roman"/>
                <w:sz w:val="22"/>
                <w:szCs w:val="22"/>
                <w:lang w:val="es-ES"/>
              </w:rPr>
            </w:pPr>
          </w:p>
          <w:p w:rsidR="006B519C" w:rsidRDefault="00284C75" w:rsidP="00284C75">
            <w:pPr>
              <w:ind w:right="-674"/>
              <w:jc w:val="both"/>
              <w:rPr>
                <w:rFonts w:ascii="Times New Roman" w:hAnsi="Times New Roman"/>
                <w:bCs/>
                <w:sz w:val="22"/>
                <w:szCs w:val="22"/>
                <w:lang w:val="es-CO" w:eastAsia="en-US"/>
              </w:rPr>
            </w:pPr>
            <w:r w:rsidRPr="003E774D">
              <w:rPr>
                <w:rFonts w:ascii="Times New Roman" w:hAnsi="Times New Roman"/>
                <w:sz w:val="22"/>
                <w:szCs w:val="22"/>
                <w:lang w:val="es-ES"/>
              </w:rPr>
              <w:t xml:space="preserve">A </w:t>
            </w:r>
            <w:r w:rsidR="006B519C">
              <w:rPr>
                <w:rFonts w:ascii="Times New Roman" w:hAnsi="Times New Roman"/>
                <w:sz w:val="22"/>
                <w:szCs w:val="22"/>
                <w:lang w:val="es-ES"/>
              </w:rPr>
              <w:t xml:space="preserve"> </w:t>
            </w:r>
            <w:r w:rsidRPr="003E774D">
              <w:rPr>
                <w:rFonts w:ascii="Times New Roman" w:hAnsi="Times New Roman"/>
                <w:sz w:val="22"/>
                <w:szCs w:val="22"/>
                <w:lang w:val="es-ES"/>
              </w:rPr>
              <w:t>30 de junio de 2017</w:t>
            </w:r>
            <w:r w:rsidRPr="003E774D">
              <w:rPr>
                <w:rFonts w:ascii="Times New Roman" w:hAnsi="Times New Roman"/>
                <w:bCs/>
                <w:sz w:val="22"/>
                <w:szCs w:val="22"/>
                <w:lang w:val="es-CO" w:eastAsia="en-US"/>
              </w:rPr>
              <w:t xml:space="preserve">, </w:t>
            </w:r>
            <w:r w:rsidR="006B519C">
              <w:rPr>
                <w:rFonts w:ascii="Times New Roman" w:hAnsi="Times New Roman"/>
                <w:bCs/>
                <w:sz w:val="22"/>
                <w:szCs w:val="22"/>
                <w:lang w:val="es-CO" w:eastAsia="en-US"/>
              </w:rPr>
              <w:t xml:space="preserve"> </w:t>
            </w:r>
            <w:r w:rsidRPr="003E774D">
              <w:rPr>
                <w:rFonts w:ascii="Times New Roman" w:hAnsi="Times New Roman"/>
                <w:bCs/>
                <w:sz w:val="22"/>
                <w:szCs w:val="22"/>
                <w:lang w:val="es-CO" w:eastAsia="en-US"/>
              </w:rPr>
              <w:t>la SDP,</w:t>
            </w:r>
            <w:r w:rsidR="006B519C">
              <w:rPr>
                <w:rFonts w:ascii="Times New Roman" w:hAnsi="Times New Roman"/>
                <w:bCs/>
                <w:sz w:val="22"/>
                <w:szCs w:val="22"/>
                <w:lang w:val="es-CO" w:eastAsia="en-US"/>
              </w:rPr>
              <w:t xml:space="preserve"> </w:t>
            </w:r>
            <w:r w:rsidRPr="003E774D">
              <w:rPr>
                <w:rFonts w:ascii="Times New Roman" w:hAnsi="Times New Roman"/>
                <w:bCs/>
                <w:sz w:val="22"/>
                <w:szCs w:val="22"/>
                <w:lang w:val="es-CO" w:eastAsia="en-US"/>
              </w:rPr>
              <w:t xml:space="preserve"> registra</w:t>
            </w:r>
            <w:r w:rsidR="006B519C">
              <w:rPr>
                <w:rFonts w:ascii="Times New Roman" w:hAnsi="Times New Roman"/>
                <w:bCs/>
                <w:sz w:val="22"/>
                <w:szCs w:val="22"/>
                <w:lang w:val="es-CO" w:eastAsia="en-US"/>
              </w:rPr>
              <w:t xml:space="preserve"> </w:t>
            </w:r>
            <w:r w:rsidRPr="003E774D">
              <w:rPr>
                <w:rFonts w:ascii="Times New Roman" w:hAnsi="Times New Roman"/>
                <w:bCs/>
                <w:sz w:val="22"/>
                <w:szCs w:val="22"/>
                <w:lang w:val="es-CO" w:eastAsia="en-US"/>
              </w:rPr>
              <w:t xml:space="preserve"> un total 153 acciones, de las cuales </w:t>
            </w:r>
            <w:r w:rsidR="006B519C">
              <w:rPr>
                <w:rFonts w:ascii="Times New Roman" w:hAnsi="Times New Roman"/>
                <w:bCs/>
                <w:sz w:val="22"/>
                <w:szCs w:val="22"/>
                <w:lang w:val="es-CO" w:eastAsia="en-US"/>
              </w:rPr>
              <w:t>135 son Internas, 14</w:t>
            </w:r>
          </w:p>
          <w:p w:rsidR="00954B4E" w:rsidRPr="003E774D" w:rsidRDefault="00284C75" w:rsidP="00284C75">
            <w:pPr>
              <w:ind w:right="-674"/>
              <w:jc w:val="both"/>
              <w:rPr>
                <w:rFonts w:ascii="Times New Roman" w:hAnsi="Times New Roman"/>
                <w:bCs/>
                <w:sz w:val="22"/>
                <w:szCs w:val="22"/>
                <w:lang w:val="es-CO" w:eastAsia="en-US"/>
              </w:rPr>
            </w:pPr>
            <w:r w:rsidRPr="003E774D">
              <w:rPr>
                <w:rFonts w:ascii="Times New Roman" w:hAnsi="Times New Roman"/>
                <w:bCs/>
                <w:sz w:val="22"/>
                <w:szCs w:val="22"/>
                <w:lang w:val="es-CO" w:eastAsia="en-US"/>
              </w:rPr>
              <w:t>de la Contraloría de Bogotá y 4 de la Contraloría General de la República.</w:t>
            </w:r>
          </w:p>
          <w:p w:rsidR="00284C75" w:rsidRPr="003E774D" w:rsidRDefault="00284C75" w:rsidP="00284C75">
            <w:pPr>
              <w:ind w:right="-674"/>
              <w:jc w:val="both"/>
              <w:rPr>
                <w:rFonts w:ascii="Times New Roman" w:hAnsi="Times New Roman"/>
                <w:bCs/>
                <w:sz w:val="22"/>
                <w:szCs w:val="22"/>
                <w:lang w:val="es-CO" w:eastAsia="en-US"/>
              </w:rPr>
            </w:pPr>
          </w:p>
          <w:p w:rsidR="00284C75" w:rsidRPr="003E774D" w:rsidRDefault="00284C75" w:rsidP="006B519C">
            <w:pPr>
              <w:ind w:left="29" w:right="425"/>
              <w:jc w:val="both"/>
              <w:rPr>
                <w:rFonts w:ascii="Times New Roman" w:hAnsi="Times New Roman"/>
                <w:sz w:val="22"/>
                <w:szCs w:val="22"/>
                <w:lang w:val="es-CO" w:eastAsia="en-US"/>
              </w:rPr>
            </w:pPr>
            <w:r w:rsidRPr="003E774D">
              <w:rPr>
                <w:rFonts w:ascii="Times New Roman" w:hAnsi="Times New Roman"/>
                <w:sz w:val="22"/>
                <w:szCs w:val="22"/>
                <w:lang w:val="es-CO" w:eastAsia="en-US"/>
              </w:rPr>
              <w:t xml:space="preserve">Promediando los últimos 4 resultados, se observa que el indicador de eficacia del Plan de Mejoramiento Institucional se encuentra en 98% de cumplimiento, lo cual permite concluir que la SDP atiende oportunamente su compromiso frente al proceso de mejoramiento continuo, autogestión y autocontrol.  </w:t>
            </w:r>
          </w:p>
          <w:p w:rsidR="00284C75" w:rsidRPr="003E774D" w:rsidRDefault="00284C75" w:rsidP="00284C75">
            <w:pPr>
              <w:ind w:left="877" w:right="425"/>
              <w:jc w:val="both"/>
              <w:rPr>
                <w:rFonts w:ascii="Times New Roman" w:hAnsi="Times New Roman"/>
                <w:sz w:val="22"/>
                <w:szCs w:val="22"/>
                <w:lang w:val="es-CO" w:eastAsia="en-US"/>
              </w:rPr>
            </w:pPr>
          </w:p>
          <w:p w:rsidR="00284C75" w:rsidRPr="003E774D" w:rsidRDefault="00284C75" w:rsidP="00284C75">
            <w:pPr>
              <w:ind w:left="877" w:right="425"/>
              <w:jc w:val="center"/>
              <w:rPr>
                <w:rFonts w:ascii="Times New Roman" w:hAnsi="Times New Roman"/>
                <w:sz w:val="22"/>
                <w:szCs w:val="22"/>
                <w:lang w:val="es-CO" w:eastAsia="en-US"/>
              </w:rPr>
            </w:pPr>
            <w:r w:rsidRPr="003E774D">
              <w:rPr>
                <w:rFonts w:ascii="Times New Roman" w:hAnsi="Times New Roman"/>
                <w:noProof/>
                <w:sz w:val="22"/>
                <w:szCs w:val="22"/>
                <w:lang w:val="es-CO" w:eastAsia="es-CO"/>
              </w:rPr>
              <w:drawing>
                <wp:inline distT="0" distB="0" distL="0" distR="0" wp14:anchorId="01A1708A" wp14:editId="296703AC">
                  <wp:extent cx="3816626" cy="1932167"/>
                  <wp:effectExtent l="0" t="0" r="12700" b="1143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4C75" w:rsidRPr="003E774D" w:rsidRDefault="00284C75" w:rsidP="00284C75">
            <w:pPr>
              <w:ind w:left="877" w:right="425"/>
              <w:jc w:val="both"/>
              <w:rPr>
                <w:rFonts w:ascii="Times New Roman" w:hAnsi="Times New Roman"/>
                <w:sz w:val="22"/>
                <w:szCs w:val="22"/>
                <w:lang w:val="es-CO" w:eastAsia="en-US"/>
              </w:rPr>
            </w:pPr>
          </w:p>
          <w:p w:rsidR="00284C75" w:rsidRPr="003E774D" w:rsidRDefault="00284C75" w:rsidP="00284C75">
            <w:pPr>
              <w:ind w:left="360" w:right="425"/>
              <w:jc w:val="both"/>
              <w:rPr>
                <w:rFonts w:ascii="Times New Roman" w:hAnsi="Times New Roman"/>
                <w:bCs/>
                <w:sz w:val="22"/>
                <w:szCs w:val="22"/>
                <w:lang w:val="es-CO" w:eastAsia="en-US"/>
              </w:rPr>
            </w:pPr>
            <w:r w:rsidRPr="003E774D">
              <w:rPr>
                <w:rFonts w:ascii="Times New Roman" w:hAnsi="Times New Roman"/>
                <w:bCs/>
                <w:sz w:val="22"/>
                <w:szCs w:val="22"/>
                <w:lang w:val="es-CO" w:eastAsia="en-US"/>
              </w:rPr>
              <w:t xml:space="preserve">Frente a la eficacia, eficiencia y efectividad de los Planes de mejoramiento de la SDP, se encuentra </w:t>
            </w:r>
            <w:r w:rsidRPr="003E774D">
              <w:rPr>
                <w:rFonts w:ascii="Times New Roman" w:hAnsi="Times New Roman"/>
                <w:sz w:val="22"/>
                <w:szCs w:val="22"/>
                <w:lang w:val="es-CO" w:eastAsia="en-US"/>
              </w:rPr>
              <w:t>lo</w:t>
            </w:r>
            <w:r w:rsidRPr="003E774D">
              <w:rPr>
                <w:rFonts w:ascii="Times New Roman" w:hAnsi="Times New Roman"/>
                <w:bCs/>
                <w:sz w:val="22"/>
                <w:szCs w:val="22"/>
                <w:lang w:val="es-CO" w:eastAsia="en-US"/>
              </w:rPr>
              <w:t xml:space="preserve"> siguiente:</w:t>
            </w:r>
          </w:p>
          <w:p w:rsidR="00284C75" w:rsidRPr="003E774D" w:rsidRDefault="00284C75" w:rsidP="00284C75">
            <w:pPr>
              <w:ind w:left="720"/>
              <w:contextualSpacing/>
              <w:jc w:val="both"/>
              <w:rPr>
                <w:rFonts w:ascii="Times New Roman" w:hAnsi="Times New Roman"/>
                <w:bCs/>
                <w:sz w:val="22"/>
                <w:szCs w:val="22"/>
                <w:lang w:val="es-CO" w:eastAsia="en-US"/>
              </w:rPr>
            </w:pPr>
          </w:p>
          <w:p w:rsidR="00284C75" w:rsidRPr="003E774D" w:rsidRDefault="00284C75" w:rsidP="00A8660B">
            <w:pPr>
              <w:numPr>
                <w:ilvl w:val="0"/>
                <w:numId w:val="5"/>
              </w:numPr>
              <w:tabs>
                <w:tab w:val="left" w:pos="9923"/>
              </w:tabs>
              <w:ind w:left="880" w:right="425" w:hanging="426"/>
              <w:contextualSpacing/>
              <w:jc w:val="both"/>
              <w:rPr>
                <w:rFonts w:ascii="Times New Roman" w:hAnsi="Times New Roman"/>
                <w:bCs/>
                <w:sz w:val="22"/>
                <w:szCs w:val="22"/>
                <w:lang w:val="es-CO" w:eastAsia="en-US"/>
              </w:rPr>
            </w:pPr>
            <w:r w:rsidRPr="003E774D">
              <w:rPr>
                <w:rFonts w:ascii="Times New Roman" w:hAnsi="Times New Roman"/>
                <w:bCs/>
                <w:sz w:val="22"/>
                <w:szCs w:val="22"/>
                <w:lang w:val="es-CO" w:eastAsia="en-US"/>
              </w:rPr>
              <w:t xml:space="preserve">A la fecha de corte se gestionó eficazmente el 100% del plan de mejoramiento de la SDP. </w:t>
            </w:r>
          </w:p>
          <w:p w:rsidR="00284C75" w:rsidRPr="003E774D" w:rsidRDefault="00284C75" w:rsidP="00A8660B">
            <w:pPr>
              <w:numPr>
                <w:ilvl w:val="0"/>
                <w:numId w:val="5"/>
              </w:numPr>
              <w:tabs>
                <w:tab w:val="left" w:pos="9923"/>
              </w:tabs>
              <w:ind w:left="880" w:right="425" w:hanging="426"/>
              <w:contextualSpacing/>
              <w:jc w:val="both"/>
              <w:rPr>
                <w:rFonts w:ascii="Times New Roman" w:hAnsi="Times New Roman"/>
                <w:bCs/>
                <w:sz w:val="22"/>
                <w:szCs w:val="22"/>
                <w:lang w:val="es-CO" w:eastAsia="en-US"/>
              </w:rPr>
            </w:pPr>
            <w:r w:rsidRPr="003E774D">
              <w:rPr>
                <w:rFonts w:ascii="Times New Roman" w:hAnsi="Times New Roman"/>
                <w:sz w:val="22"/>
                <w:szCs w:val="22"/>
                <w:lang w:val="es-CO" w:eastAsia="en-US"/>
              </w:rPr>
              <w:t xml:space="preserve">De la Contraloría de Bogotá, se gestionaron 14 de 14 planes de mejoramiento. </w:t>
            </w:r>
          </w:p>
          <w:p w:rsidR="00284C75" w:rsidRPr="003E774D" w:rsidRDefault="00284C75" w:rsidP="00A8660B">
            <w:pPr>
              <w:numPr>
                <w:ilvl w:val="0"/>
                <w:numId w:val="5"/>
              </w:numPr>
              <w:tabs>
                <w:tab w:val="left" w:pos="9923"/>
              </w:tabs>
              <w:ind w:left="880" w:right="425" w:hanging="426"/>
              <w:contextualSpacing/>
              <w:jc w:val="both"/>
              <w:rPr>
                <w:rFonts w:ascii="Times New Roman" w:hAnsi="Times New Roman"/>
                <w:bCs/>
                <w:sz w:val="22"/>
                <w:szCs w:val="22"/>
                <w:lang w:val="es-CO" w:eastAsia="en-US"/>
              </w:rPr>
            </w:pPr>
            <w:r w:rsidRPr="003E774D">
              <w:rPr>
                <w:rFonts w:ascii="Times New Roman" w:hAnsi="Times New Roman"/>
                <w:sz w:val="22"/>
                <w:szCs w:val="22"/>
                <w:lang w:val="es-CO" w:eastAsia="en-US"/>
              </w:rPr>
              <w:t>Frente a la Contraloría General de la República, se gestionaron 4 de 4 planes de mejoramiento.</w:t>
            </w:r>
          </w:p>
          <w:p w:rsidR="00284C75" w:rsidRPr="003E774D" w:rsidRDefault="00284C75" w:rsidP="00A8660B">
            <w:pPr>
              <w:numPr>
                <w:ilvl w:val="0"/>
                <w:numId w:val="5"/>
              </w:numPr>
              <w:tabs>
                <w:tab w:val="left" w:pos="9923"/>
              </w:tabs>
              <w:ind w:left="880" w:right="425" w:hanging="426"/>
              <w:contextualSpacing/>
              <w:jc w:val="both"/>
              <w:rPr>
                <w:rFonts w:ascii="Times New Roman" w:hAnsi="Times New Roman"/>
                <w:sz w:val="22"/>
                <w:szCs w:val="22"/>
                <w:lang w:val="es-CO" w:eastAsia="en-US"/>
              </w:rPr>
            </w:pPr>
            <w:r w:rsidRPr="003E774D">
              <w:rPr>
                <w:rFonts w:ascii="Times New Roman" w:hAnsi="Times New Roman"/>
                <w:bCs/>
                <w:sz w:val="22"/>
                <w:szCs w:val="22"/>
                <w:lang w:val="es-CO" w:eastAsia="en-US"/>
              </w:rPr>
              <w:lastRenderedPageBreak/>
              <w:t>Se</w:t>
            </w:r>
            <w:r w:rsidRPr="003E774D">
              <w:rPr>
                <w:rFonts w:ascii="Times New Roman" w:hAnsi="Times New Roman"/>
                <w:sz w:val="22"/>
                <w:szCs w:val="22"/>
                <w:lang w:val="es-CO" w:eastAsia="en-US"/>
              </w:rPr>
              <w:t xml:space="preserve"> otorga el </w:t>
            </w:r>
            <w:r w:rsidRPr="003E774D">
              <w:rPr>
                <w:rFonts w:ascii="Times New Roman" w:hAnsi="Times New Roman"/>
                <w:b/>
                <w:sz w:val="22"/>
                <w:szCs w:val="22"/>
                <w:lang w:val="es-CO" w:eastAsia="en-US"/>
              </w:rPr>
              <w:t xml:space="preserve">cierre </w:t>
            </w:r>
            <w:r w:rsidRPr="003E774D">
              <w:rPr>
                <w:rFonts w:ascii="Times New Roman" w:hAnsi="Times New Roman"/>
                <w:sz w:val="22"/>
                <w:szCs w:val="22"/>
                <w:lang w:val="es-CO" w:eastAsia="en-US"/>
              </w:rPr>
              <w:t>a 13 acciones culminadas con anticipación.</w:t>
            </w:r>
          </w:p>
          <w:p w:rsidR="00284C75" w:rsidRPr="003E774D" w:rsidRDefault="00284C75" w:rsidP="00A8660B">
            <w:pPr>
              <w:numPr>
                <w:ilvl w:val="0"/>
                <w:numId w:val="5"/>
              </w:numPr>
              <w:tabs>
                <w:tab w:val="left" w:pos="9923"/>
              </w:tabs>
              <w:ind w:left="880" w:right="425" w:hanging="426"/>
              <w:contextualSpacing/>
              <w:jc w:val="both"/>
              <w:rPr>
                <w:rFonts w:ascii="Times New Roman" w:hAnsi="Times New Roman"/>
                <w:sz w:val="22"/>
                <w:szCs w:val="22"/>
                <w:lang w:val="es-CO" w:eastAsia="en-US"/>
              </w:rPr>
            </w:pPr>
            <w:r w:rsidRPr="003E774D">
              <w:rPr>
                <w:rFonts w:ascii="Times New Roman" w:hAnsi="Times New Roman"/>
                <w:sz w:val="22"/>
                <w:szCs w:val="22"/>
                <w:lang w:val="es-CO" w:eastAsia="en-US"/>
              </w:rPr>
              <w:t xml:space="preserve">Se califican como </w:t>
            </w:r>
            <w:r w:rsidRPr="003E774D">
              <w:rPr>
                <w:rFonts w:ascii="Times New Roman" w:hAnsi="Times New Roman"/>
                <w:b/>
                <w:sz w:val="22"/>
                <w:szCs w:val="22"/>
                <w:lang w:val="es-CO" w:eastAsia="en-US"/>
              </w:rPr>
              <w:t xml:space="preserve">cumplidas </w:t>
            </w:r>
            <w:r w:rsidRPr="003E774D">
              <w:rPr>
                <w:rFonts w:ascii="Times New Roman" w:hAnsi="Times New Roman"/>
                <w:sz w:val="22"/>
                <w:szCs w:val="22"/>
                <w:lang w:val="es-CO" w:eastAsia="en-US"/>
              </w:rPr>
              <w:t>y</w:t>
            </w:r>
            <w:r w:rsidRPr="003E774D">
              <w:rPr>
                <w:rFonts w:ascii="Times New Roman" w:hAnsi="Times New Roman"/>
                <w:b/>
                <w:sz w:val="22"/>
                <w:szCs w:val="22"/>
                <w:lang w:val="es-CO" w:eastAsia="en-US"/>
              </w:rPr>
              <w:t xml:space="preserve"> en seguimiento, </w:t>
            </w:r>
            <w:r w:rsidRPr="003E774D">
              <w:rPr>
                <w:rFonts w:ascii="Times New Roman" w:hAnsi="Times New Roman"/>
                <w:sz w:val="22"/>
                <w:szCs w:val="22"/>
                <w:lang w:val="es-CO" w:eastAsia="en-US"/>
              </w:rPr>
              <w:t>6 acciones, y si bien se cumplieron en un 100%, la OCI las seguirá monitoreando durante un periodo prudencial, con el fin de asegurar la efectividad.</w:t>
            </w:r>
          </w:p>
          <w:p w:rsidR="00284C75" w:rsidRPr="003E774D" w:rsidRDefault="00284C75" w:rsidP="00284C75">
            <w:pPr>
              <w:ind w:left="720"/>
              <w:contextualSpacing/>
              <w:jc w:val="both"/>
              <w:rPr>
                <w:rFonts w:ascii="Times New Roman" w:hAnsi="Times New Roman"/>
                <w:sz w:val="22"/>
                <w:szCs w:val="22"/>
                <w:lang w:val="es-CO" w:eastAsia="en-US"/>
              </w:rPr>
            </w:pPr>
          </w:p>
          <w:p w:rsidR="00284C75" w:rsidRPr="003E774D" w:rsidRDefault="00284C75" w:rsidP="00284C75">
            <w:pPr>
              <w:tabs>
                <w:tab w:val="left" w:pos="9923"/>
              </w:tabs>
              <w:ind w:left="310" w:right="425"/>
              <w:contextualSpacing/>
              <w:jc w:val="both"/>
              <w:rPr>
                <w:rFonts w:ascii="Times New Roman" w:hAnsi="Times New Roman"/>
                <w:sz w:val="22"/>
                <w:szCs w:val="22"/>
                <w:lang w:val="es-CO" w:eastAsia="en-US"/>
              </w:rPr>
            </w:pPr>
            <w:r w:rsidRPr="003E774D">
              <w:rPr>
                <w:rFonts w:ascii="Times New Roman" w:hAnsi="Times New Roman"/>
                <w:sz w:val="22"/>
                <w:szCs w:val="22"/>
                <w:lang w:val="es-CO" w:eastAsia="en-US"/>
              </w:rPr>
              <w:t>Se atendió la recomendación de la Oficina de Control Interno, consignadas en el informe de Planes de Mejoramiento corte 31/03/2017. Finalmente,  se</w:t>
            </w:r>
            <w:r w:rsidRPr="003E774D">
              <w:rPr>
                <w:rFonts w:ascii="Times New Roman" w:hAnsi="Times New Roman"/>
                <w:bCs/>
                <w:sz w:val="22"/>
                <w:szCs w:val="22"/>
                <w:lang w:val="es-CO" w:eastAsia="en-US"/>
              </w:rPr>
              <w:t xml:space="preserve"> reconoce el fortalecimiento en las actividades de acompañamiento de la Dirección de Planeación en su rol monitoreo a la gestión y tratamiento de planes de mejoramiento en la SDP.</w:t>
            </w:r>
          </w:p>
          <w:p w:rsidR="00284C75" w:rsidRPr="003E774D" w:rsidRDefault="00284C75" w:rsidP="00284C75">
            <w:pPr>
              <w:tabs>
                <w:tab w:val="left" w:pos="9923"/>
              </w:tabs>
              <w:ind w:left="993" w:right="425"/>
              <w:jc w:val="both"/>
              <w:rPr>
                <w:rFonts w:ascii="Times New Roman" w:hAnsi="Times New Roman"/>
                <w:bCs/>
                <w:sz w:val="22"/>
                <w:szCs w:val="22"/>
                <w:lang w:val="es-CO" w:eastAsia="en-US"/>
              </w:rPr>
            </w:pPr>
          </w:p>
          <w:p w:rsidR="0087261D" w:rsidRPr="003E774D" w:rsidRDefault="0087261D" w:rsidP="00284C75">
            <w:pPr>
              <w:ind w:right="141"/>
              <w:jc w:val="both"/>
              <w:rPr>
                <w:rFonts w:ascii="Times New Roman" w:hAnsi="Times New Roman"/>
                <w:b/>
                <w:sz w:val="22"/>
                <w:szCs w:val="22"/>
              </w:rPr>
            </w:pPr>
          </w:p>
        </w:tc>
      </w:tr>
      <w:tr w:rsidR="00593E9D" w:rsidRPr="003E774D" w:rsidTr="00796CBE">
        <w:trPr>
          <w:trHeight w:val="1833"/>
        </w:trPr>
        <w:tc>
          <w:tcPr>
            <w:tcW w:w="9180" w:type="dxa"/>
          </w:tcPr>
          <w:p w:rsidR="00593E9D" w:rsidRPr="003E774D" w:rsidRDefault="00593E9D" w:rsidP="002A66C6">
            <w:pPr>
              <w:ind w:left="180" w:right="-1"/>
              <w:jc w:val="both"/>
              <w:rPr>
                <w:rFonts w:ascii="Times New Roman" w:hAnsi="Times New Roman"/>
                <w:b/>
                <w:sz w:val="22"/>
                <w:szCs w:val="22"/>
              </w:rPr>
            </w:pPr>
          </w:p>
          <w:p w:rsidR="00D23242" w:rsidRPr="003E774D" w:rsidRDefault="00593E9D" w:rsidP="002A66C6">
            <w:pPr>
              <w:ind w:right="-1"/>
              <w:jc w:val="both"/>
              <w:rPr>
                <w:rFonts w:ascii="Times New Roman" w:hAnsi="Times New Roman"/>
                <w:b/>
                <w:sz w:val="22"/>
                <w:szCs w:val="22"/>
              </w:rPr>
            </w:pPr>
            <w:r w:rsidRPr="003E774D">
              <w:rPr>
                <w:rFonts w:ascii="Times New Roman" w:hAnsi="Times New Roman"/>
                <w:b/>
                <w:sz w:val="22"/>
                <w:szCs w:val="22"/>
              </w:rPr>
              <w:t>DIFICULTADES:</w:t>
            </w:r>
            <w:r w:rsidR="000525BD" w:rsidRPr="003E774D">
              <w:rPr>
                <w:rFonts w:ascii="Times New Roman" w:hAnsi="Times New Roman"/>
                <w:b/>
                <w:sz w:val="22"/>
                <w:szCs w:val="22"/>
              </w:rPr>
              <w:t xml:space="preserve"> </w:t>
            </w:r>
          </w:p>
          <w:p w:rsidR="00D23242" w:rsidRPr="003E774D" w:rsidRDefault="00D23242" w:rsidP="002A66C6">
            <w:pPr>
              <w:ind w:right="-1"/>
              <w:jc w:val="both"/>
              <w:rPr>
                <w:rFonts w:ascii="Times New Roman" w:hAnsi="Times New Roman"/>
                <w:b/>
                <w:sz w:val="22"/>
                <w:szCs w:val="22"/>
              </w:rPr>
            </w:pPr>
          </w:p>
          <w:p w:rsidR="00405878" w:rsidRPr="003E774D" w:rsidRDefault="00AE6F86" w:rsidP="00391B92">
            <w:pPr>
              <w:ind w:right="-1"/>
              <w:jc w:val="both"/>
              <w:rPr>
                <w:rFonts w:ascii="Times New Roman" w:hAnsi="Times New Roman"/>
                <w:sz w:val="22"/>
                <w:szCs w:val="22"/>
              </w:rPr>
            </w:pPr>
            <w:r w:rsidRPr="003E774D">
              <w:rPr>
                <w:rFonts w:ascii="Times New Roman" w:hAnsi="Times New Roman"/>
                <w:sz w:val="22"/>
                <w:szCs w:val="22"/>
              </w:rPr>
              <w:t>En las últimas vige</w:t>
            </w:r>
            <w:r w:rsidR="00481547" w:rsidRPr="003E774D">
              <w:rPr>
                <w:rFonts w:ascii="Times New Roman" w:hAnsi="Times New Roman"/>
                <w:sz w:val="22"/>
                <w:szCs w:val="22"/>
              </w:rPr>
              <w:t xml:space="preserve">ncias la SDP ha venido apoyando </w:t>
            </w:r>
            <w:r w:rsidRPr="003E774D">
              <w:rPr>
                <w:rFonts w:ascii="Times New Roman" w:hAnsi="Times New Roman"/>
                <w:sz w:val="22"/>
                <w:szCs w:val="22"/>
              </w:rPr>
              <w:t xml:space="preserve">la gestión del Plan de Mejoramiento Institucional a través de un módulo adecuado en el aplicativo SIPA, con el objeto de documentar los seguimientos, aplicar tiempos y generar registros de la gestión, en todas las áreas de la entidad. Sin embargo, dicho módulo ha reportado algunas dificultades desde </w:t>
            </w:r>
            <w:r w:rsidR="008F5E7C" w:rsidRPr="003E774D">
              <w:rPr>
                <w:rFonts w:ascii="Times New Roman" w:hAnsi="Times New Roman"/>
                <w:sz w:val="22"/>
                <w:szCs w:val="22"/>
              </w:rPr>
              <w:t xml:space="preserve">el punto de vista técnico, que han impactado </w:t>
            </w:r>
            <w:r w:rsidRPr="003E774D">
              <w:rPr>
                <w:rFonts w:ascii="Times New Roman" w:hAnsi="Times New Roman"/>
                <w:sz w:val="22"/>
                <w:szCs w:val="22"/>
              </w:rPr>
              <w:t xml:space="preserve">la generación de los reportes e informes de manera oportuna. </w:t>
            </w:r>
            <w:r w:rsidR="00C365F7" w:rsidRPr="003E774D">
              <w:rPr>
                <w:rFonts w:ascii="Times New Roman" w:hAnsi="Times New Roman"/>
                <w:sz w:val="22"/>
                <w:szCs w:val="22"/>
              </w:rPr>
              <w:t xml:space="preserve"> Par</w:t>
            </w:r>
            <w:r w:rsidR="00391B92">
              <w:rPr>
                <w:rFonts w:ascii="Times New Roman" w:hAnsi="Times New Roman"/>
                <w:sz w:val="22"/>
                <w:szCs w:val="22"/>
              </w:rPr>
              <w:t>a</w:t>
            </w:r>
            <w:r w:rsidR="00C365F7" w:rsidRPr="003E774D">
              <w:rPr>
                <w:rFonts w:ascii="Times New Roman" w:hAnsi="Times New Roman"/>
                <w:sz w:val="22"/>
                <w:szCs w:val="22"/>
              </w:rPr>
              <w:t xml:space="preserve"> este período la herramienta sigue ofreciendo dificultades en términos de oportunidad  y completitud de la información</w:t>
            </w:r>
            <w:r w:rsidR="00391B92">
              <w:rPr>
                <w:rFonts w:ascii="Times New Roman" w:hAnsi="Times New Roman"/>
                <w:sz w:val="22"/>
                <w:szCs w:val="22"/>
              </w:rPr>
              <w:t>, lo cual genera reprocesos.</w:t>
            </w:r>
            <w:r w:rsidR="00C365F7" w:rsidRPr="003E774D">
              <w:rPr>
                <w:rFonts w:ascii="Times New Roman" w:hAnsi="Times New Roman"/>
                <w:sz w:val="22"/>
                <w:szCs w:val="22"/>
              </w:rPr>
              <w:t xml:space="preserve"> </w:t>
            </w:r>
          </w:p>
        </w:tc>
      </w:tr>
    </w:tbl>
    <w:p w:rsidR="00D23242" w:rsidRPr="003E774D" w:rsidRDefault="00D23242" w:rsidP="002A66C6">
      <w:pPr>
        <w:jc w:val="both"/>
        <w:rPr>
          <w:rFonts w:ascii="Times New Roman" w:hAnsi="Times New Roman"/>
          <w:sz w:val="22"/>
          <w:szCs w:val="22"/>
        </w:rPr>
      </w:pPr>
    </w:p>
    <w:p w:rsidR="00405878" w:rsidRPr="003E774D" w:rsidRDefault="00405878" w:rsidP="002A66C6">
      <w:pPr>
        <w:jc w:val="both"/>
        <w:rPr>
          <w:rFonts w:ascii="Times New Roman" w:hAnsi="Times New Roman"/>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2640D" w:rsidRPr="003E774D" w:rsidTr="00E23F2B">
        <w:trPr>
          <w:trHeight w:val="464"/>
        </w:trPr>
        <w:tc>
          <w:tcPr>
            <w:tcW w:w="9322" w:type="dxa"/>
            <w:shd w:val="clear" w:color="auto" w:fill="CCCCCC"/>
            <w:vAlign w:val="center"/>
          </w:tcPr>
          <w:p w:rsidR="0012640D" w:rsidRPr="003E774D" w:rsidRDefault="00AE6F86" w:rsidP="002A66C6">
            <w:pPr>
              <w:ind w:right="-1"/>
              <w:jc w:val="both"/>
              <w:rPr>
                <w:rFonts w:ascii="Times New Roman" w:hAnsi="Times New Roman"/>
                <w:b/>
                <w:sz w:val="22"/>
                <w:szCs w:val="22"/>
              </w:rPr>
            </w:pPr>
            <w:r w:rsidRPr="003E774D">
              <w:rPr>
                <w:rFonts w:ascii="Times New Roman" w:hAnsi="Times New Roman"/>
                <w:b/>
                <w:sz w:val="22"/>
                <w:szCs w:val="22"/>
              </w:rPr>
              <w:t>3. EJE TRANSVERSAL: INFORMACIÓN Y COMUNICACIÓN</w:t>
            </w:r>
          </w:p>
        </w:tc>
      </w:tr>
      <w:tr w:rsidR="00022D65" w:rsidRPr="003E774D" w:rsidTr="00E23F2B">
        <w:tc>
          <w:tcPr>
            <w:tcW w:w="9322" w:type="dxa"/>
          </w:tcPr>
          <w:p w:rsidR="00022D65" w:rsidRPr="003E774D" w:rsidRDefault="00022D65" w:rsidP="00A8660B">
            <w:pPr>
              <w:pStyle w:val="Prrafodelista"/>
              <w:numPr>
                <w:ilvl w:val="1"/>
                <w:numId w:val="6"/>
              </w:numPr>
              <w:jc w:val="both"/>
              <w:rPr>
                <w:rFonts w:ascii="Times New Roman" w:hAnsi="Times New Roman"/>
                <w:b/>
                <w:lang w:val="es-ES"/>
              </w:rPr>
            </w:pPr>
            <w:r w:rsidRPr="003E774D">
              <w:rPr>
                <w:rFonts w:ascii="Times New Roman" w:hAnsi="Times New Roman"/>
                <w:b/>
                <w:color w:val="222222"/>
                <w:shd w:val="clear" w:color="auto" w:fill="FFFFFF"/>
              </w:rPr>
              <w:t>Comunicación externa:</w:t>
            </w:r>
          </w:p>
          <w:p w:rsidR="00022D65" w:rsidRPr="003E774D" w:rsidRDefault="00022D65" w:rsidP="00022D65">
            <w:pPr>
              <w:shd w:val="clear" w:color="auto" w:fill="FFFFFF"/>
              <w:jc w:val="both"/>
              <w:rPr>
                <w:rFonts w:ascii="Times New Roman" w:hAnsi="Times New Roman"/>
                <w:sz w:val="22"/>
                <w:szCs w:val="22"/>
                <w:lang w:val="es-ES"/>
              </w:rPr>
            </w:pPr>
            <w:r w:rsidRPr="003E774D">
              <w:rPr>
                <w:rFonts w:ascii="Times New Roman" w:hAnsi="Times New Roman"/>
                <w:sz w:val="22"/>
                <w:szCs w:val="22"/>
                <w:lang w:val="es-ES"/>
              </w:rPr>
              <w:t xml:space="preserve">En comunicación externa se divulgaron diferentes temas a través de 8 categorías informativas, página web, redes sociales, entrevistas, ruedas de prensa y piezas gráficas. Además entrevistas y suministro de información entre los que se destacan medios impresos como El Espectador, El Tiempo, El Nuevo Siglo, Revista Semana.  Medios radiales como Caracol básica, la FM, W radio,  y RCN básica. Y  televisivos como Canal Capital, City TV, CM&amp;, Red </w:t>
            </w:r>
            <w:r w:rsidR="006B519C" w:rsidRPr="003E774D">
              <w:rPr>
                <w:rFonts w:ascii="Times New Roman" w:hAnsi="Times New Roman"/>
                <w:sz w:val="22"/>
                <w:szCs w:val="22"/>
                <w:lang w:val="es-ES"/>
              </w:rPr>
              <w:t>Más</w:t>
            </w:r>
            <w:r w:rsidRPr="003E774D">
              <w:rPr>
                <w:rFonts w:ascii="Times New Roman" w:hAnsi="Times New Roman"/>
                <w:sz w:val="22"/>
                <w:szCs w:val="22"/>
                <w:lang w:val="es-ES"/>
              </w:rPr>
              <w:t xml:space="preserve"> Noticias y RCN TV.</w:t>
            </w:r>
          </w:p>
          <w:p w:rsidR="00022D65" w:rsidRPr="003E774D" w:rsidRDefault="00022D65" w:rsidP="00022D65">
            <w:pPr>
              <w:jc w:val="both"/>
              <w:rPr>
                <w:rFonts w:ascii="Times New Roman" w:hAnsi="Times New Roman"/>
                <w:sz w:val="22"/>
                <w:szCs w:val="22"/>
                <w:u w:val="single"/>
                <w:lang w:val="es-ES"/>
              </w:rPr>
            </w:pPr>
          </w:p>
          <w:p w:rsidR="00022D65" w:rsidRPr="003E774D" w:rsidRDefault="00022D65" w:rsidP="00022D65">
            <w:pPr>
              <w:tabs>
                <w:tab w:val="left" w:pos="2758"/>
              </w:tabs>
              <w:jc w:val="both"/>
              <w:rPr>
                <w:rFonts w:ascii="Times New Roman" w:hAnsi="Times New Roman"/>
                <w:sz w:val="22"/>
                <w:szCs w:val="22"/>
                <w:lang w:val="es-ES"/>
              </w:rPr>
            </w:pPr>
            <w:r w:rsidRPr="003E774D">
              <w:rPr>
                <w:rFonts w:ascii="Times New Roman" w:hAnsi="Times New Roman"/>
                <w:sz w:val="22"/>
                <w:szCs w:val="22"/>
                <w:lang w:val="es-ES"/>
              </w:rPr>
              <w:t>Se divulgaron y pusieron en agenda pública temas como la legalización de barrios durante la actual Administración; Más de 109 mil hogares en Bogotá y 37 municipios de Cundinamarca, seleccionados para responder la Encuesta Multipropósito 2017</w:t>
            </w:r>
            <w:r w:rsidRPr="003E774D">
              <w:rPr>
                <w:rFonts w:ascii="Times New Roman" w:hAnsi="Times New Roman"/>
                <w:bCs/>
                <w:color w:val="000000"/>
                <w:sz w:val="22"/>
                <w:szCs w:val="22"/>
              </w:rPr>
              <w:t xml:space="preserve">Encuesta Económica en Bogotá y 37 municipios de Cundinamarca; Bogotá y Cundinamarca definen proyectos estratégicos de integración regional; </w:t>
            </w:r>
            <w:r w:rsidRPr="003E774D">
              <w:rPr>
                <w:rFonts w:ascii="Times New Roman" w:hAnsi="Times New Roman"/>
                <w:bCs/>
                <w:color w:val="000000"/>
                <w:sz w:val="22"/>
                <w:szCs w:val="22"/>
                <w:shd w:val="clear" w:color="auto" w:fill="FFFFFF"/>
              </w:rPr>
              <w:t xml:space="preserve">Área de Ocupación Pública Prioritaria de la Franja de Adecuación de Cerros Orientales, zona verde para el disfrute y la recreación; </w:t>
            </w:r>
            <w:r w:rsidRPr="003E774D">
              <w:rPr>
                <w:rFonts w:ascii="Times New Roman" w:hAnsi="Times New Roman"/>
                <w:bCs/>
                <w:color w:val="222222"/>
                <w:sz w:val="22"/>
                <w:szCs w:val="22"/>
                <w:shd w:val="clear" w:color="auto" w:fill="FFFFFF"/>
              </w:rPr>
              <w:t xml:space="preserve">Distrito modifica norma para la instalación de pequeñas antenas de telefonía celular con última tecnología; </w:t>
            </w:r>
            <w:r w:rsidRPr="003E774D">
              <w:rPr>
                <w:rFonts w:ascii="Times New Roman" w:hAnsi="Times New Roman"/>
                <w:bCs/>
                <w:color w:val="000000"/>
                <w:sz w:val="22"/>
                <w:szCs w:val="22"/>
                <w:shd w:val="clear" w:color="auto" w:fill="FFFFFF"/>
              </w:rPr>
              <w:t xml:space="preserve">Administración Distrital suscribe Plan de Acción del “Programa Acelerador de Eficiencia Energética en Edificaciones”; </w:t>
            </w:r>
            <w:r w:rsidRPr="003E774D">
              <w:rPr>
                <w:rFonts w:ascii="Times New Roman" w:hAnsi="Times New Roman"/>
                <w:bCs/>
                <w:color w:val="222222"/>
                <w:sz w:val="22"/>
                <w:szCs w:val="22"/>
                <w:shd w:val="clear" w:color="auto" w:fill="FFFFFF"/>
                <w:lang w:val="es-ES"/>
              </w:rPr>
              <w:t xml:space="preserve">Distrito Capital ratifica el estrato al 98,9% de las manzanas de la ciudad; </w:t>
            </w:r>
            <w:r w:rsidRPr="003E774D">
              <w:rPr>
                <w:rFonts w:ascii="Times New Roman" w:hAnsi="Times New Roman"/>
                <w:bCs/>
                <w:color w:val="222222"/>
                <w:sz w:val="22"/>
                <w:szCs w:val="22"/>
              </w:rPr>
              <w:t xml:space="preserve">Semana por la Igualdad 2017 se toma Bogotá por séptima vez; </w:t>
            </w:r>
            <w:r w:rsidRPr="003E774D">
              <w:rPr>
                <w:rFonts w:ascii="Times New Roman" w:hAnsi="Times New Roman"/>
                <w:bCs/>
                <w:color w:val="222222"/>
                <w:sz w:val="22"/>
                <w:szCs w:val="22"/>
                <w:lang w:val="es-ES"/>
              </w:rPr>
              <w:t>1er. Encuentro Interreligioso y de Diversidad Sexual en Bogotá;</w:t>
            </w:r>
            <w:r w:rsidRPr="003E774D">
              <w:rPr>
                <w:rFonts w:ascii="Times New Roman" w:hAnsi="Times New Roman"/>
                <w:bCs/>
                <w:color w:val="222222"/>
                <w:sz w:val="22"/>
                <w:szCs w:val="22"/>
              </w:rPr>
              <w:t xml:space="preserve"> </w:t>
            </w:r>
            <w:r w:rsidRPr="003E774D">
              <w:rPr>
                <w:rFonts w:ascii="Times New Roman" w:hAnsi="Times New Roman"/>
                <w:bCs/>
                <w:color w:val="000000"/>
                <w:sz w:val="22"/>
                <w:szCs w:val="22"/>
                <w:shd w:val="clear" w:color="auto" w:fill="FFFFFF"/>
              </w:rPr>
              <w:t xml:space="preserve">Proyectos conexos a </w:t>
            </w:r>
            <w:proofErr w:type="spellStart"/>
            <w:r w:rsidRPr="003E774D">
              <w:rPr>
                <w:rFonts w:ascii="Times New Roman" w:hAnsi="Times New Roman"/>
                <w:bCs/>
                <w:color w:val="000000"/>
                <w:sz w:val="22"/>
                <w:szCs w:val="22"/>
                <w:shd w:val="clear" w:color="auto" w:fill="FFFFFF"/>
              </w:rPr>
              <w:t>Transmicable</w:t>
            </w:r>
            <w:proofErr w:type="spellEnd"/>
            <w:r w:rsidRPr="003E774D">
              <w:rPr>
                <w:rFonts w:ascii="Times New Roman" w:hAnsi="Times New Roman"/>
                <w:bCs/>
                <w:color w:val="000000"/>
                <w:sz w:val="22"/>
                <w:szCs w:val="22"/>
                <w:shd w:val="clear" w:color="auto" w:fill="FFFFFF"/>
              </w:rPr>
              <w:t xml:space="preserve"> darán nuevo rostro a Ciudad Bolívar; se socializa Diagnóstico POT sobre mujeres en Bogotá; Componente rural del POT; Alcances del proyecto Lagos de Torca;  </w:t>
            </w:r>
            <w:r w:rsidRPr="003E774D">
              <w:rPr>
                <w:rFonts w:ascii="Times New Roman" w:hAnsi="Times New Roman"/>
                <w:sz w:val="22"/>
                <w:szCs w:val="22"/>
                <w:lang w:val="es-ES"/>
              </w:rPr>
              <w:t xml:space="preserve"> </w:t>
            </w:r>
            <w:r w:rsidRPr="003E774D">
              <w:rPr>
                <w:rFonts w:ascii="Times New Roman" w:hAnsi="Times New Roman"/>
                <w:bCs/>
                <w:color w:val="000000"/>
                <w:sz w:val="22"/>
                <w:szCs w:val="22"/>
              </w:rPr>
              <w:t xml:space="preserve">Academia de arquitectura Suiza aportará ideas para VIS en Bogotá; </w:t>
            </w:r>
            <w:r w:rsidRPr="003E774D">
              <w:rPr>
                <w:rFonts w:ascii="Times New Roman" w:hAnsi="Times New Roman"/>
                <w:sz w:val="22"/>
                <w:szCs w:val="22"/>
                <w:lang w:val="es-ES"/>
              </w:rPr>
              <w:t>Sistema General de Regalías aprobó más de 17 mil millones de pesos para proyectos estratégicos de la capital, entre otros.</w:t>
            </w:r>
          </w:p>
          <w:p w:rsidR="00022D65" w:rsidRPr="003E774D" w:rsidRDefault="00022D65" w:rsidP="00022D65">
            <w:pPr>
              <w:jc w:val="both"/>
              <w:rPr>
                <w:rFonts w:ascii="Times New Roman" w:hAnsi="Times New Roman"/>
                <w:sz w:val="22"/>
                <w:szCs w:val="22"/>
                <w:u w:val="single"/>
                <w:lang w:val="es-ES"/>
              </w:rPr>
            </w:pPr>
          </w:p>
          <w:p w:rsidR="00022D65" w:rsidRPr="003E774D" w:rsidRDefault="00022D65" w:rsidP="00022D65">
            <w:pPr>
              <w:jc w:val="both"/>
              <w:rPr>
                <w:rFonts w:ascii="Times New Roman" w:hAnsi="Times New Roman"/>
                <w:sz w:val="22"/>
                <w:szCs w:val="22"/>
                <w:lang w:val="es-ES"/>
              </w:rPr>
            </w:pPr>
            <w:r w:rsidRPr="003E774D">
              <w:rPr>
                <w:rFonts w:ascii="Times New Roman" w:hAnsi="Times New Roman"/>
                <w:bCs/>
                <w:sz w:val="22"/>
                <w:szCs w:val="22"/>
                <w:lang w:val="es-ES"/>
              </w:rPr>
              <w:t xml:space="preserve">Se realizó la coordinación editorial de publicaciones impresas como la </w:t>
            </w:r>
            <w:r w:rsidRPr="003E774D">
              <w:rPr>
                <w:rFonts w:ascii="Times New Roman" w:hAnsi="Times New Roman"/>
                <w:sz w:val="22"/>
                <w:szCs w:val="22"/>
                <w:lang w:val="es-ES"/>
              </w:rPr>
              <w:t xml:space="preserve">Cartilla Guía para la formulación, implementación y seguimiento a políticas públicas (Políticas sectoriales).  Cartilla Modelo Conceptual para el Seguimiento y Evaluación de la Política Pública en Bogotá. Libro Análisis de la Dinámica Urbana </w:t>
            </w:r>
            <w:r w:rsidRPr="003E774D">
              <w:rPr>
                <w:rFonts w:ascii="Times New Roman" w:hAnsi="Times New Roman"/>
                <w:sz w:val="22"/>
                <w:szCs w:val="22"/>
                <w:lang w:val="es-ES"/>
              </w:rPr>
              <w:lastRenderedPageBreak/>
              <w:t>para la Planeación y el Ordenamiento Territorial.  Plegable Operación Estratégica Centralidad Corabastos</w:t>
            </w:r>
            <w:r w:rsidR="006B519C">
              <w:rPr>
                <w:rFonts w:ascii="Times New Roman" w:hAnsi="Times New Roman"/>
                <w:sz w:val="22"/>
                <w:szCs w:val="22"/>
                <w:lang w:val="es-ES"/>
              </w:rPr>
              <w:t>.</w:t>
            </w:r>
          </w:p>
          <w:p w:rsidR="00022D65" w:rsidRPr="003E774D" w:rsidRDefault="00022D65" w:rsidP="00022D65">
            <w:pPr>
              <w:jc w:val="both"/>
              <w:rPr>
                <w:rFonts w:ascii="Times New Roman" w:hAnsi="Times New Roman"/>
                <w:sz w:val="22"/>
                <w:szCs w:val="22"/>
                <w:lang w:val="es-ES"/>
              </w:rPr>
            </w:pPr>
          </w:p>
          <w:p w:rsidR="00022D65" w:rsidRPr="003E774D" w:rsidRDefault="00022D65" w:rsidP="00022D65">
            <w:pPr>
              <w:jc w:val="both"/>
              <w:rPr>
                <w:rFonts w:ascii="Times New Roman" w:hAnsi="Times New Roman"/>
                <w:sz w:val="22"/>
                <w:szCs w:val="22"/>
                <w:lang w:val="es-ES"/>
              </w:rPr>
            </w:pPr>
            <w:r w:rsidRPr="003E774D">
              <w:rPr>
                <w:rFonts w:ascii="Times New Roman" w:hAnsi="Times New Roman"/>
                <w:sz w:val="22"/>
                <w:szCs w:val="22"/>
              </w:rPr>
              <w:t>Se coordinó la organización y desplazamiento de los funcionarios y contratistas de la SDP que asistieron al evento en Soacha, donde se construirá la PTAR Canoas.</w:t>
            </w:r>
          </w:p>
          <w:p w:rsidR="00022D65" w:rsidRPr="003E774D" w:rsidRDefault="00022D65" w:rsidP="00022D65">
            <w:pPr>
              <w:jc w:val="both"/>
              <w:rPr>
                <w:rFonts w:ascii="Times New Roman" w:hAnsi="Times New Roman"/>
                <w:sz w:val="22"/>
                <w:szCs w:val="22"/>
                <w:u w:val="single"/>
              </w:rPr>
            </w:pPr>
          </w:p>
          <w:p w:rsidR="00022D65" w:rsidRPr="003E774D" w:rsidRDefault="00022D65" w:rsidP="00022D65">
            <w:pPr>
              <w:jc w:val="both"/>
              <w:rPr>
                <w:rFonts w:ascii="Times New Roman" w:hAnsi="Times New Roman"/>
                <w:sz w:val="22"/>
                <w:szCs w:val="22"/>
                <w:lang w:val="es-ES"/>
              </w:rPr>
            </w:pPr>
            <w:r w:rsidRPr="003E774D">
              <w:rPr>
                <w:rFonts w:ascii="Times New Roman" w:hAnsi="Times New Roman"/>
                <w:bCs/>
                <w:sz w:val="22"/>
                <w:szCs w:val="22"/>
                <w:lang w:val="es-ES"/>
              </w:rPr>
              <w:t xml:space="preserve">En </w:t>
            </w:r>
            <w:r w:rsidRPr="003E774D">
              <w:rPr>
                <w:rFonts w:ascii="Times New Roman" w:hAnsi="Times New Roman"/>
                <w:b/>
                <w:bCs/>
                <w:sz w:val="22"/>
                <w:szCs w:val="22"/>
                <w:lang w:val="es-ES"/>
              </w:rPr>
              <w:t>Redes Sociales,</w:t>
            </w:r>
            <w:r w:rsidRPr="003E774D">
              <w:rPr>
                <w:rFonts w:ascii="Times New Roman" w:hAnsi="Times New Roman"/>
                <w:bCs/>
                <w:sz w:val="22"/>
                <w:szCs w:val="22"/>
                <w:lang w:val="es-ES"/>
              </w:rPr>
              <w:t xml:space="preserve"> d</w:t>
            </w:r>
            <w:r w:rsidRPr="003E774D">
              <w:rPr>
                <w:rFonts w:ascii="Times New Roman" w:hAnsi="Times New Roman"/>
                <w:sz w:val="22"/>
                <w:szCs w:val="22"/>
                <w:lang w:val="es-ES"/>
              </w:rPr>
              <w:t>urante los meses de julio, agosto, septiembre y octubre del 2017, se estableció una estrategia de participación y conocimiento de la información, programas, noticias y temas de interés para que toda la ciudadanía tuviese conocimiento de los mismos, además trabajamos de la mano con la Alcaldía Mayor de Bogotá y apoyados por las entidades distritales, en estrategias de impacto para mitigar el alcance negativo que se genera en las redes sociales.</w:t>
            </w:r>
          </w:p>
          <w:p w:rsidR="00022D65" w:rsidRPr="003E774D" w:rsidRDefault="00022D65" w:rsidP="00022D65">
            <w:pPr>
              <w:jc w:val="both"/>
              <w:rPr>
                <w:rFonts w:ascii="Times New Roman" w:hAnsi="Times New Roman"/>
                <w:sz w:val="22"/>
                <w:szCs w:val="22"/>
                <w:lang w:val="es-ES"/>
              </w:rPr>
            </w:pPr>
          </w:p>
          <w:p w:rsidR="00022D65" w:rsidRPr="003E774D" w:rsidRDefault="00022D65" w:rsidP="00022D65">
            <w:pPr>
              <w:jc w:val="both"/>
              <w:rPr>
                <w:rFonts w:ascii="Times New Roman" w:hAnsi="Times New Roman"/>
                <w:sz w:val="22"/>
                <w:szCs w:val="22"/>
                <w:lang w:val="es-ES"/>
              </w:rPr>
            </w:pPr>
            <w:r w:rsidRPr="003E774D">
              <w:rPr>
                <w:rFonts w:ascii="Times New Roman" w:hAnsi="Times New Roman"/>
                <w:sz w:val="22"/>
                <w:szCs w:val="22"/>
                <w:lang w:val="es-ES"/>
              </w:rPr>
              <w:t>Los temas más trabajados en estos meses fueron: Cerros Orientales, Decreto de Antenas, Transmicable, Semana por la Igualdad, legalización de barrios, socialización diagnóstico POT componente rural, semana por la ig</w:t>
            </w:r>
            <w:r w:rsidR="006B519C">
              <w:rPr>
                <w:rFonts w:ascii="Times New Roman" w:hAnsi="Times New Roman"/>
                <w:sz w:val="22"/>
                <w:szCs w:val="22"/>
                <w:lang w:val="es-ES"/>
              </w:rPr>
              <w:t>ualdad, Lagos de Torca, Transmic</w:t>
            </w:r>
            <w:r w:rsidRPr="003E774D">
              <w:rPr>
                <w:rFonts w:ascii="Times New Roman" w:hAnsi="Times New Roman"/>
                <w:sz w:val="22"/>
                <w:szCs w:val="22"/>
                <w:lang w:val="es-ES"/>
              </w:rPr>
              <w:t>able.</w:t>
            </w:r>
          </w:p>
          <w:p w:rsidR="00022D65" w:rsidRPr="003E774D" w:rsidRDefault="00022D65" w:rsidP="00022D65">
            <w:pPr>
              <w:jc w:val="both"/>
              <w:rPr>
                <w:rFonts w:ascii="Times New Roman" w:hAnsi="Times New Roman"/>
                <w:sz w:val="22"/>
                <w:szCs w:val="22"/>
                <w:u w:val="single"/>
                <w:lang w:val="es-ES"/>
              </w:rPr>
            </w:pPr>
          </w:p>
          <w:p w:rsidR="00022D65" w:rsidRPr="003E774D" w:rsidRDefault="00022D65" w:rsidP="00022D65">
            <w:pPr>
              <w:jc w:val="both"/>
              <w:rPr>
                <w:rFonts w:ascii="Times New Roman" w:hAnsi="Times New Roman"/>
                <w:sz w:val="22"/>
                <w:szCs w:val="22"/>
              </w:rPr>
            </w:pPr>
            <w:r w:rsidRPr="003E774D">
              <w:rPr>
                <w:rFonts w:ascii="Times New Roman" w:hAnsi="Times New Roman"/>
                <w:sz w:val="22"/>
                <w:szCs w:val="22"/>
                <w:lang w:val="es-ES"/>
              </w:rPr>
              <w:t xml:space="preserve"> Respecto a las actividades de la </w:t>
            </w:r>
            <w:r w:rsidRPr="003E774D">
              <w:rPr>
                <w:rFonts w:ascii="Times New Roman" w:hAnsi="Times New Roman"/>
                <w:b/>
                <w:sz w:val="22"/>
                <w:szCs w:val="22"/>
                <w:lang w:val="es-ES"/>
              </w:rPr>
              <w:t>página web</w:t>
            </w:r>
            <w:r w:rsidRPr="003E774D">
              <w:rPr>
                <w:rFonts w:ascii="Times New Roman" w:hAnsi="Times New Roman"/>
                <w:b/>
                <w:sz w:val="22"/>
                <w:szCs w:val="22"/>
              </w:rPr>
              <w:t>,</w:t>
            </w:r>
            <w:r w:rsidRPr="003E774D">
              <w:rPr>
                <w:rFonts w:ascii="Times New Roman" w:hAnsi="Times New Roman"/>
                <w:sz w:val="22"/>
                <w:szCs w:val="22"/>
              </w:rPr>
              <w:t xml:space="preserve"> entre julio y octubre se realizaron las siguientes publicaciones en la página web de la entidad: julio 80, agosto 64, septiembre 89 y octubre 64, para un total de 297.</w:t>
            </w:r>
          </w:p>
          <w:p w:rsidR="00022D65" w:rsidRPr="003E774D" w:rsidRDefault="00022D65" w:rsidP="00022D65">
            <w:pPr>
              <w:jc w:val="both"/>
              <w:rPr>
                <w:rFonts w:ascii="Times New Roman" w:hAnsi="Times New Roman"/>
                <w:sz w:val="22"/>
                <w:szCs w:val="22"/>
              </w:rPr>
            </w:pPr>
          </w:p>
          <w:p w:rsidR="00022D65" w:rsidRPr="003E774D" w:rsidRDefault="00022D65" w:rsidP="00022D65">
            <w:pPr>
              <w:jc w:val="both"/>
              <w:rPr>
                <w:rFonts w:ascii="Times New Roman" w:hAnsi="Times New Roman"/>
                <w:sz w:val="22"/>
                <w:szCs w:val="22"/>
              </w:rPr>
            </w:pPr>
            <w:r w:rsidRPr="003E774D">
              <w:rPr>
                <w:rFonts w:ascii="Times New Roman" w:hAnsi="Times New Roman"/>
                <w:sz w:val="22"/>
                <w:szCs w:val="22"/>
              </w:rPr>
              <w:t xml:space="preserve">En el desarrollo del nuevo portal web, que viene adelantando la Dirección de Sistemas, se han realizado las pruebas funcionales de los componentes de: Boletines de noticias, </w:t>
            </w:r>
            <w:r w:rsidR="006B519C" w:rsidRPr="003E774D">
              <w:rPr>
                <w:rFonts w:ascii="Times New Roman" w:hAnsi="Times New Roman"/>
                <w:sz w:val="22"/>
                <w:szCs w:val="22"/>
              </w:rPr>
              <w:t>Mini sitios</w:t>
            </w:r>
            <w:r w:rsidRPr="003E774D">
              <w:rPr>
                <w:rFonts w:ascii="Times New Roman" w:hAnsi="Times New Roman"/>
                <w:sz w:val="22"/>
                <w:szCs w:val="22"/>
              </w:rPr>
              <w:t>, Videoteca y la sección de Transparencia y acceso a la información. En este sentido, se han realizado cinco (5) sesiones de trabajo para la realización de pruebas y validación de los ajustes implementados. Adicionalmente, desde el pasado 23 de octubre se dio inicio al cargue manual de contenidos en la nueva página web.</w:t>
            </w:r>
          </w:p>
          <w:p w:rsidR="00022D65" w:rsidRPr="003E774D" w:rsidRDefault="00022D65" w:rsidP="00022D65">
            <w:pPr>
              <w:jc w:val="both"/>
              <w:rPr>
                <w:rFonts w:ascii="Times New Roman" w:hAnsi="Times New Roman"/>
                <w:sz w:val="22"/>
                <w:szCs w:val="22"/>
              </w:rPr>
            </w:pPr>
          </w:p>
          <w:p w:rsidR="00022D65" w:rsidRPr="003E774D" w:rsidRDefault="00022D65" w:rsidP="00022D65">
            <w:pPr>
              <w:jc w:val="both"/>
              <w:rPr>
                <w:rFonts w:ascii="Times New Roman" w:hAnsi="Times New Roman"/>
                <w:sz w:val="22"/>
                <w:szCs w:val="22"/>
              </w:rPr>
            </w:pPr>
            <w:r w:rsidRPr="003E774D">
              <w:rPr>
                <w:rFonts w:ascii="Times New Roman" w:hAnsi="Times New Roman"/>
                <w:sz w:val="22"/>
                <w:szCs w:val="22"/>
              </w:rPr>
              <w:t>Para el desarrollo de las estrategias comunicativas se encuentran en ejecución los contratos de impresión, monitoreo de medios, manejo de redes sociales, elaboración de informes periodísticos de estudios técnicos de la SDP, infografías animadas y avisos de prensa.</w:t>
            </w:r>
          </w:p>
          <w:p w:rsidR="00022D65" w:rsidRPr="003E774D" w:rsidRDefault="00022D65" w:rsidP="00022D65">
            <w:pPr>
              <w:jc w:val="both"/>
              <w:rPr>
                <w:rFonts w:ascii="Times New Roman" w:hAnsi="Times New Roman"/>
                <w:sz w:val="22"/>
                <w:szCs w:val="22"/>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rPr>
            </w:pPr>
            <w:r w:rsidRPr="003E774D">
              <w:rPr>
                <w:rFonts w:ascii="Times New Roman" w:hAnsi="Times New Roman"/>
                <w:bCs/>
                <w:color w:val="222222"/>
                <w:sz w:val="22"/>
                <w:szCs w:val="22"/>
                <w:shd w:val="clear" w:color="auto" w:fill="FFFFFF"/>
              </w:rPr>
              <w:t xml:space="preserve">Se realizó la grabación, edición y difusión de los siguientes </w:t>
            </w:r>
            <w:r w:rsidRPr="003E774D">
              <w:rPr>
                <w:rFonts w:ascii="Times New Roman" w:hAnsi="Times New Roman"/>
                <w:b/>
                <w:bCs/>
                <w:color w:val="222222"/>
                <w:sz w:val="22"/>
                <w:szCs w:val="22"/>
                <w:shd w:val="clear" w:color="auto" w:fill="FFFFFF"/>
              </w:rPr>
              <w:t xml:space="preserve">videos: </w:t>
            </w:r>
            <w:r w:rsidRPr="003E774D">
              <w:rPr>
                <w:rFonts w:ascii="Times New Roman" w:hAnsi="Times New Roman"/>
                <w:bCs/>
                <w:color w:val="222222"/>
                <w:sz w:val="22"/>
                <w:szCs w:val="22"/>
                <w:shd w:val="clear" w:color="auto" w:fill="FFFFFF"/>
              </w:rPr>
              <w:t>Video del Secretario con mensaje sobre transparencia. Jornada Bogotá Limpia 20K. Video del Secretario para el Reto en Bici de la Semana de la Bici. Se retó al Secretario General, Raúl Higuera. Video del Secretario Andrés Ortiz invitando a la ciudadanía a responder la Encuesta Multipropósito. Video con logo de la Semana por la Igualdad 2017 para Torre Colpatria.</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rPr>
            </w:pPr>
            <w:r w:rsidRPr="003E774D">
              <w:rPr>
                <w:rFonts w:ascii="Times New Roman" w:hAnsi="Times New Roman"/>
                <w:bCs/>
                <w:color w:val="222222"/>
                <w:sz w:val="22"/>
                <w:szCs w:val="22"/>
                <w:shd w:val="clear" w:color="auto" w:fill="FFFFFF"/>
              </w:rPr>
              <w:t xml:space="preserve">Video marchas LGBTI en América Latina. Videos internos con Directivos SDP contando sobre sus funciones, retos y metas. </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A8660B">
            <w:pPr>
              <w:pStyle w:val="Prrafodelista"/>
              <w:numPr>
                <w:ilvl w:val="1"/>
                <w:numId w:val="6"/>
              </w:numPr>
              <w:shd w:val="clear" w:color="auto" w:fill="FFFFFF"/>
              <w:jc w:val="both"/>
              <w:rPr>
                <w:rFonts w:ascii="Times New Roman" w:hAnsi="Times New Roman"/>
                <w:b/>
                <w:bCs/>
                <w:color w:val="222222"/>
                <w:shd w:val="clear" w:color="auto" w:fill="FFFFFF"/>
              </w:rPr>
            </w:pPr>
            <w:r w:rsidRPr="003E774D">
              <w:rPr>
                <w:rFonts w:ascii="Times New Roman" w:hAnsi="Times New Roman"/>
                <w:b/>
                <w:bCs/>
                <w:color w:val="222222"/>
                <w:shd w:val="clear" w:color="auto" w:fill="FFFFFF"/>
              </w:rPr>
              <w:t>Comunicación Interna:</w:t>
            </w:r>
          </w:p>
          <w:p w:rsidR="00022D65" w:rsidRPr="003E774D" w:rsidRDefault="00022D65" w:rsidP="00022D65">
            <w:pPr>
              <w:shd w:val="clear" w:color="auto" w:fill="FFFFFF"/>
              <w:jc w:val="both"/>
              <w:rPr>
                <w:rFonts w:ascii="Times New Roman" w:hAnsi="Times New Roman"/>
                <w:b/>
                <w:bCs/>
                <w:color w:val="222222"/>
                <w:sz w:val="22"/>
                <w:szCs w:val="22"/>
                <w:shd w:val="clear" w:color="auto" w:fill="FFFFFF"/>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Cs/>
                <w:color w:val="222222"/>
                <w:sz w:val="22"/>
                <w:szCs w:val="22"/>
                <w:shd w:val="clear" w:color="auto" w:fill="FFFFFF"/>
                <w:lang w:val="es-ES"/>
              </w:rPr>
              <w:t xml:space="preserve">Durante el periodo de julio a octubre de 2017 se han trabajado los siguientes temas: </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t>Movilidad Sostenible</w:t>
            </w:r>
            <w:r w:rsidRPr="003E774D">
              <w:rPr>
                <w:rFonts w:ascii="Times New Roman" w:hAnsi="Times New Roman"/>
                <w:bCs/>
                <w:color w:val="222222"/>
                <w:sz w:val="22"/>
                <w:szCs w:val="22"/>
                <w:shd w:val="clear" w:color="auto" w:fill="FFFFFF"/>
                <w:lang w:val="es-ES"/>
              </w:rPr>
              <w:t>: continuamos con la convocatoria y divulgación de las actividades en torno al Día Sin Carro Distrital, que se realiza cada primer jueves del mes. Durante estos meses se motivó a los funcionarios y contratistas a venir en bicicleta o a pie a la SDP. Se apoyó la realización de la Semana de la Bici y la Semana de la Seguridad Vial.</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lastRenderedPageBreak/>
              <w:t>Clima organizacional</w:t>
            </w:r>
            <w:r w:rsidRPr="003E774D">
              <w:rPr>
                <w:rFonts w:ascii="Times New Roman" w:hAnsi="Times New Roman"/>
                <w:bCs/>
                <w:color w:val="222222"/>
                <w:sz w:val="22"/>
                <w:szCs w:val="22"/>
                <w:shd w:val="clear" w:color="auto" w:fill="FFFFFF"/>
                <w:lang w:val="es-ES"/>
              </w:rPr>
              <w:t xml:space="preserve">: Apoyamos el mejoramiento del Clima Organizacional de la Entidad a través de diferentes actividades como la </w:t>
            </w:r>
            <w:r w:rsidRPr="003E774D">
              <w:rPr>
                <w:rFonts w:ascii="Times New Roman" w:hAnsi="Times New Roman"/>
                <w:bCs/>
                <w:color w:val="222222"/>
                <w:sz w:val="22"/>
                <w:szCs w:val="22"/>
                <w:shd w:val="clear" w:color="auto" w:fill="FFFFFF"/>
              </w:rPr>
              <w:t xml:space="preserve">Semana de la Salud Ocupacional, la celebración del Día de los Niños, convocatoria para nuevos brigadistas, comisión de persona, mejores equipos de trabajo de la SDP y ambientes laborales inclusivos. </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rPr>
            </w:pPr>
            <w:r w:rsidRPr="003E774D">
              <w:rPr>
                <w:rFonts w:ascii="Times New Roman" w:hAnsi="Times New Roman"/>
                <w:b/>
                <w:bCs/>
                <w:color w:val="222222"/>
                <w:sz w:val="22"/>
                <w:szCs w:val="22"/>
                <w:shd w:val="clear" w:color="auto" w:fill="FFFFFF"/>
                <w:lang w:val="es-ES"/>
              </w:rPr>
              <w:t>PIGA:</w:t>
            </w:r>
            <w:r w:rsidRPr="003E774D">
              <w:rPr>
                <w:rFonts w:ascii="Times New Roman" w:hAnsi="Times New Roman"/>
                <w:bCs/>
                <w:color w:val="222222"/>
                <w:sz w:val="22"/>
                <w:szCs w:val="22"/>
                <w:shd w:val="clear" w:color="auto" w:fill="FFFFFF"/>
                <w:lang w:val="es-ES"/>
              </w:rPr>
              <w:t xml:space="preserve"> Esta campaña se mantuvo durante este periodo.  Se realizaron piezas gráficas y la divulgación de las mismas en temas como el ahorro de energía y agua,  la caminata a El Delirio y el Taller teórico práctico de Agricultura Urbana.</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t>Jornada de Aseo 20K:</w:t>
            </w:r>
            <w:r w:rsidRPr="003E774D">
              <w:rPr>
                <w:rFonts w:ascii="Times New Roman" w:hAnsi="Times New Roman"/>
                <w:bCs/>
                <w:color w:val="222222"/>
                <w:sz w:val="22"/>
                <w:szCs w:val="22"/>
                <w:shd w:val="clear" w:color="auto" w:fill="FFFFFF"/>
                <w:lang w:val="es-ES"/>
              </w:rPr>
              <w:t xml:space="preserve"> se apoyó a la Alcaldía Mayor de Bogotá en su jornada de aseo en las 20 localidades de Bogotá. Se divulgó la información relacionada con la misma y convocó a los funcionarios a participar. Más de 70 funcionarios se unieron a esta jornada. </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t xml:space="preserve">Participación POT: </w:t>
            </w:r>
            <w:r w:rsidRPr="003E774D">
              <w:rPr>
                <w:rFonts w:ascii="Times New Roman" w:hAnsi="Times New Roman"/>
                <w:bCs/>
                <w:color w:val="222222"/>
                <w:sz w:val="22"/>
                <w:szCs w:val="22"/>
                <w:shd w:val="clear" w:color="auto" w:fill="FFFFFF"/>
                <w:lang w:val="es-ES"/>
              </w:rPr>
              <w:t xml:space="preserve">Se continuó con la divulgación al interior de la entidad las invitaciones de las diferentes jornadas de socialización POT que se han realizado en las localidades. </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t>#OjoAlDato:</w:t>
            </w:r>
            <w:r w:rsidRPr="003E774D">
              <w:rPr>
                <w:rFonts w:ascii="Times New Roman" w:hAnsi="Times New Roman"/>
                <w:bCs/>
                <w:color w:val="222222"/>
                <w:sz w:val="22"/>
                <w:szCs w:val="22"/>
                <w:shd w:val="clear" w:color="auto" w:fill="FFFFFF"/>
                <w:lang w:val="es-ES"/>
              </w:rPr>
              <w:t xml:space="preserve"> Se finalizó la divulgación de piezas gráficas asociadas a esta campaña de la Dirección de Gestión Humana denominada #OjoAlDato</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t>Haz un ciudadano feliz:</w:t>
            </w:r>
            <w:r w:rsidRPr="003E774D">
              <w:rPr>
                <w:rFonts w:ascii="Times New Roman" w:hAnsi="Times New Roman"/>
                <w:bCs/>
                <w:color w:val="222222"/>
                <w:sz w:val="22"/>
                <w:szCs w:val="22"/>
                <w:shd w:val="clear" w:color="auto" w:fill="FFFFFF"/>
                <w:lang w:val="es-ES"/>
              </w:rPr>
              <w:t xml:space="preserve"> se finalizó la divulgación de las piezas gráficas de esta campaña que tuvo como objetivo sensibilizar a los funcionarios y darles </w:t>
            </w:r>
            <w:proofErr w:type="spellStart"/>
            <w:r w:rsidRPr="003E774D">
              <w:rPr>
                <w:rFonts w:ascii="Times New Roman" w:hAnsi="Times New Roman"/>
                <w:bCs/>
                <w:color w:val="222222"/>
                <w:sz w:val="22"/>
                <w:szCs w:val="22"/>
                <w:shd w:val="clear" w:color="auto" w:fill="FFFFFF"/>
                <w:lang w:val="es-ES"/>
              </w:rPr>
              <w:t>tip’s</w:t>
            </w:r>
            <w:proofErr w:type="spellEnd"/>
            <w:r w:rsidRPr="003E774D">
              <w:rPr>
                <w:rFonts w:ascii="Times New Roman" w:hAnsi="Times New Roman"/>
                <w:bCs/>
                <w:color w:val="222222"/>
                <w:sz w:val="22"/>
                <w:szCs w:val="22"/>
                <w:shd w:val="clear" w:color="auto" w:fill="FFFFFF"/>
                <w:lang w:val="es-ES"/>
              </w:rPr>
              <w:t xml:space="preserve"> sobre el trato que deben dar a los ciudadanos que llaman, escriben o visitan la SDP. </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t>Tenemos algo en común:</w:t>
            </w:r>
            <w:r w:rsidRPr="003E774D">
              <w:rPr>
                <w:rFonts w:ascii="Times New Roman" w:hAnsi="Times New Roman"/>
                <w:bCs/>
                <w:color w:val="222222"/>
                <w:sz w:val="22"/>
                <w:szCs w:val="22"/>
                <w:shd w:val="clear" w:color="auto" w:fill="FFFFFF"/>
                <w:lang w:val="es-ES"/>
              </w:rPr>
              <w:t xml:space="preserve"> Continuamos con la divulgación de la campaña distrital ‘Tenemos algo en común’, que busca mostrar que todos somos diferentes pero tenemos cosas en común. </w:t>
            </w:r>
          </w:p>
          <w:p w:rsidR="00022D65" w:rsidRPr="003E774D" w:rsidRDefault="00022D65" w:rsidP="00022D65">
            <w:pPr>
              <w:shd w:val="clear" w:color="auto" w:fill="FFFFFF"/>
              <w:jc w:val="both"/>
              <w:rPr>
                <w:rFonts w:ascii="Times New Roman" w:hAnsi="Times New Roman"/>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
                <w:bCs/>
                <w:color w:val="222222"/>
                <w:sz w:val="22"/>
                <w:szCs w:val="22"/>
                <w:shd w:val="clear" w:color="auto" w:fill="FFFFFF"/>
                <w:lang w:val="es-ES"/>
              </w:rPr>
            </w:pPr>
            <w:r w:rsidRPr="003E774D">
              <w:rPr>
                <w:rFonts w:ascii="Times New Roman" w:hAnsi="Times New Roman"/>
                <w:b/>
                <w:bCs/>
                <w:color w:val="222222"/>
                <w:sz w:val="22"/>
                <w:szCs w:val="22"/>
                <w:shd w:val="clear" w:color="auto" w:fill="FFFFFF"/>
                <w:lang w:val="es-ES"/>
              </w:rPr>
              <w:t xml:space="preserve">Visibilización de información relevante, proyectos y decisiones de interés interno </w:t>
            </w:r>
          </w:p>
          <w:p w:rsidR="00022D65" w:rsidRPr="003E774D" w:rsidRDefault="00022D65" w:rsidP="00022D65">
            <w:pPr>
              <w:shd w:val="clear" w:color="auto" w:fill="FFFFFF"/>
              <w:jc w:val="both"/>
              <w:rPr>
                <w:rFonts w:ascii="Times New Roman" w:hAnsi="Times New Roman"/>
                <w:bCs/>
                <w:i/>
                <w:iCs/>
                <w:color w:val="222222"/>
                <w:sz w:val="22"/>
                <w:szCs w:val="22"/>
                <w:shd w:val="clear" w:color="auto" w:fill="FFFFFF"/>
              </w:rPr>
            </w:pPr>
            <w:r w:rsidRPr="003E774D">
              <w:rPr>
                <w:rFonts w:ascii="Times New Roman" w:hAnsi="Times New Roman"/>
                <w:bCs/>
                <w:color w:val="222222"/>
                <w:sz w:val="22"/>
                <w:szCs w:val="22"/>
                <w:shd w:val="clear" w:color="auto" w:fill="FFFFFF"/>
                <w:lang w:val="es-ES"/>
              </w:rPr>
              <w:t xml:space="preserve">A través de los medios de comunicación internos de la SDP se divulgó información relacionada con el </w:t>
            </w:r>
            <w:r w:rsidRPr="003E774D">
              <w:rPr>
                <w:rFonts w:ascii="Times New Roman" w:hAnsi="Times New Roman"/>
                <w:bCs/>
                <w:color w:val="222222"/>
                <w:sz w:val="22"/>
                <w:szCs w:val="22"/>
                <w:shd w:val="clear" w:color="auto" w:fill="FFFFFF"/>
              </w:rPr>
              <w:t>9º Simulacro Distrital de Evacuación en la SDP.</w:t>
            </w:r>
            <w:r w:rsidRPr="003E774D">
              <w:rPr>
                <w:rFonts w:ascii="Times New Roman" w:hAnsi="Times New Roman"/>
                <w:bCs/>
                <w:color w:val="222222"/>
                <w:sz w:val="22"/>
                <w:szCs w:val="22"/>
                <w:shd w:val="clear" w:color="auto" w:fill="FFFFFF"/>
                <w:lang w:val="es-ES"/>
              </w:rPr>
              <w:t xml:space="preserve">, </w:t>
            </w:r>
            <w:r w:rsidRPr="003E774D">
              <w:rPr>
                <w:rFonts w:ascii="Times New Roman" w:hAnsi="Times New Roman"/>
                <w:bCs/>
                <w:color w:val="222222"/>
                <w:sz w:val="22"/>
                <w:szCs w:val="22"/>
                <w:shd w:val="clear" w:color="auto" w:fill="FFFFFF"/>
              </w:rPr>
              <w:t xml:space="preserve">campaña ‘Embarazados: Todos por la Vida’, jornada de adopción de mascotas, donación de sangre, visita del Papa y Boletín </w:t>
            </w:r>
            <w:r w:rsidRPr="003E774D">
              <w:rPr>
                <w:rFonts w:ascii="Times New Roman" w:hAnsi="Times New Roman"/>
                <w:bCs/>
                <w:color w:val="222222"/>
                <w:sz w:val="22"/>
                <w:szCs w:val="22"/>
                <w:shd w:val="clear" w:color="auto" w:fill="FFFFFF"/>
                <w:lang w:val="es-ES"/>
              </w:rPr>
              <w:t>Soy 10.</w:t>
            </w:r>
          </w:p>
          <w:p w:rsidR="00022D65" w:rsidRPr="003E774D" w:rsidRDefault="00022D65" w:rsidP="00022D65">
            <w:pPr>
              <w:shd w:val="clear" w:color="auto" w:fill="FFFFFF"/>
              <w:jc w:val="both"/>
              <w:rPr>
                <w:rFonts w:ascii="Times New Roman" w:hAnsi="Times New Roman"/>
                <w:b/>
                <w:bCs/>
                <w:color w:val="222222"/>
                <w:sz w:val="22"/>
                <w:szCs w:val="22"/>
                <w:shd w:val="clear" w:color="auto" w:fill="FFFFFF"/>
                <w:lang w:val="es-ES"/>
              </w:rPr>
            </w:pPr>
          </w:p>
          <w:p w:rsidR="00022D65" w:rsidRPr="003E774D" w:rsidRDefault="00022D65" w:rsidP="00022D65">
            <w:pPr>
              <w:shd w:val="clear" w:color="auto" w:fill="FFFFFF"/>
              <w:jc w:val="both"/>
              <w:rPr>
                <w:rFonts w:ascii="Times New Roman" w:hAnsi="Times New Roman"/>
                <w:b/>
                <w:bCs/>
                <w:color w:val="222222"/>
                <w:sz w:val="22"/>
                <w:szCs w:val="22"/>
                <w:shd w:val="clear" w:color="auto" w:fill="FFFFFF"/>
                <w:lang w:val="es-ES"/>
              </w:rPr>
            </w:pPr>
          </w:p>
          <w:p w:rsidR="00022D65" w:rsidRPr="003E774D" w:rsidRDefault="00022D65" w:rsidP="00022D65">
            <w:pPr>
              <w:jc w:val="both"/>
              <w:rPr>
                <w:rFonts w:ascii="Times New Roman" w:hAnsi="Times New Roman"/>
                <w:color w:val="222222"/>
                <w:sz w:val="22"/>
                <w:szCs w:val="22"/>
                <w:lang w:eastAsia="es-CO"/>
              </w:rPr>
            </w:pPr>
          </w:p>
        </w:tc>
      </w:tr>
      <w:tr w:rsidR="00022D65" w:rsidRPr="003E774D" w:rsidTr="00E23F2B">
        <w:tc>
          <w:tcPr>
            <w:tcW w:w="9322" w:type="dxa"/>
          </w:tcPr>
          <w:p w:rsidR="00022D65" w:rsidRPr="003E774D" w:rsidRDefault="00022D65" w:rsidP="00022D65">
            <w:pPr>
              <w:pStyle w:val="Default"/>
              <w:jc w:val="both"/>
              <w:rPr>
                <w:b/>
                <w:bCs/>
                <w:sz w:val="22"/>
                <w:szCs w:val="22"/>
                <w:lang w:val="es-ES_tradnl"/>
              </w:rPr>
            </w:pPr>
          </w:p>
          <w:p w:rsidR="00022D65" w:rsidRPr="003E774D" w:rsidRDefault="00022D65" w:rsidP="00022D65">
            <w:pPr>
              <w:jc w:val="both"/>
              <w:rPr>
                <w:rFonts w:ascii="Times New Roman" w:hAnsi="Times New Roman"/>
                <w:bCs/>
                <w:sz w:val="22"/>
                <w:szCs w:val="22"/>
                <w:lang w:val="es-ES"/>
              </w:rPr>
            </w:pPr>
            <w:r w:rsidRPr="003E774D">
              <w:rPr>
                <w:rFonts w:ascii="Times New Roman" w:hAnsi="Times New Roman"/>
                <w:b/>
                <w:bCs/>
                <w:sz w:val="22"/>
                <w:szCs w:val="22"/>
              </w:rPr>
              <w:t>DIFICULTADES:</w:t>
            </w:r>
            <w:r w:rsidRPr="003E774D">
              <w:rPr>
                <w:rFonts w:ascii="Times New Roman" w:hAnsi="Times New Roman"/>
                <w:bCs/>
                <w:sz w:val="22"/>
                <w:szCs w:val="22"/>
                <w:lang w:val="es-ES"/>
              </w:rPr>
              <w:t xml:space="preserve"> Si bien desde la vigencia anterior la entidad implementó algunas estrategias relacionadas con la vinculación de un gran número de funcionarios nuevos, en virtud del concurso de méritos 323; es necesario el fortalecimiento de algunos mecanismos mediante los cuales se pueda conservar la memoria institucional y capitalizar la experiencia de los funcionarios que dejan sus cargos, ya que en la mayoría de los casos llevan vinculados varios años a la entidad y en el momento de su retiro es importante implementar estrategias que permitan conservar dicha información laboral.</w:t>
            </w:r>
          </w:p>
          <w:p w:rsidR="00022D65" w:rsidRPr="003E774D" w:rsidRDefault="00022D65" w:rsidP="00022D65">
            <w:pPr>
              <w:jc w:val="both"/>
              <w:rPr>
                <w:rFonts w:ascii="Times New Roman" w:hAnsi="Times New Roman"/>
                <w:sz w:val="22"/>
                <w:szCs w:val="22"/>
                <w:lang w:val="es-ES"/>
              </w:rPr>
            </w:pPr>
          </w:p>
        </w:tc>
      </w:tr>
    </w:tbl>
    <w:p w:rsidR="0012640D" w:rsidRPr="003E774D" w:rsidRDefault="0012640D" w:rsidP="002A66C6">
      <w:pPr>
        <w:ind w:right="-1"/>
        <w:jc w:val="both"/>
        <w:rPr>
          <w:rFonts w:ascii="Times New Roman" w:hAnsi="Times New Roman"/>
          <w:sz w:val="22"/>
          <w:szCs w:val="22"/>
        </w:rPr>
      </w:pPr>
    </w:p>
    <w:sectPr w:rsidR="0012640D" w:rsidRPr="003E774D" w:rsidSect="002753A6">
      <w:headerReference w:type="default" r:id="rId11"/>
      <w:footerReference w:type="default" r:id="rId12"/>
      <w:pgSz w:w="11906" w:h="16838"/>
      <w:pgMar w:top="1985" w:right="1134" w:bottom="1418" w:left="1701"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D5C" w:rsidRDefault="00581D5C">
      <w:r>
        <w:separator/>
      </w:r>
    </w:p>
  </w:endnote>
  <w:endnote w:type="continuationSeparator" w:id="0">
    <w:p w:rsidR="00581D5C" w:rsidRDefault="0058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09" w:rsidRDefault="00726A09" w:rsidP="002753A6">
    <w:pPr>
      <w:jc w:val="right"/>
    </w:pPr>
    <w:r>
      <w:rPr>
        <w:rFonts w:ascii="Tahoma" w:hAnsi="Tahoma" w:cs="Tahoma"/>
        <w:noProof/>
        <w:sz w:val="16"/>
        <w:lang w:val="es-CO" w:eastAsia="es-CO"/>
      </w:rPr>
      <w:drawing>
        <wp:inline distT="0" distB="0" distL="0" distR="0">
          <wp:extent cx="5638800" cy="8096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0" cy="809625"/>
                  </a:xfrm>
                  <a:prstGeom prst="rect">
                    <a:avLst/>
                  </a:prstGeom>
                  <a:noFill/>
                  <a:ln>
                    <a:noFill/>
                  </a:ln>
                </pic:spPr>
              </pic:pic>
            </a:graphicData>
          </a:graphic>
        </wp:inline>
      </w:drawing>
    </w:r>
    <w:r>
      <w:rPr>
        <w:rFonts w:ascii="Tahoma" w:hAnsi="Tahoma" w:cs="Tahoma"/>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D5C" w:rsidRDefault="00581D5C">
      <w:r>
        <w:separator/>
      </w:r>
    </w:p>
  </w:footnote>
  <w:footnote w:type="continuationSeparator" w:id="0">
    <w:p w:rsidR="00581D5C" w:rsidRDefault="00581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A09" w:rsidRDefault="00726A09">
    <w:pPr>
      <w:pStyle w:val="Encabezado"/>
      <w:jc w:val="center"/>
    </w:pPr>
    <w:r>
      <w:rPr>
        <w:noProof/>
        <w:lang w:val="es-CO" w:eastAsia="es-CO"/>
      </w:rPr>
      <w:drawing>
        <wp:inline distT="0" distB="0" distL="0" distR="0">
          <wp:extent cx="723900" cy="695325"/>
          <wp:effectExtent l="0" t="0" r="0" b="9525"/>
          <wp:docPr id="2" name="Imagen 2" descr="logo_SDP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DP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743"/>
    <w:multiLevelType w:val="hybridMultilevel"/>
    <w:tmpl w:val="A6D85C1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nsid w:val="066F7335"/>
    <w:multiLevelType w:val="multilevel"/>
    <w:tmpl w:val="0C8A4F86"/>
    <w:lvl w:ilvl="0">
      <w:start w:val="3"/>
      <w:numFmt w:val="decimal"/>
      <w:lvlText w:val="%1"/>
      <w:lvlJc w:val="left"/>
      <w:pPr>
        <w:ind w:left="360" w:hanging="360"/>
      </w:pPr>
      <w:rPr>
        <w:rFonts w:hint="default"/>
        <w:color w:val="222222"/>
      </w:rPr>
    </w:lvl>
    <w:lvl w:ilvl="1">
      <w:start w:val="1"/>
      <w:numFmt w:val="decimal"/>
      <w:lvlText w:val="%1.%2"/>
      <w:lvlJc w:val="left"/>
      <w:pPr>
        <w:ind w:left="360" w:hanging="360"/>
      </w:pPr>
      <w:rPr>
        <w:rFonts w:hint="default"/>
        <w:color w:val="222222"/>
      </w:rPr>
    </w:lvl>
    <w:lvl w:ilvl="2">
      <w:start w:val="1"/>
      <w:numFmt w:val="decimal"/>
      <w:lvlText w:val="%1.%2.%3"/>
      <w:lvlJc w:val="left"/>
      <w:pPr>
        <w:ind w:left="720" w:hanging="720"/>
      </w:pPr>
      <w:rPr>
        <w:rFonts w:hint="default"/>
        <w:color w:val="222222"/>
      </w:rPr>
    </w:lvl>
    <w:lvl w:ilvl="3">
      <w:start w:val="1"/>
      <w:numFmt w:val="decimal"/>
      <w:lvlText w:val="%1.%2.%3.%4"/>
      <w:lvlJc w:val="left"/>
      <w:pPr>
        <w:ind w:left="1080" w:hanging="1080"/>
      </w:pPr>
      <w:rPr>
        <w:rFonts w:hint="default"/>
        <w:color w:val="222222"/>
      </w:rPr>
    </w:lvl>
    <w:lvl w:ilvl="4">
      <w:start w:val="1"/>
      <w:numFmt w:val="decimal"/>
      <w:lvlText w:val="%1.%2.%3.%4.%5"/>
      <w:lvlJc w:val="left"/>
      <w:pPr>
        <w:ind w:left="1080" w:hanging="1080"/>
      </w:pPr>
      <w:rPr>
        <w:rFonts w:hint="default"/>
        <w:color w:val="222222"/>
      </w:rPr>
    </w:lvl>
    <w:lvl w:ilvl="5">
      <w:start w:val="1"/>
      <w:numFmt w:val="decimal"/>
      <w:lvlText w:val="%1.%2.%3.%4.%5.%6"/>
      <w:lvlJc w:val="left"/>
      <w:pPr>
        <w:ind w:left="1440" w:hanging="1440"/>
      </w:pPr>
      <w:rPr>
        <w:rFonts w:hint="default"/>
        <w:color w:val="222222"/>
      </w:rPr>
    </w:lvl>
    <w:lvl w:ilvl="6">
      <w:start w:val="1"/>
      <w:numFmt w:val="decimal"/>
      <w:lvlText w:val="%1.%2.%3.%4.%5.%6.%7"/>
      <w:lvlJc w:val="left"/>
      <w:pPr>
        <w:ind w:left="1440" w:hanging="1440"/>
      </w:pPr>
      <w:rPr>
        <w:rFonts w:hint="default"/>
        <w:color w:val="222222"/>
      </w:rPr>
    </w:lvl>
    <w:lvl w:ilvl="7">
      <w:start w:val="1"/>
      <w:numFmt w:val="decimal"/>
      <w:lvlText w:val="%1.%2.%3.%4.%5.%6.%7.%8"/>
      <w:lvlJc w:val="left"/>
      <w:pPr>
        <w:ind w:left="1800" w:hanging="1800"/>
      </w:pPr>
      <w:rPr>
        <w:rFonts w:hint="default"/>
        <w:color w:val="222222"/>
      </w:rPr>
    </w:lvl>
    <w:lvl w:ilvl="8">
      <w:start w:val="1"/>
      <w:numFmt w:val="decimal"/>
      <w:lvlText w:val="%1.%2.%3.%4.%5.%6.%7.%8.%9"/>
      <w:lvlJc w:val="left"/>
      <w:pPr>
        <w:ind w:left="1800" w:hanging="1800"/>
      </w:pPr>
      <w:rPr>
        <w:rFonts w:hint="default"/>
        <w:color w:val="222222"/>
      </w:rPr>
    </w:lvl>
  </w:abstractNum>
  <w:abstractNum w:abstractNumId="2">
    <w:nsid w:val="072C45B9"/>
    <w:multiLevelType w:val="hybridMultilevel"/>
    <w:tmpl w:val="08FE47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722560"/>
    <w:multiLevelType w:val="multilevel"/>
    <w:tmpl w:val="C246A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E4C3061"/>
    <w:multiLevelType w:val="multilevel"/>
    <w:tmpl w:val="8B1413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D253A"/>
    <w:multiLevelType w:val="hybridMultilevel"/>
    <w:tmpl w:val="BAEC7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15279E6"/>
    <w:multiLevelType w:val="multilevel"/>
    <w:tmpl w:val="05F0144C"/>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63444B"/>
    <w:multiLevelType w:val="hybridMultilevel"/>
    <w:tmpl w:val="5324F94A"/>
    <w:lvl w:ilvl="0" w:tplc="240A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222E6"/>
    <w:multiLevelType w:val="hybridMultilevel"/>
    <w:tmpl w:val="1E7CCCE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C6B6E4D"/>
    <w:multiLevelType w:val="hybridMultilevel"/>
    <w:tmpl w:val="C2E8BD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2346D43"/>
    <w:multiLevelType w:val="hybridMultilevel"/>
    <w:tmpl w:val="D4FEA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5F53B72"/>
    <w:multiLevelType w:val="hybridMultilevel"/>
    <w:tmpl w:val="6C2C6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6184BBA"/>
    <w:multiLevelType w:val="hybridMultilevel"/>
    <w:tmpl w:val="D0085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1"/>
  </w:num>
  <w:num w:numId="5">
    <w:abstractNumId w:val="8"/>
  </w:num>
  <w:num w:numId="6">
    <w:abstractNumId w:val="1"/>
  </w:num>
  <w:num w:numId="7">
    <w:abstractNumId w:val="4"/>
  </w:num>
  <w:num w:numId="8">
    <w:abstractNumId w:val="10"/>
  </w:num>
  <w:num w:numId="9">
    <w:abstractNumId w:val="0"/>
  </w:num>
  <w:num w:numId="10">
    <w:abstractNumId w:val="12"/>
  </w:num>
  <w:num w:numId="11">
    <w:abstractNumId w:val="2"/>
  </w:num>
  <w:num w:numId="12">
    <w:abstractNumId w:val="9"/>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A0F"/>
    <w:rsid w:val="00002E8C"/>
    <w:rsid w:val="000046E3"/>
    <w:rsid w:val="000054E6"/>
    <w:rsid w:val="00006A4D"/>
    <w:rsid w:val="00006AF4"/>
    <w:rsid w:val="00007AED"/>
    <w:rsid w:val="00010974"/>
    <w:rsid w:val="00011BCB"/>
    <w:rsid w:val="0001247F"/>
    <w:rsid w:val="000129AF"/>
    <w:rsid w:val="00012F87"/>
    <w:rsid w:val="0001324C"/>
    <w:rsid w:val="000135E5"/>
    <w:rsid w:val="00013AC2"/>
    <w:rsid w:val="000140B5"/>
    <w:rsid w:val="0001422F"/>
    <w:rsid w:val="00014A45"/>
    <w:rsid w:val="00015C26"/>
    <w:rsid w:val="00017E69"/>
    <w:rsid w:val="000207D1"/>
    <w:rsid w:val="00021817"/>
    <w:rsid w:val="00022D65"/>
    <w:rsid w:val="000370AC"/>
    <w:rsid w:val="00040B6C"/>
    <w:rsid w:val="00043B1D"/>
    <w:rsid w:val="000450AF"/>
    <w:rsid w:val="000454A8"/>
    <w:rsid w:val="0004633A"/>
    <w:rsid w:val="00046561"/>
    <w:rsid w:val="00046C4C"/>
    <w:rsid w:val="000478C7"/>
    <w:rsid w:val="000525BD"/>
    <w:rsid w:val="00053099"/>
    <w:rsid w:val="000542A7"/>
    <w:rsid w:val="00055F2E"/>
    <w:rsid w:val="000565C8"/>
    <w:rsid w:val="0005790E"/>
    <w:rsid w:val="00060BF1"/>
    <w:rsid w:val="0006320E"/>
    <w:rsid w:val="00064058"/>
    <w:rsid w:val="000648B7"/>
    <w:rsid w:val="00067576"/>
    <w:rsid w:val="00067651"/>
    <w:rsid w:val="00067B9A"/>
    <w:rsid w:val="00067D6E"/>
    <w:rsid w:val="00067FC7"/>
    <w:rsid w:val="00070E13"/>
    <w:rsid w:val="0007330A"/>
    <w:rsid w:val="0007338B"/>
    <w:rsid w:val="00073962"/>
    <w:rsid w:val="000749E8"/>
    <w:rsid w:val="00074C47"/>
    <w:rsid w:val="000758AC"/>
    <w:rsid w:val="00076598"/>
    <w:rsid w:val="0007799F"/>
    <w:rsid w:val="000808B6"/>
    <w:rsid w:val="00083760"/>
    <w:rsid w:val="00084229"/>
    <w:rsid w:val="00085918"/>
    <w:rsid w:val="00086004"/>
    <w:rsid w:val="00087AF0"/>
    <w:rsid w:val="00093252"/>
    <w:rsid w:val="0009504B"/>
    <w:rsid w:val="00095D44"/>
    <w:rsid w:val="00095F84"/>
    <w:rsid w:val="00097823"/>
    <w:rsid w:val="000A0802"/>
    <w:rsid w:val="000A0D8F"/>
    <w:rsid w:val="000A19E1"/>
    <w:rsid w:val="000A2773"/>
    <w:rsid w:val="000A2B66"/>
    <w:rsid w:val="000A686A"/>
    <w:rsid w:val="000B4314"/>
    <w:rsid w:val="000B4F81"/>
    <w:rsid w:val="000B53D4"/>
    <w:rsid w:val="000C1AF6"/>
    <w:rsid w:val="000C207F"/>
    <w:rsid w:val="000C2C99"/>
    <w:rsid w:val="000C2DA1"/>
    <w:rsid w:val="000C347A"/>
    <w:rsid w:val="000C49B9"/>
    <w:rsid w:val="000C755F"/>
    <w:rsid w:val="000D00EE"/>
    <w:rsid w:val="000D086D"/>
    <w:rsid w:val="000D10BE"/>
    <w:rsid w:val="000D15F8"/>
    <w:rsid w:val="000D1CEA"/>
    <w:rsid w:val="000D21CF"/>
    <w:rsid w:val="000D5695"/>
    <w:rsid w:val="000D5EC4"/>
    <w:rsid w:val="000D7993"/>
    <w:rsid w:val="000E1460"/>
    <w:rsid w:val="000E1FE7"/>
    <w:rsid w:val="000E3F67"/>
    <w:rsid w:val="000E429A"/>
    <w:rsid w:val="000F111C"/>
    <w:rsid w:val="000F226B"/>
    <w:rsid w:val="000F292A"/>
    <w:rsid w:val="000F306B"/>
    <w:rsid w:val="000F3F48"/>
    <w:rsid w:val="000F429E"/>
    <w:rsid w:val="000F5913"/>
    <w:rsid w:val="000F753C"/>
    <w:rsid w:val="00100F3E"/>
    <w:rsid w:val="00101768"/>
    <w:rsid w:val="001030BE"/>
    <w:rsid w:val="00103417"/>
    <w:rsid w:val="00103E09"/>
    <w:rsid w:val="00105CC6"/>
    <w:rsid w:val="00106A75"/>
    <w:rsid w:val="00110D24"/>
    <w:rsid w:val="0011245B"/>
    <w:rsid w:val="00120D61"/>
    <w:rsid w:val="00120FF4"/>
    <w:rsid w:val="00122ECB"/>
    <w:rsid w:val="0012466F"/>
    <w:rsid w:val="00125CC2"/>
    <w:rsid w:val="0012640D"/>
    <w:rsid w:val="00126D0C"/>
    <w:rsid w:val="001300C2"/>
    <w:rsid w:val="001303A4"/>
    <w:rsid w:val="00131A39"/>
    <w:rsid w:val="00132396"/>
    <w:rsid w:val="00132842"/>
    <w:rsid w:val="00134BD2"/>
    <w:rsid w:val="00135748"/>
    <w:rsid w:val="001365A8"/>
    <w:rsid w:val="00141680"/>
    <w:rsid w:val="0014194F"/>
    <w:rsid w:val="00144870"/>
    <w:rsid w:val="0014734E"/>
    <w:rsid w:val="00147624"/>
    <w:rsid w:val="00155807"/>
    <w:rsid w:val="001558D6"/>
    <w:rsid w:val="00160220"/>
    <w:rsid w:val="00160CC9"/>
    <w:rsid w:val="001617DB"/>
    <w:rsid w:val="0016193F"/>
    <w:rsid w:val="00162178"/>
    <w:rsid w:val="00165DC0"/>
    <w:rsid w:val="00166D92"/>
    <w:rsid w:val="00167171"/>
    <w:rsid w:val="00167597"/>
    <w:rsid w:val="00171484"/>
    <w:rsid w:val="0017169E"/>
    <w:rsid w:val="00171F37"/>
    <w:rsid w:val="0017306E"/>
    <w:rsid w:val="001749A1"/>
    <w:rsid w:val="001764A0"/>
    <w:rsid w:val="00177724"/>
    <w:rsid w:val="00181A9F"/>
    <w:rsid w:val="001833D8"/>
    <w:rsid w:val="001860DC"/>
    <w:rsid w:val="0018722F"/>
    <w:rsid w:val="0019229D"/>
    <w:rsid w:val="00193BE4"/>
    <w:rsid w:val="00193D1A"/>
    <w:rsid w:val="00193E17"/>
    <w:rsid w:val="00193EA4"/>
    <w:rsid w:val="001955A3"/>
    <w:rsid w:val="00197D16"/>
    <w:rsid w:val="001A1388"/>
    <w:rsid w:val="001A18D3"/>
    <w:rsid w:val="001A22D7"/>
    <w:rsid w:val="001A26CA"/>
    <w:rsid w:val="001A340F"/>
    <w:rsid w:val="001A44DE"/>
    <w:rsid w:val="001C0321"/>
    <w:rsid w:val="001C1787"/>
    <w:rsid w:val="001C2E21"/>
    <w:rsid w:val="001C3D4C"/>
    <w:rsid w:val="001C541A"/>
    <w:rsid w:val="001C5CB0"/>
    <w:rsid w:val="001C7041"/>
    <w:rsid w:val="001D0002"/>
    <w:rsid w:val="001D19A0"/>
    <w:rsid w:val="001D21D7"/>
    <w:rsid w:val="001D395A"/>
    <w:rsid w:val="001D3E00"/>
    <w:rsid w:val="001D3E6D"/>
    <w:rsid w:val="001D5178"/>
    <w:rsid w:val="001D6917"/>
    <w:rsid w:val="001E3150"/>
    <w:rsid w:val="001E3AC2"/>
    <w:rsid w:val="001E6A54"/>
    <w:rsid w:val="001E6FFB"/>
    <w:rsid w:val="001E7A88"/>
    <w:rsid w:val="001F040E"/>
    <w:rsid w:val="001F2AD4"/>
    <w:rsid w:val="001F2BCD"/>
    <w:rsid w:val="001F2C45"/>
    <w:rsid w:val="001F5778"/>
    <w:rsid w:val="001F6B11"/>
    <w:rsid w:val="002002B0"/>
    <w:rsid w:val="0020062E"/>
    <w:rsid w:val="00200F11"/>
    <w:rsid w:val="00202D24"/>
    <w:rsid w:val="002048F9"/>
    <w:rsid w:val="00205D34"/>
    <w:rsid w:val="00207601"/>
    <w:rsid w:val="00213C65"/>
    <w:rsid w:val="0021462F"/>
    <w:rsid w:val="002165C0"/>
    <w:rsid w:val="00220E83"/>
    <w:rsid w:val="00223946"/>
    <w:rsid w:val="00224606"/>
    <w:rsid w:val="0023227E"/>
    <w:rsid w:val="00232504"/>
    <w:rsid w:val="00232996"/>
    <w:rsid w:val="00232C9D"/>
    <w:rsid w:val="00233078"/>
    <w:rsid w:val="00234182"/>
    <w:rsid w:val="00240EFE"/>
    <w:rsid w:val="00242B1E"/>
    <w:rsid w:val="00244850"/>
    <w:rsid w:val="00247377"/>
    <w:rsid w:val="00247542"/>
    <w:rsid w:val="00247F06"/>
    <w:rsid w:val="0025142A"/>
    <w:rsid w:val="00254EDE"/>
    <w:rsid w:val="002555DA"/>
    <w:rsid w:val="00255949"/>
    <w:rsid w:val="00256324"/>
    <w:rsid w:val="00260A23"/>
    <w:rsid w:val="00260F9D"/>
    <w:rsid w:val="0026186D"/>
    <w:rsid w:val="002632D7"/>
    <w:rsid w:val="002633FE"/>
    <w:rsid w:val="00264FE6"/>
    <w:rsid w:val="0026619A"/>
    <w:rsid w:val="00266ED1"/>
    <w:rsid w:val="00267BCD"/>
    <w:rsid w:val="002703AD"/>
    <w:rsid w:val="002709DB"/>
    <w:rsid w:val="002753A6"/>
    <w:rsid w:val="00277366"/>
    <w:rsid w:val="0027759F"/>
    <w:rsid w:val="00277F5F"/>
    <w:rsid w:val="00282329"/>
    <w:rsid w:val="00282DAD"/>
    <w:rsid w:val="00282DAE"/>
    <w:rsid w:val="00282E94"/>
    <w:rsid w:val="002833E9"/>
    <w:rsid w:val="00284C75"/>
    <w:rsid w:val="0028553C"/>
    <w:rsid w:val="002928E8"/>
    <w:rsid w:val="002942E2"/>
    <w:rsid w:val="00294A94"/>
    <w:rsid w:val="0029605E"/>
    <w:rsid w:val="002A00FB"/>
    <w:rsid w:val="002A1E7F"/>
    <w:rsid w:val="002A216C"/>
    <w:rsid w:val="002A66C6"/>
    <w:rsid w:val="002A7B96"/>
    <w:rsid w:val="002B38C0"/>
    <w:rsid w:val="002B4216"/>
    <w:rsid w:val="002B66F0"/>
    <w:rsid w:val="002B6D45"/>
    <w:rsid w:val="002B7EC7"/>
    <w:rsid w:val="002C58DB"/>
    <w:rsid w:val="002D3EAB"/>
    <w:rsid w:val="002D4CF6"/>
    <w:rsid w:val="002D7233"/>
    <w:rsid w:val="002E32D0"/>
    <w:rsid w:val="002E539A"/>
    <w:rsid w:val="002F508E"/>
    <w:rsid w:val="002F5D63"/>
    <w:rsid w:val="002F7E9B"/>
    <w:rsid w:val="00303049"/>
    <w:rsid w:val="00303235"/>
    <w:rsid w:val="003035E5"/>
    <w:rsid w:val="0031201B"/>
    <w:rsid w:val="00312BE7"/>
    <w:rsid w:val="00312F84"/>
    <w:rsid w:val="003133C5"/>
    <w:rsid w:val="0031513E"/>
    <w:rsid w:val="003213A7"/>
    <w:rsid w:val="0032186E"/>
    <w:rsid w:val="00326DE4"/>
    <w:rsid w:val="00327696"/>
    <w:rsid w:val="0033166D"/>
    <w:rsid w:val="003322F1"/>
    <w:rsid w:val="00332682"/>
    <w:rsid w:val="00333927"/>
    <w:rsid w:val="003400BB"/>
    <w:rsid w:val="00341813"/>
    <w:rsid w:val="003432AA"/>
    <w:rsid w:val="00345437"/>
    <w:rsid w:val="00345509"/>
    <w:rsid w:val="003467DF"/>
    <w:rsid w:val="00346E54"/>
    <w:rsid w:val="003508EF"/>
    <w:rsid w:val="00350E13"/>
    <w:rsid w:val="00351D36"/>
    <w:rsid w:val="003538A9"/>
    <w:rsid w:val="003555E3"/>
    <w:rsid w:val="00355919"/>
    <w:rsid w:val="00356850"/>
    <w:rsid w:val="00361D11"/>
    <w:rsid w:val="003626E9"/>
    <w:rsid w:val="00363FAD"/>
    <w:rsid w:val="00365B2F"/>
    <w:rsid w:val="003679BC"/>
    <w:rsid w:val="003738DF"/>
    <w:rsid w:val="00374094"/>
    <w:rsid w:val="0037699B"/>
    <w:rsid w:val="00380E08"/>
    <w:rsid w:val="003813AB"/>
    <w:rsid w:val="00385C92"/>
    <w:rsid w:val="00385F35"/>
    <w:rsid w:val="003864B0"/>
    <w:rsid w:val="0038749E"/>
    <w:rsid w:val="003878F2"/>
    <w:rsid w:val="00387BB7"/>
    <w:rsid w:val="0039108B"/>
    <w:rsid w:val="00391B92"/>
    <w:rsid w:val="00392A2A"/>
    <w:rsid w:val="00393154"/>
    <w:rsid w:val="00393456"/>
    <w:rsid w:val="0039358B"/>
    <w:rsid w:val="00396608"/>
    <w:rsid w:val="00396B89"/>
    <w:rsid w:val="00396D52"/>
    <w:rsid w:val="003A0E71"/>
    <w:rsid w:val="003A2659"/>
    <w:rsid w:val="003A32EF"/>
    <w:rsid w:val="003A3775"/>
    <w:rsid w:val="003A4E41"/>
    <w:rsid w:val="003A5603"/>
    <w:rsid w:val="003A610A"/>
    <w:rsid w:val="003B08E7"/>
    <w:rsid w:val="003B31CE"/>
    <w:rsid w:val="003B3228"/>
    <w:rsid w:val="003B78B8"/>
    <w:rsid w:val="003C4476"/>
    <w:rsid w:val="003C6885"/>
    <w:rsid w:val="003D0B03"/>
    <w:rsid w:val="003D2239"/>
    <w:rsid w:val="003D4279"/>
    <w:rsid w:val="003D45A7"/>
    <w:rsid w:val="003D5A3F"/>
    <w:rsid w:val="003D6AE0"/>
    <w:rsid w:val="003D7970"/>
    <w:rsid w:val="003E0A19"/>
    <w:rsid w:val="003E1494"/>
    <w:rsid w:val="003E2DD1"/>
    <w:rsid w:val="003E52D6"/>
    <w:rsid w:val="003E5388"/>
    <w:rsid w:val="003E550A"/>
    <w:rsid w:val="003E5587"/>
    <w:rsid w:val="003E774D"/>
    <w:rsid w:val="003F08FF"/>
    <w:rsid w:val="003F17CB"/>
    <w:rsid w:val="003F2713"/>
    <w:rsid w:val="003F2FB2"/>
    <w:rsid w:val="003F31A4"/>
    <w:rsid w:val="003F5215"/>
    <w:rsid w:val="00402399"/>
    <w:rsid w:val="00403638"/>
    <w:rsid w:val="00403B2F"/>
    <w:rsid w:val="00404ED6"/>
    <w:rsid w:val="0040575C"/>
    <w:rsid w:val="00405878"/>
    <w:rsid w:val="004070E4"/>
    <w:rsid w:val="00407A78"/>
    <w:rsid w:val="0041079E"/>
    <w:rsid w:val="00411325"/>
    <w:rsid w:val="00411B11"/>
    <w:rsid w:val="00411B34"/>
    <w:rsid w:val="00412AEB"/>
    <w:rsid w:val="00413CFE"/>
    <w:rsid w:val="0041513C"/>
    <w:rsid w:val="0042198F"/>
    <w:rsid w:val="00422C4C"/>
    <w:rsid w:val="00422FFE"/>
    <w:rsid w:val="00426937"/>
    <w:rsid w:val="00427798"/>
    <w:rsid w:val="00431B6A"/>
    <w:rsid w:val="00433319"/>
    <w:rsid w:val="00434709"/>
    <w:rsid w:val="00434B2D"/>
    <w:rsid w:val="00436140"/>
    <w:rsid w:val="00440308"/>
    <w:rsid w:val="004411F1"/>
    <w:rsid w:val="0044771E"/>
    <w:rsid w:val="0044777D"/>
    <w:rsid w:val="00452D25"/>
    <w:rsid w:val="004542A5"/>
    <w:rsid w:val="004564F7"/>
    <w:rsid w:val="00457F81"/>
    <w:rsid w:val="00461450"/>
    <w:rsid w:val="00462E92"/>
    <w:rsid w:val="004635F6"/>
    <w:rsid w:val="00465897"/>
    <w:rsid w:val="0046611A"/>
    <w:rsid w:val="00466C34"/>
    <w:rsid w:val="00472688"/>
    <w:rsid w:val="00473E79"/>
    <w:rsid w:val="004750B4"/>
    <w:rsid w:val="00477296"/>
    <w:rsid w:val="004804B0"/>
    <w:rsid w:val="00481547"/>
    <w:rsid w:val="0048199C"/>
    <w:rsid w:val="004832DC"/>
    <w:rsid w:val="00484BB4"/>
    <w:rsid w:val="0048538C"/>
    <w:rsid w:val="004914BD"/>
    <w:rsid w:val="00491CDD"/>
    <w:rsid w:val="00491EF4"/>
    <w:rsid w:val="00492390"/>
    <w:rsid w:val="00496365"/>
    <w:rsid w:val="004A006E"/>
    <w:rsid w:val="004A01F8"/>
    <w:rsid w:val="004A68E1"/>
    <w:rsid w:val="004A70B7"/>
    <w:rsid w:val="004B109B"/>
    <w:rsid w:val="004B4D06"/>
    <w:rsid w:val="004B5D83"/>
    <w:rsid w:val="004C1B2E"/>
    <w:rsid w:val="004C453B"/>
    <w:rsid w:val="004D117B"/>
    <w:rsid w:val="004D4DCD"/>
    <w:rsid w:val="004D75E0"/>
    <w:rsid w:val="004E08B3"/>
    <w:rsid w:val="004E24A8"/>
    <w:rsid w:val="004E3C6C"/>
    <w:rsid w:val="004E4248"/>
    <w:rsid w:val="004E5104"/>
    <w:rsid w:val="004E5448"/>
    <w:rsid w:val="004E5A46"/>
    <w:rsid w:val="004E5C1B"/>
    <w:rsid w:val="004E6B6F"/>
    <w:rsid w:val="004E7C94"/>
    <w:rsid w:val="004F2B38"/>
    <w:rsid w:val="004F5737"/>
    <w:rsid w:val="004F6176"/>
    <w:rsid w:val="004F6603"/>
    <w:rsid w:val="005001AA"/>
    <w:rsid w:val="00500BA8"/>
    <w:rsid w:val="00500EC4"/>
    <w:rsid w:val="00501DAE"/>
    <w:rsid w:val="0050367F"/>
    <w:rsid w:val="005056ED"/>
    <w:rsid w:val="0050591C"/>
    <w:rsid w:val="005068FC"/>
    <w:rsid w:val="005076B4"/>
    <w:rsid w:val="00507D9F"/>
    <w:rsid w:val="005101C9"/>
    <w:rsid w:val="00510245"/>
    <w:rsid w:val="0051284A"/>
    <w:rsid w:val="00513B8D"/>
    <w:rsid w:val="00513C12"/>
    <w:rsid w:val="00516D99"/>
    <w:rsid w:val="0051764B"/>
    <w:rsid w:val="005200ED"/>
    <w:rsid w:val="00520E40"/>
    <w:rsid w:val="0052449E"/>
    <w:rsid w:val="0052723A"/>
    <w:rsid w:val="005276E8"/>
    <w:rsid w:val="00530CF7"/>
    <w:rsid w:val="0053541B"/>
    <w:rsid w:val="00536B0A"/>
    <w:rsid w:val="005405FC"/>
    <w:rsid w:val="005408A5"/>
    <w:rsid w:val="00544620"/>
    <w:rsid w:val="005451D9"/>
    <w:rsid w:val="005464BA"/>
    <w:rsid w:val="00546AA6"/>
    <w:rsid w:val="0054704C"/>
    <w:rsid w:val="00550C5E"/>
    <w:rsid w:val="005526AD"/>
    <w:rsid w:val="005534BE"/>
    <w:rsid w:val="005560E7"/>
    <w:rsid w:val="00556614"/>
    <w:rsid w:val="005566A1"/>
    <w:rsid w:val="00560A7F"/>
    <w:rsid w:val="00562087"/>
    <w:rsid w:val="00562199"/>
    <w:rsid w:val="00563AD3"/>
    <w:rsid w:val="00563D51"/>
    <w:rsid w:val="0056453E"/>
    <w:rsid w:val="005654BB"/>
    <w:rsid w:val="00565893"/>
    <w:rsid w:val="00567940"/>
    <w:rsid w:val="00572FB4"/>
    <w:rsid w:val="0057453B"/>
    <w:rsid w:val="00576361"/>
    <w:rsid w:val="00576D97"/>
    <w:rsid w:val="00576DE4"/>
    <w:rsid w:val="005772EC"/>
    <w:rsid w:val="00580885"/>
    <w:rsid w:val="00581D5C"/>
    <w:rsid w:val="0058377A"/>
    <w:rsid w:val="0058523F"/>
    <w:rsid w:val="0058611A"/>
    <w:rsid w:val="00586A20"/>
    <w:rsid w:val="00590066"/>
    <w:rsid w:val="00593E9D"/>
    <w:rsid w:val="005959F7"/>
    <w:rsid w:val="005A245E"/>
    <w:rsid w:val="005A27FB"/>
    <w:rsid w:val="005A280F"/>
    <w:rsid w:val="005A2940"/>
    <w:rsid w:val="005A388C"/>
    <w:rsid w:val="005A3909"/>
    <w:rsid w:val="005A6CBE"/>
    <w:rsid w:val="005A6E15"/>
    <w:rsid w:val="005A726F"/>
    <w:rsid w:val="005A754F"/>
    <w:rsid w:val="005A7DA6"/>
    <w:rsid w:val="005B17C8"/>
    <w:rsid w:val="005B2A0D"/>
    <w:rsid w:val="005B2E9F"/>
    <w:rsid w:val="005B3680"/>
    <w:rsid w:val="005B373A"/>
    <w:rsid w:val="005B56C7"/>
    <w:rsid w:val="005C1E9F"/>
    <w:rsid w:val="005C3B5E"/>
    <w:rsid w:val="005C4D8D"/>
    <w:rsid w:val="005C531E"/>
    <w:rsid w:val="005C5E6B"/>
    <w:rsid w:val="005C6F2C"/>
    <w:rsid w:val="005C79F5"/>
    <w:rsid w:val="005C7CDF"/>
    <w:rsid w:val="005C7E06"/>
    <w:rsid w:val="005D0E19"/>
    <w:rsid w:val="005D126B"/>
    <w:rsid w:val="005D5E78"/>
    <w:rsid w:val="005D7FD4"/>
    <w:rsid w:val="005E0E75"/>
    <w:rsid w:val="005E3234"/>
    <w:rsid w:val="005E3328"/>
    <w:rsid w:val="005E373D"/>
    <w:rsid w:val="005E41B8"/>
    <w:rsid w:val="005E4251"/>
    <w:rsid w:val="005E5012"/>
    <w:rsid w:val="005E583F"/>
    <w:rsid w:val="005E6EDC"/>
    <w:rsid w:val="005E7C02"/>
    <w:rsid w:val="005F3FAA"/>
    <w:rsid w:val="005F66E4"/>
    <w:rsid w:val="00600FB5"/>
    <w:rsid w:val="006010F6"/>
    <w:rsid w:val="006013ED"/>
    <w:rsid w:val="00601E52"/>
    <w:rsid w:val="00602CE4"/>
    <w:rsid w:val="00604073"/>
    <w:rsid w:val="00610CA1"/>
    <w:rsid w:val="00613A82"/>
    <w:rsid w:val="00613DCB"/>
    <w:rsid w:val="00615FBC"/>
    <w:rsid w:val="00616799"/>
    <w:rsid w:val="006171A0"/>
    <w:rsid w:val="0061764B"/>
    <w:rsid w:val="00621268"/>
    <w:rsid w:val="00621A11"/>
    <w:rsid w:val="00621C80"/>
    <w:rsid w:val="006266B8"/>
    <w:rsid w:val="00626FCB"/>
    <w:rsid w:val="006277E3"/>
    <w:rsid w:val="00630D3A"/>
    <w:rsid w:val="00632FA3"/>
    <w:rsid w:val="0063331B"/>
    <w:rsid w:val="0063734C"/>
    <w:rsid w:val="00641C1D"/>
    <w:rsid w:val="00645738"/>
    <w:rsid w:val="00645A10"/>
    <w:rsid w:val="006468D4"/>
    <w:rsid w:val="0065012A"/>
    <w:rsid w:val="00651CD0"/>
    <w:rsid w:val="0065210D"/>
    <w:rsid w:val="00655722"/>
    <w:rsid w:val="00655ACE"/>
    <w:rsid w:val="00657D35"/>
    <w:rsid w:val="0066026F"/>
    <w:rsid w:val="00664742"/>
    <w:rsid w:val="00664D56"/>
    <w:rsid w:val="006655AB"/>
    <w:rsid w:val="00675A39"/>
    <w:rsid w:val="00681D00"/>
    <w:rsid w:val="00683574"/>
    <w:rsid w:val="00684100"/>
    <w:rsid w:val="00684B93"/>
    <w:rsid w:val="00685746"/>
    <w:rsid w:val="006911A4"/>
    <w:rsid w:val="00691D00"/>
    <w:rsid w:val="0069261F"/>
    <w:rsid w:val="006948C7"/>
    <w:rsid w:val="006A0935"/>
    <w:rsid w:val="006A0A15"/>
    <w:rsid w:val="006A3082"/>
    <w:rsid w:val="006A39BF"/>
    <w:rsid w:val="006A52B9"/>
    <w:rsid w:val="006A5598"/>
    <w:rsid w:val="006B4628"/>
    <w:rsid w:val="006B46F3"/>
    <w:rsid w:val="006B519C"/>
    <w:rsid w:val="006B5E87"/>
    <w:rsid w:val="006B67AD"/>
    <w:rsid w:val="006C0A30"/>
    <w:rsid w:val="006C15BF"/>
    <w:rsid w:val="006C17A8"/>
    <w:rsid w:val="006C2538"/>
    <w:rsid w:val="006C52EC"/>
    <w:rsid w:val="006C6568"/>
    <w:rsid w:val="006D19C6"/>
    <w:rsid w:val="006D56DB"/>
    <w:rsid w:val="006D7C45"/>
    <w:rsid w:val="006E0289"/>
    <w:rsid w:val="006E26D6"/>
    <w:rsid w:val="006E4312"/>
    <w:rsid w:val="006E485D"/>
    <w:rsid w:val="006E4EE7"/>
    <w:rsid w:val="006E5831"/>
    <w:rsid w:val="006E5B56"/>
    <w:rsid w:val="006E6BC8"/>
    <w:rsid w:val="006E726D"/>
    <w:rsid w:val="006E79D3"/>
    <w:rsid w:val="006F252D"/>
    <w:rsid w:val="006F2DD8"/>
    <w:rsid w:val="006F33BC"/>
    <w:rsid w:val="006F3758"/>
    <w:rsid w:val="006F4637"/>
    <w:rsid w:val="006F631D"/>
    <w:rsid w:val="006F6811"/>
    <w:rsid w:val="0070215A"/>
    <w:rsid w:val="00702208"/>
    <w:rsid w:val="00703F6D"/>
    <w:rsid w:val="00711AF3"/>
    <w:rsid w:val="0071378F"/>
    <w:rsid w:val="007179FF"/>
    <w:rsid w:val="0072005D"/>
    <w:rsid w:val="0072312E"/>
    <w:rsid w:val="00726A09"/>
    <w:rsid w:val="00730AF4"/>
    <w:rsid w:val="00731A74"/>
    <w:rsid w:val="00735244"/>
    <w:rsid w:val="00735AAF"/>
    <w:rsid w:val="0073615D"/>
    <w:rsid w:val="00740DAB"/>
    <w:rsid w:val="00740EE8"/>
    <w:rsid w:val="0074140B"/>
    <w:rsid w:val="0074158E"/>
    <w:rsid w:val="007417DD"/>
    <w:rsid w:val="0074385C"/>
    <w:rsid w:val="00745D82"/>
    <w:rsid w:val="00750E72"/>
    <w:rsid w:val="0076053A"/>
    <w:rsid w:val="00760FDC"/>
    <w:rsid w:val="0076527D"/>
    <w:rsid w:val="007661EA"/>
    <w:rsid w:val="00766EAB"/>
    <w:rsid w:val="0077290B"/>
    <w:rsid w:val="00774125"/>
    <w:rsid w:val="0077649A"/>
    <w:rsid w:val="007771B4"/>
    <w:rsid w:val="00777587"/>
    <w:rsid w:val="00780979"/>
    <w:rsid w:val="007817D8"/>
    <w:rsid w:val="00782F8B"/>
    <w:rsid w:val="007917B8"/>
    <w:rsid w:val="00791E73"/>
    <w:rsid w:val="00792848"/>
    <w:rsid w:val="00793842"/>
    <w:rsid w:val="00796CBE"/>
    <w:rsid w:val="00797A89"/>
    <w:rsid w:val="007A04EF"/>
    <w:rsid w:val="007A1D13"/>
    <w:rsid w:val="007A30A1"/>
    <w:rsid w:val="007A319C"/>
    <w:rsid w:val="007A410A"/>
    <w:rsid w:val="007A51B8"/>
    <w:rsid w:val="007A57B4"/>
    <w:rsid w:val="007A5830"/>
    <w:rsid w:val="007A5F1C"/>
    <w:rsid w:val="007A60A2"/>
    <w:rsid w:val="007A78FE"/>
    <w:rsid w:val="007B5D3C"/>
    <w:rsid w:val="007C0973"/>
    <w:rsid w:val="007C15B4"/>
    <w:rsid w:val="007C5CDB"/>
    <w:rsid w:val="007C77E0"/>
    <w:rsid w:val="007D027A"/>
    <w:rsid w:val="007D082E"/>
    <w:rsid w:val="007D3A4C"/>
    <w:rsid w:val="007D6CF2"/>
    <w:rsid w:val="007E212A"/>
    <w:rsid w:val="007E2FF1"/>
    <w:rsid w:val="007F08A3"/>
    <w:rsid w:val="007F22E3"/>
    <w:rsid w:val="007F3ECD"/>
    <w:rsid w:val="007F54FC"/>
    <w:rsid w:val="007F5CA2"/>
    <w:rsid w:val="00802F57"/>
    <w:rsid w:val="00803F98"/>
    <w:rsid w:val="0080485E"/>
    <w:rsid w:val="00804867"/>
    <w:rsid w:val="00804A67"/>
    <w:rsid w:val="00805086"/>
    <w:rsid w:val="00805205"/>
    <w:rsid w:val="00806D5A"/>
    <w:rsid w:val="00806DF8"/>
    <w:rsid w:val="00810D0B"/>
    <w:rsid w:val="008141E0"/>
    <w:rsid w:val="00815F70"/>
    <w:rsid w:val="008172B6"/>
    <w:rsid w:val="0081784E"/>
    <w:rsid w:val="0082488B"/>
    <w:rsid w:val="00824A3C"/>
    <w:rsid w:val="00826493"/>
    <w:rsid w:val="00827650"/>
    <w:rsid w:val="00832669"/>
    <w:rsid w:val="00833AE7"/>
    <w:rsid w:val="00836108"/>
    <w:rsid w:val="00836929"/>
    <w:rsid w:val="00842651"/>
    <w:rsid w:val="00842D43"/>
    <w:rsid w:val="008445C2"/>
    <w:rsid w:val="0084482E"/>
    <w:rsid w:val="00845419"/>
    <w:rsid w:val="00846FF4"/>
    <w:rsid w:val="00853D68"/>
    <w:rsid w:val="00855439"/>
    <w:rsid w:val="00856B9B"/>
    <w:rsid w:val="008571FA"/>
    <w:rsid w:val="0086074C"/>
    <w:rsid w:val="00862BB6"/>
    <w:rsid w:val="00863CA7"/>
    <w:rsid w:val="0087261D"/>
    <w:rsid w:val="00872A76"/>
    <w:rsid w:val="00872F52"/>
    <w:rsid w:val="00873140"/>
    <w:rsid w:val="00873245"/>
    <w:rsid w:val="008740EC"/>
    <w:rsid w:val="00876D50"/>
    <w:rsid w:val="008826FC"/>
    <w:rsid w:val="00883B8B"/>
    <w:rsid w:val="00885F7D"/>
    <w:rsid w:val="00891FEC"/>
    <w:rsid w:val="0089299F"/>
    <w:rsid w:val="008943A0"/>
    <w:rsid w:val="0089650F"/>
    <w:rsid w:val="008974EC"/>
    <w:rsid w:val="008A2198"/>
    <w:rsid w:val="008A4AD0"/>
    <w:rsid w:val="008A6671"/>
    <w:rsid w:val="008A6C25"/>
    <w:rsid w:val="008A70F5"/>
    <w:rsid w:val="008B0C91"/>
    <w:rsid w:val="008B2D4A"/>
    <w:rsid w:val="008B4D63"/>
    <w:rsid w:val="008B581A"/>
    <w:rsid w:val="008C4496"/>
    <w:rsid w:val="008C6A8D"/>
    <w:rsid w:val="008C7056"/>
    <w:rsid w:val="008C7A66"/>
    <w:rsid w:val="008D0082"/>
    <w:rsid w:val="008D7D73"/>
    <w:rsid w:val="008E017F"/>
    <w:rsid w:val="008E0B90"/>
    <w:rsid w:val="008E291E"/>
    <w:rsid w:val="008E43BC"/>
    <w:rsid w:val="008E5F36"/>
    <w:rsid w:val="008E777E"/>
    <w:rsid w:val="008F01BA"/>
    <w:rsid w:val="008F0BED"/>
    <w:rsid w:val="008F219B"/>
    <w:rsid w:val="008F3891"/>
    <w:rsid w:val="008F500F"/>
    <w:rsid w:val="008F5D58"/>
    <w:rsid w:val="008F5E7C"/>
    <w:rsid w:val="008F611A"/>
    <w:rsid w:val="008F7843"/>
    <w:rsid w:val="00901506"/>
    <w:rsid w:val="0090385C"/>
    <w:rsid w:val="00907C7F"/>
    <w:rsid w:val="00914CF0"/>
    <w:rsid w:val="00914CFD"/>
    <w:rsid w:val="00915FD5"/>
    <w:rsid w:val="009220AE"/>
    <w:rsid w:val="0092250B"/>
    <w:rsid w:val="009252FD"/>
    <w:rsid w:val="009272D1"/>
    <w:rsid w:val="00927626"/>
    <w:rsid w:val="0093361C"/>
    <w:rsid w:val="00935449"/>
    <w:rsid w:val="00935A5E"/>
    <w:rsid w:val="009376BF"/>
    <w:rsid w:val="00940BD9"/>
    <w:rsid w:val="00942737"/>
    <w:rsid w:val="00942C18"/>
    <w:rsid w:val="00942CB1"/>
    <w:rsid w:val="009438D0"/>
    <w:rsid w:val="00945840"/>
    <w:rsid w:val="00945A7B"/>
    <w:rsid w:val="0095338D"/>
    <w:rsid w:val="00954B4E"/>
    <w:rsid w:val="009562B6"/>
    <w:rsid w:val="00957EE3"/>
    <w:rsid w:val="0096101C"/>
    <w:rsid w:val="00961F1A"/>
    <w:rsid w:val="0096320A"/>
    <w:rsid w:val="00963F9F"/>
    <w:rsid w:val="00964451"/>
    <w:rsid w:val="00965827"/>
    <w:rsid w:val="00967762"/>
    <w:rsid w:val="00971560"/>
    <w:rsid w:val="00971783"/>
    <w:rsid w:val="00973E4D"/>
    <w:rsid w:val="00980580"/>
    <w:rsid w:val="0098135D"/>
    <w:rsid w:val="00986F10"/>
    <w:rsid w:val="0099019A"/>
    <w:rsid w:val="00991EC4"/>
    <w:rsid w:val="00993C22"/>
    <w:rsid w:val="009941F1"/>
    <w:rsid w:val="00994299"/>
    <w:rsid w:val="009945B4"/>
    <w:rsid w:val="00994F7B"/>
    <w:rsid w:val="00996119"/>
    <w:rsid w:val="009A048D"/>
    <w:rsid w:val="009A0912"/>
    <w:rsid w:val="009A3208"/>
    <w:rsid w:val="009A5304"/>
    <w:rsid w:val="009A5C3A"/>
    <w:rsid w:val="009B076C"/>
    <w:rsid w:val="009B37D2"/>
    <w:rsid w:val="009C2B04"/>
    <w:rsid w:val="009C4430"/>
    <w:rsid w:val="009C7272"/>
    <w:rsid w:val="009D2E2B"/>
    <w:rsid w:val="009D2FBD"/>
    <w:rsid w:val="009D58B7"/>
    <w:rsid w:val="009D5EF3"/>
    <w:rsid w:val="009D5F42"/>
    <w:rsid w:val="009E191F"/>
    <w:rsid w:val="009E30C1"/>
    <w:rsid w:val="009E4645"/>
    <w:rsid w:val="009E4C11"/>
    <w:rsid w:val="009E682B"/>
    <w:rsid w:val="009F00F5"/>
    <w:rsid w:val="009F0753"/>
    <w:rsid w:val="009F3986"/>
    <w:rsid w:val="009F7105"/>
    <w:rsid w:val="00A00CFF"/>
    <w:rsid w:val="00A0156F"/>
    <w:rsid w:val="00A01EA7"/>
    <w:rsid w:val="00A024D0"/>
    <w:rsid w:val="00A04C98"/>
    <w:rsid w:val="00A05819"/>
    <w:rsid w:val="00A05D99"/>
    <w:rsid w:val="00A07E24"/>
    <w:rsid w:val="00A07EAF"/>
    <w:rsid w:val="00A1071E"/>
    <w:rsid w:val="00A1114F"/>
    <w:rsid w:val="00A14A96"/>
    <w:rsid w:val="00A20789"/>
    <w:rsid w:val="00A22D92"/>
    <w:rsid w:val="00A250D8"/>
    <w:rsid w:val="00A253CD"/>
    <w:rsid w:val="00A25453"/>
    <w:rsid w:val="00A32FB4"/>
    <w:rsid w:val="00A352AA"/>
    <w:rsid w:val="00A3650D"/>
    <w:rsid w:val="00A37F8D"/>
    <w:rsid w:val="00A50737"/>
    <w:rsid w:val="00A51302"/>
    <w:rsid w:val="00A5191B"/>
    <w:rsid w:val="00A51E9E"/>
    <w:rsid w:val="00A522FD"/>
    <w:rsid w:val="00A52BF3"/>
    <w:rsid w:val="00A549C4"/>
    <w:rsid w:val="00A563FF"/>
    <w:rsid w:val="00A56939"/>
    <w:rsid w:val="00A56A07"/>
    <w:rsid w:val="00A623A9"/>
    <w:rsid w:val="00A663F3"/>
    <w:rsid w:val="00A67C96"/>
    <w:rsid w:val="00A713F5"/>
    <w:rsid w:val="00A71813"/>
    <w:rsid w:val="00A74336"/>
    <w:rsid w:val="00A83E60"/>
    <w:rsid w:val="00A8560B"/>
    <w:rsid w:val="00A8660B"/>
    <w:rsid w:val="00A871E7"/>
    <w:rsid w:val="00A87B37"/>
    <w:rsid w:val="00A87DEC"/>
    <w:rsid w:val="00A87E64"/>
    <w:rsid w:val="00A90C16"/>
    <w:rsid w:val="00A91B71"/>
    <w:rsid w:val="00A921EE"/>
    <w:rsid w:val="00A92C0B"/>
    <w:rsid w:val="00A93DDF"/>
    <w:rsid w:val="00A940C9"/>
    <w:rsid w:val="00A94ED8"/>
    <w:rsid w:val="00A955F1"/>
    <w:rsid w:val="00A96070"/>
    <w:rsid w:val="00A964C5"/>
    <w:rsid w:val="00AA0A49"/>
    <w:rsid w:val="00AA0DD8"/>
    <w:rsid w:val="00AA2328"/>
    <w:rsid w:val="00AA26EB"/>
    <w:rsid w:val="00AA6356"/>
    <w:rsid w:val="00AB2808"/>
    <w:rsid w:val="00AB2C64"/>
    <w:rsid w:val="00AB4FBC"/>
    <w:rsid w:val="00AB5280"/>
    <w:rsid w:val="00AB54C6"/>
    <w:rsid w:val="00AB6C99"/>
    <w:rsid w:val="00AB7DB8"/>
    <w:rsid w:val="00AC216B"/>
    <w:rsid w:val="00AD5516"/>
    <w:rsid w:val="00AE0086"/>
    <w:rsid w:val="00AE30DB"/>
    <w:rsid w:val="00AE338D"/>
    <w:rsid w:val="00AE46CC"/>
    <w:rsid w:val="00AE578C"/>
    <w:rsid w:val="00AE6F86"/>
    <w:rsid w:val="00AE7CED"/>
    <w:rsid w:val="00AF0055"/>
    <w:rsid w:val="00AF026D"/>
    <w:rsid w:val="00AF0B9E"/>
    <w:rsid w:val="00AF0EFB"/>
    <w:rsid w:val="00AF3993"/>
    <w:rsid w:val="00AF3E4C"/>
    <w:rsid w:val="00AF60A0"/>
    <w:rsid w:val="00B017D1"/>
    <w:rsid w:val="00B04F9F"/>
    <w:rsid w:val="00B054AB"/>
    <w:rsid w:val="00B06001"/>
    <w:rsid w:val="00B06005"/>
    <w:rsid w:val="00B06E1E"/>
    <w:rsid w:val="00B0790A"/>
    <w:rsid w:val="00B07B9A"/>
    <w:rsid w:val="00B113C5"/>
    <w:rsid w:val="00B150E9"/>
    <w:rsid w:val="00B15AD5"/>
    <w:rsid w:val="00B1639B"/>
    <w:rsid w:val="00B16ACF"/>
    <w:rsid w:val="00B22FDB"/>
    <w:rsid w:val="00B24807"/>
    <w:rsid w:val="00B24D08"/>
    <w:rsid w:val="00B2520A"/>
    <w:rsid w:val="00B26B71"/>
    <w:rsid w:val="00B26EE3"/>
    <w:rsid w:val="00B31AD6"/>
    <w:rsid w:val="00B31E6E"/>
    <w:rsid w:val="00B32231"/>
    <w:rsid w:val="00B32A0F"/>
    <w:rsid w:val="00B36403"/>
    <w:rsid w:val="00B43550"/>
    <w:rsid w:val="00B43966"/>
    <w:rsid w:val="00B474EC"/>
    <w:rsid w:val="00B47EA2"/>
    <w:rsid w:val="00B515E5"/>
    <w:rsid w:val="00B5577D"/>
    <w:rsid w:val="00B57B81"/>
    <w:rsid w:val="00B60025"/>
    <w:rsid w:val="00B60CA6"/>
    <w:rsid w:val="00B6203E"/>
    <w:rsid w:val="00B65004"/>
    <w:rsid w:val="00B665A6"/>
    <w:rsid w:val="00B667DC"/>
    <w:rsid w:val="00B70BAC"/>
    <w:rsid w:val="00B72BB7"/>
    <w:rsid w:val="00B73749"/>
    <w:rsid w:val="00B738A0"/>
    <w:rsid w:val="00B745FB"/>
    <w:rsid w:val="00B75E19"/>
    <w:rsid w:val="00B76084"/>
    <w:rsid w:val="00B77660"/>
    <w:rsid w:val="00B77BDD"/>
    <w:rsid w:val="00B82279"/>
    <w:rsid w:val="00B82E28"/>
    <w:rsid w:val="00B853F9"/>
    <w:rsid w:val="00B85413"/>
    <w:rsid w:val="00B87648"/>
    <w:rsid w:val="00B876FD"/>
    <w:rsid w:val="00B87DCA"/>
    <w:rsid w:val="00B90349"/>
    <w:rsid w:val="00B909FA"/>
    <w:rsid w:val="00B91202"/>
    <w:rsid w:val="00B9157E"/>
    <w:rsid w:val="00B91BF8"/>
    <w:rsid w:val="00B92C08"/>
    <w:rsid w:val="00B95706"/>
    <w:rsid w:val="00B96AAB"/>
    <w:rsid w:val="00B970B3"/>
    <w:rsid w:val="00BA078D"/>
    <w:rsid w:val="00BA33DE"/>
    <w:rsid w:val="00BA5734"/>
    <w:rsid w:val="00BB0F6D"/>
    <w:rsid w:val="00BB1A80"/>
    <w:rsid w:val="00BB2472"/>
    <w:rsid w:val="00BB24D5"/>
    <w:rsid w:val="00BB43BE"/>
    <w:rsid w:val="00BB44FA"/>
    <w:rsid w:val="00BB58B7"/>
    <w:rsid w:val="00BB7D78"/>
    <w:rsid w:val="00BC0DF0"/>
    <w:rsid w:val="00BD0D95"/>
    <w:rsid w:val="00BD5A21"/>
    <w:rsid w:val="00BD68DE"/>
    <w:rsid w:val="00BE10BD"/>
    <w:rsid w:val="00BE246B"/>
    <w:rsid w:val="00BE3A1A"/>
    <w:rsid w:val="00BE4F83"/>
    <w:rsid w:val="00BE59CC"/>
    <w:rsid w:val="00BE77C9"/>
    <w:rsid w:val="00BE7E94"/>
    <w:rsid w:val="00BF2599"/>
    <w:rsid w:val="00BF25F3"/>
    <w:rsid w:val="00BF4610"/>
    <w:rsid w:val="00C00369"/>
    <w:rsid w:val="00C0087D"/>
    <w:rsid w:val="00C036C4"/>
    <w:rsid w:val="00C04145"/>
    <w:rsid w:val="00C04AC3"/>
    <w:rsid w:val="00C07619"/>
    <w:rsid w:val="00C11666"/>
    <w:rsid w:val="00C12C93"/>
    <w:rsid w:val="00C12D22"/>
    <w:rsid w:val="00C13DB9"/>
    <w:rsid w:val="00C15988"/>
    <w:rsid w:val="00C17BA5"/>
    <w:rsid w:val="00C22107"/>
    <w:rsid w:val="00C26EFB"/>
    <w:rsid w:val="00C34A35"/>
    <w:rsid w:val="00C35F08"/>
    <w:rsid w:val="00C365F7"/>
    <w:rsid w:val="00C37420"/>
    <w:rsid w:val="00C402E0"/>
    <w:rsid w:val="00C412C3"/>
    <w:rsid w:val="00C42E78"/>
    <w:rsid w:val="00C453A7"/>
    <w:rsid w:val="00C47A0B"/>
    <w:rsid w:val="00C47C86"/>
    <w:rsid w:val="00C53993"/>
    <w:rsid w:val="00C56393"/>
    <w:rsid w:val="00C564B0"/>
    <w:rsid w:val="00C56633"/>
    <w:rsid w:val="00C6177B"/>
    <w:rsid w:val="00C62426"/>
    <w:rsid w:val="00C62A88"/>
    <w:rsid w:val="00C65248"/>
    <w:rsid w:val="00C66D44"/>
    <w:rsid w:val="00C66F87"/>
    <w:rsid w:val="00C709D0"/>
    <w:rsid w:val="00C7194C"/>
    <w:rsid w:val="00C71BE5"/>
    <w:rsid w:val="00C72348"/>
    <w:rsid w:val="00C72BCE"/>
    <w:rsid w:val="00C74609"/>
    <w:rsid w:val="00C7687B"/>
    <w:rsid w:val="00C77147"/>
    <w:rsid w:val="00C779A7"/>
    <w:rsid w:val="00C83B9F"/>
    <w:rsid w:val="00C84E90"/>
    <w:rsid w:val="00C85489"/>
    <w:rsid w:val="00C85ADF"/>
    <w:rsid w:val="00C909DF"/>
    <w:rsid w:val="00C90A45"/>
    <w:rsid w:val="00C9145C"/>
    <w:rsid w:val="00C95AA0"/>
    <w:rsid w:val="00C96022"/>
    <w:rsid w:val="00C96B33"/>
    <w:rsid w:val="00CA12FF"/>
    <w:rsid w:val="00CA162B"/>
    <w:rsid w:val="00CA38AD"/>
    <w:rsid w:val="00CA615B"/>
    <w:rsid w:val="00CB023C"/>
    <w:rsid w:val="00CB1885"/>
    <w:rsid w:val="00CB2503"/>
    <w:rsid w:val="00CB532B"/>
    <w:rsid w:val="00CB5637"/>
    <w:rsid w:val="00CB6DF9"/>
    <w:rsid w:val="00CC051C"/>
    <w:rsid w:val="00CC1043"/>
    <w:rsid w:val="00CC4AA7"/>
    <w:rsid w:val="00CC4B32"/>
    <w:rsid w:val="00CC629A"/>
    <w:rsid w:val="00CD1279"/>
    <w:rsid w:val="00CD1667"/>
    <w:rsid w:val="00CD33D3"/>
    <w:rsid w:val="00CD3F10"/>
    <w:rsid w:val="00CD4532"/>
    <w:rsid w:val="00CE1948"/>
    <w:rsid w:val="00CE1D30"/>
    <w:rsid w:val="00CE1F33"/>
    <w:rsid w:val="00CE32F7"/>
    <w:rsid w:val="00CE371D"/>
    <w:rsid w:val="00CE50D3"/>
    <w:rsid w:val="00CE5E13"/>
    <w:rsid w:val="00CF01FA"/>
    <w:rsid w:val="00CF21F7"/>
    <w:rsid w:val="00D023E6"/>
    <w:rsid w:val="00D04EA6"/>
    <w:rsid w:val="00D05637"/>
    <w:rsid w:val="00D05E69"/>
    <w:rsid w:val="00D075E5"/>
    <w:rsid w:val="00D106A8"/>
    <w:rsid w:val="00D20A02"/>
    <w:rsid w:val="00D22006"/>
    <w:rsid w:val="00D23242"/>
    <w:rsid w:val="00D2377E"/>
    <w:rsid w:val="00D23E7B"/>
    <w:rsid w:val="00D2490E"/>
    <w:rsid w:val="00D2731B"/>
    <w:rsid w:val="00D274FF"/>
    <w:rsid w:val="00D27B23"/>
    <w:rsid w:val="00D30DEC"/>
    <w:rsid w:val="00D312CF"/>
    <w:rsid w:val="00D337EE"/>
    <w:rsid w:val="00D3394C"/>
    <w:rsid w:val="00D353C2"/>
    <w:rsid w:val="00D3768F"/>
    <w:rsid w:val="00D401FC"/>
    <w:rsid w:val="00D40650"/>
    <w:rsid w:val="00D409D1"/>
    <w:rsid w:val="00D4471A"/>
    <w:rsid w:val="00D44FFE"/>
    <w:rsid w:val="00D464B6"/>
    <w:rsid w:val="00D467E1"/>
    <w:rsid w:val="00D472C6"/>
    <w:rsid w:val="00D51BEA"/>
    <w:rsid w:val="00D575FB"/>
    <w:rsid w:val="00D6080B"/>
    <w:rsid w:val="00D60DC2"/>
    <w:rsid w:val="00D63152"/>
    <w:rsid w:val="00D652C8"/>
    <w:rsid w:val="00D654E3"/>
    <w:rsid w:val="00D65A04"/>
    <w:rsid w:val="00D667DC"/>
    <w:rsid w:val="00D66B2D"/>
    <w:rsid w:val="00D7002A"/>
    <w:rsid w:val="00D77102"/>
    <w:rsid w:val="00D77362"/>
    <w:rsid w:val="00D81E3E"/>
    <w:rsid w:val="00D837BA"/>
    <w:rsid w:val="00D83BC1"/>
    <w:rsid w:val="00D91476"/>
    <w:rsid w:val="00D9300E"/>
    <w:rsid w:val="00D934B1"/>
    <w:rsid w:val="00D93D32"/>
    <w:rsid w:val="00D95703"/>
    <w:rsid w:val="00DA045D"/>
    <w:rsid w:val="00DA07B9"/>
    <w:rsid w:val="00DA15DE"/>
    <w:rsid w:val="00DA1D33"/>
    <w:rsid w:val="00DA3189"/>
    <w:rsid w:val="00DA6EAF"/>
    <w:rsid w:val="00DA7ED0"/>
    <w:rsid w:val="00DB7288"/>
    <w:rsid w:val="00DB7996"/>
    <w:rsid w:val="00DC17D5"/>
    <w:rsid w:val="00DC2CE1"/>
    <w:rsid w:val="00DC544D"/>
    <w:rsid w:val="00DD2B0A"/>
    <w:rsid w:val="00DD35C2"/>
    <w:rsid w:val="00DD7DB7"/>
    <w:rsid w:val="00DE0C16"/>
    <w:rsid w:val="00DE11C5"/>
    <w:rsid w:val="00DE302B"/>
    <w:rsid w:val="00DF2B45"/>
    <w:rsid w:val="00DF2E2A"/>
    <w:rsid w:val="00DF5A0A"/>
    <w:rsid w:val="00DF6302"/>
    <w:rsid w:val="00E00397"/>
    <w:rsid w:val="00E00749"/>
    <w:rsid w:val="00E010F8"/>
    <w:rsid w:val="00E02836"/>
    <w:rsid w:val="00E030A1"/>
    <w:rsid w:val="00E110F8"/>
    <w:rsid w:val="00E114E5"/>
    <w:rsid w:val="00E1200E"/>
    <w:rsid w:val="00E16152"/>
    <w:rsid w:val="00E16548"/>
    <w:rsid w:val="00E20473"/>
    <w:rsid w:val="00E226AD"/>
    <w:rsid w:val="00E23127"/>
    <w:rsid w:val="00E23F2B"/>
    <w:rsid w:val="00E24FDC"/>
    <w:rsid w:val="00E252A5"/>
    <w:rsid w:val="00E26B7E"/>
    <w:rsid w:val="00E31355"/>
    <w:rsid w:val="00E31C21"/>
    <w:rsid w:val="00E3419E"/>
    <w:rsid w:val="00E40F08"/>
    <w:rsid w:val="00E427FB"/>
    <w:rsid w:val="00E45D56"/>
    <w:rsid w:val="00E5128C"/>
    <w:rsid w:val="00E5225E"/>
    <w:rsid w:val="00E552A7"/>
    <w:rsid w:val="00E553E4"/>
    <w:rsid w:val="00E55B38"/>
    <w:rsid w:val="00E567F3"/>
    <w:rsid w:val="00E61C64"/>
    <w:rsid w:val="00E631A6"/>
    <w:rsid w:val="00E63B4C"/>
    <w:rsid w:val="00E63F61"/>
    <w:rsid w:val="00E64809"/>
    <w:rsid w:val="00E7093D"/>
    <w:rsid w:val="00E73486"/>
    <w:rsid w:val="00E7692B"/>
    <w:rsid w:val="00E76F4B"/>
    <w:rsid w:val="00E77BCA"/>
    <w:rsid w:val="00E80B03"/>
    <w:rsid w:val="00E84FDF"/>
    <w:rsid w:val="00E8762D"/>
    <w:rsid w:val="00E87A62"/>
    <w:rsid w:val="00E950F3"/>
    <w:rsid w:val="00E95221"/>
    <w:rsid w:val="00EA2BA8"/>
    <w:rsid w:val="00EA31C7"/>
    <w:rsid w:val="00EA45C8"/>
    <w:rsid w:val="00EA481D"/>
    <w:rsid w:val="00EA64D0"/>
    <w:rsid w:val="00EA7E5A"/>
    <w:rsid w:val="00EB3B12"/>
    <w:rsid w:val="00EB5138"/>
    <w:rsid w:val="00EB5D97"/>
    <w:rsid w:val="00EB5EF0"/>
    <w:rsid w:val="00EC11D9"/>
    <w:rsid w:val="00EC1308"/>
    <w:rsid w:val="00EC2004"/>
    <w:rsid w:val="00EC27B1"/>
    <w:rsid w:val="00EC63E8"/>
    <w:rsid w:val="00ED01D4"/>
    <w:rsid w:val="00ED15C0"/>
    <w:rsid w:val="00ED1F81"/>
    <w:rsid w:val="00ED3ECA"/>
    <w:rsid w:val="00ED7775"/>
    <w:rsid w:val="00ED78F0"/>
    <w:rsid w:val="00EE0406"/>
    <w:rsid w:val="00EE265E"/>
    <w:rsid w:val="00EE26E0"/>
    <w:rsid w:val="00EE3E48"/>
    <w:rsid w:val="00EE4039"/>
    <w:rsid w:val="00EE48F3"/>
    <w:rsid w:val="00EE7BE6"/>
    <w:rsid w:val="00EF0556"/>
    <w:rsid w:val="00EF08BA"/>
    <w:rsid w:val="00EF3B6A"/>
    <w:rsid w:val="00EF4457"/>
    <w:rsid w:val="00EF4AE8"/>
    <w:rsid w:val="00EF6AFC"/>
    <w:rsid w:val="00F02EFA"/>
    <w:rsid w:val="00F035D4"/>
    <w:rsid w:val="00F05188"/>
    <w:rsid w:val="00F0726D"/>
    <w:rsid w:val="00F13419"/>
    <w:rsid w:val="00F1469C"/>
    <w:rsid w:val="00F15598"/>
    <w:rsid w:val="00F162CC"/>
    <w:rsid w:val="00F162D8"/>
    <w:rsid w:val="00F16387"/>
    <w:rsid w:val="00F165CA"/>
    <w:rsid w:val="00F16EA1"/>
    <w:rsid w:val="00F211E3"/>
    <w:rsid w:val="00F26C0C"/>
    <w:rsid w:val="00F26C29"/>
    <w:rsid w:val="00F26FC7"/>
    <w:rsid w:val="00F307CD"/>
    <w:rsid w:val="00F3093E"/>
    <w:rsid w:val="00F344B1"/>
    <w:rsid w:val="00F37ED4"/>
    <w:rsid w:val="00F41D37"/>
    <w:rsid w:val="00F461DC"/>
    <w:rsid w:val="00F479E9"/>
    <w:rsid w:val="00F52068"/>
    <w:rsid w:val="00F53790"/>
    <w:rsid w:val="00F550DC"/>
    <w:rsid w:val="00F57750"/>
    <w:rsid w:val="00F6128F"/>
    <w:rsid w:val="00F625A2"/>
    <w:rsid w:val="00F63094"/>
    <w:rsid w:val="00F7032D"/>
    <w:rsid w:val="00F72C94"/>
    <w:rsid w:val="00F72DC8"/>
    <w:rsid w:val="00F75C52"/>
    <w:rsid w:val="00F77113"/>
    <w:rsid w:val="00F77655"/>
    <w:rsid w:val="00F8159E"/>
    <w:rsid w:val="00F82AFB"/>
    <w:rsid w:val="00F8480A"/>
    <w:rsid w:val="00F8678C"/>
    <w:rsid w:val="00F87064"/>
    <w:rsid w:val="00F91DDA"/>
    <w:rsid w:val="00F92CC8"/>
    <w:rsid w:val="00F95080"/>
    <w:rsid w:val="00F952F5"/>
    <w:rsid w:val="00F96F21"/>
    <w:rsid w:val="00F979DB"/>
    <w:rsid w:val="00FA2E14"/>
    <w:rsid w:val="00FA3BEA"/>
    <w:rsid w:val="00FA5D7C"/>
    <w:rsid w:val="00FA6B7D"/>
    <w:rsid w:val="00FB0C83"/>
    <w:rsid w:val="00FB229E"/>
    <w:rsid w:val="00FB3566"/>
    <w:rsid w:val="00FB3E30"/>
    <w:rsid w:val="00FB3F95"/>
    <w:rsid w:val="00FB5D92"/>
    <w:rsid w:val="00FB6D11"/>
    <w:rsid w:val="00FB719D"/>
    <w:rsid w:val="00FB71B1"/>
    <w:rsid w:val="00FB7E79"/>
    <w:rsid w:val="00FD060E"/>
    <w:rsid w:val="00FD15B5"/>
    <w:rsid w:val="00FD1C44"/>
    <w:rsid w:val="00FD23F0"/>
    <w:rsid w:val="00FD242B"/>
    <w:rsid w:val="00FD511F"/>
    <w:rsid w:val="00FD56CC"/>
    <w:rsid w:val="00FD79F0"/>
    <w:rsid w:val="00FE05A7"/>
    <w:rsid w:val="00FE4BA0"/>
    <w:rsid w:val="00FE4D48"/>
    <w:rsid w:val="00FE526A"/>
    <w:rsid w:val="00FE6A59"/>
    <w:rsid w:val="00FF38D8"/>
    <w:rsid w:val="00FF54CD"/>
    <w:rsid w:val="00FF58FE"/>
    <w:rsid w:val="00FF5A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55E326F-8F7F-4041-8901-EBA000AA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A0F"/>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notapie">
    <w:name w:val="footnote text"/>
    <w:aliases w:val="ft"/>
    <w:basedOn w:val="Normal"/>
    <w:semiHidden/>
    <w:rsid w:val="00B32A0F"/>
    <w:rPr>
      <w:sz w:val="20"/>
      <w:lang w:val="es-ES"/>
    </w:rPr>
  </w:style>
  <w:style w:type="character" w:styleId="Refdenotaalpie">
    <w:name w:val="footnote reference"/>
    <w:semiHidden/>
    <w:rsid w:val="00B32A0F"/>
    <w:rPr>
      <w:vertAlign w:val="superscript"/>
    </w:rPr>
  </w:style>
  <w:style w:type="character" w:styleId="Hipervnculo">
    <w:name w:val="Hyperlink"/>
    <w:rsid w:val="00BB0F6D"/>
    <w:rPr>
      <w:color w:val="0000FF"/>
      <w:u w:val="single"/>
    </w:rPr>
  </w:style>
  <w:style w:type="table" w:styleId="Tablaconcuadrcula">
    <w:name w:val="Table Grid"/>
    <w:basedOn w:val="Tablanormal"/>
    <w:rsid w:val="007A30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rsid w:val="00BE59CC"/>
    <w:rPr>
      <w:color w:val="800080"/>
      <w:u w:val="single"/>
    </w:rPr>
  </w:style>
  <w:style w:type="paragraph" w:styleId="NormalWeb">
    <w:name w:val="Normal (Web)"/>
    <w:basedOn w:val="Normal"/>
    <w:rsid w:val="00015C26"/>
    <w:pPr>
      <w:spacing w:before="100" w:beforeAutospacing="1" w:after="100" w:afterAutospacing="1"/>
    </w:pPr>
    <w:rPr>
      <w:rFonts w:ascii="Times New Roman" w:hAnsi="Times New Roman"/>
      <w:szCs w:val="24"/>
      <w:lang w:val="es-ES"/>
    </w:rPr>
  </w:style>
  <w:style w:type="paragraph" w:styleId="Prrafodelista">
    <w:name w:val="List Paragraph"/>
    <w:aliases w:val="Segundo nivel de viñetas,List Paragraph1,titulo 3,Bullet List,FooterText,numbered,Paragraphe de liste1,lp1,HOJA,Colorful List - Accent 11,Lista vistosa - Énfasis 11,Colorful List - Accent 111,Ha,Bolita"/>
    <w:basedOn w:val="Normal"/>
    <w:link w:val="PrrafodelistaCar"/>
    <w:qFormat/>
    <w:rsid w:val="00FE6A59"/>
    <w:pPr>
      <w:spacing w:after="200" w:line="276" w:lineRule="auto"/>
      <w:ind w:left="720"/>
      <w:contextualSpacing/>
    </w:pPr>
    <w:rPr>
      <w:rFonts w:ascii="Calibri" w:eastAsia="Calibri" w:hAnsi="Calibri"/>
      <w:sz w:val="22"/>
      <w:szCs w:val="22"/>
      <w:lang w:val="es-CO" w:eastAsia="en-US"/>
    </w:rPr>
  </w:style>
  <w:style w:type="paragraph" w:styleId="Subttulo">
    <w:name w:val="Subtitle"/>
    <w:basedOn w:val="Normal"/>
    <w:next w:val="Normal"/>
    <w:link w:val="SubttuloCar"/>
    <w:qFormat/>
    <w:rsid w:val="006F252D"/>
    <w:pPr>
      <w:spacing w:after="60"/>
      <w:jc w:val="center"/>
      <w:outlineLvl w:val="1"/>
    </w:pPr>
    <w:rPr>
      <w:rFonts w:ascii="Cambria" w:hAnsi="Cambria"/>
      <w:szCs w:val="24"/>
    </w:rPr>
  </w:style>
  <w:style w:type="character" w:customStyle="1" w:styleId="SubttuloCar">
    <w:name w:val="Subtítulo Car"/>
    <w:link w:val="Subttulo"/>
    <w:rsid w:val="006F252D"/>
    <w:rPr>
      <w:rFonts w:ascii="Cambria" w:eastAsia="Times New Roman" w:hAnsi="Cambria" w:cs="Times New Roman"/>
      <w:sz w:val="24"/>
      <w:szCs w:val="24"/>
      <w:lang w:val="es-ES_tradnl" w:eastAsia="es-ES"/>
    </w:rPr>
  </w:style>
  <w:style w:type="character" w:customStyle="1" w:styleId="PrrafodelistaCar">
    <w:name w:val="Párrafo de lista Car"/>
    <w:aliases w:val="Segundo nivel de viñetas Car,List Paragraph1 Car,titulo 3 Car,Bullet List Car,FooterText Car,numbered Car,Paragraphe de liste1 Car,lp1 Car,HOJA Car,Colorful List - Accent 11 Car,Lista vistosa - Énfasis 11 Car,Ha Car,Bolita Car"/>
    <w:link w:val="Prrafodelista"/>
    <w:rsid w:val="00B26B71"/>
    <w:rPr>
      <w:rFonts w:ascii="Calibri" w:eastAsia="Calibri" w:hAnsi="Calibri"/>
      <w:sz w:val="22"/>
      <w:szCs w:val="22"/>
      <w:lang w:eastAsia="en-US"/>
    </w:rPr>
  </w:style>
  <w:style w:type="character" w:customStyle="1" w:styleId="apple-converted-space">
    <w:name w:val="apple-converted-space"/>
    <w:rsid w:val="00FB5D92"/>
  </w:style>
  <w:style w:type="paragraph" w:styleId="Textoindependiente">
    <w:name w:val="Body Text"/>
    <w:basedOn w:val="Normal"/>
    <w:link w:val="TextoindependienteCar"/>
    <w:uiPriority w:val="99"/>
    <w:rsid w:val="00434B2D"/>
    <w:pPr>
      <w:autoSpaceDE w:val="0"/>
      <w:autoSpaceDN w:val="0"/>
      <w:jc w:val="both"/>
    </w:pPr>
    <w:rPr>
      <w:rFonts w:ascii="Times New Roman" w:hAnsi="Times New Roman"/>
      <w:color w:val="008080"/>
      <w:szCs w:val="24"/>
      <w:lang w:val="es-MX"/>
    </w:rPr>
  </w:style>
  <w:style w:type="character" w:customStyle="1" w:styleId="TextoindependienteCar">
    <w:name w:val="Texto independiente Car"/>
    <w:link w:val="Textoindependiente"/>
    <w:uiPriority w:val="99"/>
    <w:rsid w:val="00434B2D"/>
    <w:rPr>
      <w:color w:val="008080"/>
      <w:sz w:val="24"/>
      <w:szCs w:val="24"/>
      <w:lang w:val="es-MX" w:eastAsia="es-ES"/>
    </w:rPr>
  </w:style>
  <w:style w:type="paragraph" w:customStyle="1" w:styleId="Normal1">
    <w:name w:val="Normal1"/>
    <w:basedOn w:val="Normal"/>
    <w:rsid w:val="001365A8"/>
    <w:rPr>
      <w:rFonts w:ascii="Times New Roman" w:hAnsi="Times New Roman"/>
      <w:szCs w:val="24"/>
      <w:lang w:val="es-ES"/>
    </w:rPr>
  </w:style>
  <w:style w:type="paragraph" w:customStyle="1" w:styleId="Default">
    <w:name w:val="Default"/>
    <w:rsid w:val="004832DC"/>
    <w:pPr>
      <w:autoSpaceDE w:val="0"/>
      <w:autoSpaceDN w:val="0"/>
      <w:adjustRightInd w:val="0"/>
    </w:pPr>
    <w:rPr>
      <w:rFonts w:eastAsia="Calibri"/>
      <w:color w:val="000000"/>
      <w:sz w:val="24"/>
      <w:szCs w:val="24"/>
      <w:lang w:val="es-CO" w:eastAsia="en-US"/>
    </w:rPr>
  </w:style>
  <w:style w:type="character" w:styleId="Textoennegrita">
    <w:name w:val="Strong"/>
    <w:qFormat/>
    <w:rsid w:val="00A05D99"/>
    <w:rPr>
      <w:b/>
      <w:bCs/>
    </w:rPr>
  </w:style>
  <w:style w:type="paragraph" w:styleId="Sangradetextonormal">
    <w:name w:val="Body Text Indent"/>
    <w:basedOn w:val="Normal"/>
    <w:link w:val="SangradetextonormalCar"/>
    <w:rsid w:val="002928E8"/>
    <w:pPr>
      <w:spacing w:after="120"/>
      <w:ind w:left="283"/>
    </w:pPr>
  </w:style>
  <w:style w:type="character" w:customStyle="1" w:styleId="SangradetextonormalCar">
    <w:name w:val="Sangría de texto normal Car"/>
    <w:link w:val="Sangradetextonormal"/>
    <w:rsid w:val="002928E8"/>
    <w:rPr>
      <w:rFonts w:ascii="Arial" w:hAnsi="Arial"/>
      <w:sz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2928E8"/>
    <w:pPr>
      <w:spacing w:after="0"/>
      <w:ind w:left="360" w:firstLine="360"/>
      <w:jc w:val="both"/>
    </w:pPr>
    <w:rPr>
      <w:lang w:val="es-CO" w:eastAsia="en-US"/>
    </w:rPr>
  </w:style>
  <w:style w:type="character" w:customStyle="1" w:styleId="Textoindependienteprimerasangra2Car">
    <w:name w:val="Texto independiente primera sangría 2 Car"/>
    <w:link w:val="Textoindependienteprimerasangra2"/>
    <w:uiPriority w:val="99"/>
    <w:rsid w:val="002928E8"/>
    <w:rPr>
      <w:rFonts w:ascii="Arial" w:hAnsi="Arial"/>
      <w:sz w:val="24"/>
      <w:lang w:val="es-ES_tradnl" w:eastAsia="en-US"/>
    </w:rPr>
  </w:style>
  <w:style w:type="paragraph" w:customStyle="1" w:styleId="pa7">
    <w:name w:val="pa7"/>
    <w:basedOn w:val="Normal"/>
    <w:uiPriority w:val="99"/>
    <w:rsid w:val="002928E8"/>
    <w:pPr>
      <w:spacing w:before="100" w:beforeAutospacing="1" w:after="100" w:afterAutospacing="1"/>
    </w:pPr>
    <w:rPr>
      <w:rFonts w:ascii="Times New Roman" w:hAnsi="Times New Roman"/>
      <w:szCs w:val="24"/>
      <w:lang w:val="es-CO" w:eastAsia="es-CO"/>
    </w:rPr>
  </w:style>
  <w:style w:type="paragraph" w:styleId="Sangra2detindependiente">
    <w:name w:val="Body Text Indent 2"/>
    <w:basedOn w:val="Normal"/>
    <w:link w:val="Sangra2detindependienteCar"/>
    <w:rsid w:val="009F3986"/>
    <w:pPr>
      <w:spacing w:after="120" w:line="480" w:lineRule="auto"/>
      <w:ind w:left="283"/>
    </w:pPr>
  </w:style>
  <w:style w:type="character" w:customStyle="1" w:styleId="Sangra2detindependienteCar">
    <w:name w:val="Sangría 2 de t. independiente Car"/>
    <w:link w:val="Sangra2detindependiente"/>
    <w:rsid w:val="009F3986"/>
    <w:rPr>
      <w:rFonts w:ascii="Arial" w:hAnsi="Arial"/>
      <w:sz w:val="24"/>
      <w:lang w:val="es-ES_tradnl" w:eastAsia="es-ES"/>
    </w:rPr>
  </w:style>
  <w:style w:type="paragraph" w:customStyle="1" w:styleId="Prrafodelista1">
    <w:name w:val="Párrafo de lista1"/>
    <w:basedOn w:val="Normal"/>
    <w:rsid w:val="00AF3993"/>
    <w:pPr>
      <w:ind w:left="720"/>
      <w:contextualSpacing/>
      <w:jc w:val="both"/>
    </w:pPr>
    <w:rPr>
      <w:rFonts w:eastAsia="Calibri"/>
      <w:lang w:val="es-CO" w:eastAsia="en-US"/>
    </w:rPr>
  </w:style>
  <w:style w:type="paragraph" w:styleId="Textoindependiente3">
    <w:name w:val="Body Text 3"/>
    <w:basedOn w:val="Normal"/>
    <w:link w:val="Textoindependiente3Car"/>
    <w:semiHidden/>
    <w:unhideWhenUsed/>
    <w:rsid w:val="0027759F"/>
    <w:pPr>
      <w:spacing w:after="120"/>
    </w:pPr>
    <w:rPr>
      <w:sz w:val="16"/>
      <w:szCs w:val="16"/>
    </w:rPr>
  </w:style>
  <w:style w:type="character" w:customStyle="1" w:styleId="Textoindependiente3Car">
    <w:name w:val="Texto independiente 3 Car"/>
    <w:basedOn w:val="Fuentedeprrafopredeter"/>
    <w:link w:val="Textoindependiente3"/>
    <w:semiHidden/>
    <w:rsid w:val="0027759F"/>
    <w:rPr>
      <w:rFonts w:ascii="Arial" w:hAnsi="Arial"/>
      <w:sz w:val="16"/>
      <w:szCs w:val="16"/>
      <w:lang w:val="es-ES_tradnl"/>
    </w:rPr>
  </w:style>
  <w:style w:type="paragraph" w:styleId="Textodeglobo">
    <w:name w:val="Balloon Text"/>
    <w:basedOn w:val="Normal"/>
    <w:link w:val="TextodegloboCar"/>
    <w:semiHidden/>
    <w:unhideWhenUsed/>
    <w:rsid w:val="00134BD2"/>
    <w:rPr>
      <w:rFonts w:ascii="Tahoma" w:hAnsi="Tahoma" w:cs="Tahoma"/>
      <w:sz w:val="16"/>
      <w:szCs w:val="16"/>
    </w:rPr>
  </w:style>
  <w:style w:type="character" w:customStyle="1" w:styleId="TextodegloboCar">
    <w:name w:val="Texto de globo Car"/>
    <w:basedOn w:val="Fuentedeprrafopredeter"/>
    <w:link w:val="Textodeglobo"/>
    <w:semiHidden/>
    <w:rsid w:val="00134BD2"/>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0008">
      <w:bodyDiv w:val="1"/>
      <w:marLeft w:val="0"/>
      <w:marRight w:val="0"/>
      <w:marTop w:val="0"/>
      <w:marBottom w:val="0"/>
      <w:divBdr>
        <w:top w:val="none" w:sz="0" w:space="0" w:color="auto"/>
        <w:left w:val="none" w:sz="0" w:space="0" w:color="auto"/>
        <w:bottom w:val="none" w:sz="0" w:space="0" w:color="auto"/>
        <w:right w:val="none" w:sz="0" w:space="0" w:color="auto"/>
      </w:divBdr>
    </w:div>
    <w:div w:id="251210500">
      <w:bodyDiv w:val="1"/>
      <w:marLeft w:val="0"/>
      <w:marRight w:val="0"/>
      <w:marTop w:val="0"/>
      <w:marBottom w:val="0"/>
      <w:divBdr>
        <w:top w:val="none" w:sz="0" w:space="0" w:color="auto"/>
        <w:left w:val="none" w:sz="0" w:space="0" w:color="auto"/>
        <w:bottom w:val="none" w:sz="0" w:space="0" w:color="auto"/>
        <w:right w:val="none" w:sz="0" w:space="0" w:color="auto"/>
      </w:divBdr>
    </w:div>
    <w:div w:id="298803565">
      <w:bodyDiv w:val="1"/>
      <w:marLeft w:val="0"/>
      <w:marRight w:val="0"/>
      <w:marTop w:val="0"/>
      <w:marBottom w:val="0"/>
      <w:divBdr>
        <w:top w:val="none" w:sz="0" w:space="0" w:color="auto"/>
        <w:left w:val="none" w:sz="0" w:space="0" w:color="auto"/>
        <w:bottom w:val="none" w:sz="0" w:space="0" w:color="auto"/>
        <w:right w:val="none" w:sz="0" w:space="0" w:color="auto"/>
      </w:divBdr>
      <w:divsChild>
        <w:div w:id="393285138">
          <w:marLeft w:val="0"/>
          <w:marRight w:val="0"/>
          <w:marTop w:val="0"/>
          <w:marBottom w:val="0"/>
          <w:divBdr>
            <w:top w:val="none" w:sz="0" w:space="0" w:color="auto"/>
            <w:left w:val="none" w:sz="0" w:space="0" w:color="auto"/>
            <w:bottom w:val="none" w:sz="0" w:space="0" w:color="auto"/>
            <w:right w:val="none" w:sz="0" w:space="0" w:color="auto"/>
          </w:divBdr>
        </w:div>
        <w:div w:id="1231967515">
          <w:marLeft w:val="0"/>
          <w:marRight w:val="0"/>
          <w:marTop w:val="0"/>
          <w:marBottom w:val="0"/>
          <w:divBdr>
            <w:top w:val="none" w:sz="0" w:space="0" w:color="auto"/>
            <w:left w:val="none" w:sz="0" w:space="0" w:color="auto"/>
            <w:bottom w:val="none" w:sz="0" w:space="0" w:color="auto"/>
            <w:right w:val="none" w:sz="0" w:space="0" w:color="auto"/>
          </w:divBdr>
        </w:div>
        <w:div w:id="545605987">
          <w:marLeft w:val="0"/>
          <w:marRight w:val="0"/>
          <w:marTop w:val="0"/>
          <w:marBottom w:val="0"/>
          <w:divBdr>
            <w:top w:val="none" w:sz="0" w:space="0" w:color="auto"/>
            <w:left w:val="none" w:sz="0" w:space="0" w:color="auto"/>
            <w:bottom w:val="none" w:sz="0" w:space="0" w:color="auto"/>
            <w:right w:val="none" w:sz="0" w:space="0" w:color="auto"/>
          </w:divBdr>
          <w:divsChild>
            <w:div w:id="33585202">
              <w:marLeft w:val="0"/>
              <w:marRight w:val="0"/>
              <w:marTop w:val="0"/>
              <w:marBottom w:val="0"/>
              <w:divBdr>
                <w:top w:val="none" w:sz="0" w:space="0" w:color="auto"/>
                <w:left w:val="none" w:sz="0" w:space="0" w:color="auto"/>
                <w:bottom w:val="none" w:sz="0" w:space="0" w:color="auto"/>
                <w:right w:val="none" w:sz="0" w:space="0" w:color="auto"/>
              </w:divBdr>
            </w:div>
            <w:div w:id="1243686687">
              <w:marLeft w:val="0"/>
              <w:marRight w:val="0"/>
              <w:marTop w:val="0"/>
              <w:marBottom w:val="0"/>
              <w:divBdr>
                <w:top w:val="none" w:sz="0" w:space="0" w:color="auto"/>
                <w:left w:val="none" w:sz="0" w:space="0" w:color="auto"/>
                <w:bottom w:val="none" w:sz="0" w:space="0" w:color="auto"/>
                <w:right w:val="none" w:sz="0" w:space="0" w:color="auto"/>
              </w:divBdr>
            </w:div>
            <w:div w:id="1901207792">
              <w:marLeft w:val="0"/>
              <w:marRight w:val="0"/>
              <w:marTop w:val="0"/>
              <w:marBottom w:val="0"/>
              <w:divBdr>
                <w:top w:val="none" w:sz="0" w:space="0" w:color="auto"/>
                <w:left w:val="none" w:sz="0" w:space="0" w:color="auto"/>
                <w:bottom w:val="none" w:sz="0" w:space="0" w:color="auto"/>
                <w:right w:val="none" w:sz="0" w:space="0" w:color="auto"/>
              </w:divBdr>
            </w:div>
          </w:divsChild>
        </w:div>
        <w:div w:id="178084413">
          <w:marLeft w:val="0"/>
          <w:marRight w:val="0"/>
          <w:marTop w:val="0"/>
          <w:marBottom w:val="0"/>
          <w:divBdr>
            <w:top w:val="none" w:sz="0" w:space="0" w:color="auto"/>
            <w:left w:val="none" w:sz="0" w:space="0" w:color="auto"/>
            <w:bottom w:val="none" w:sz="0" w:space="0" w:color="auto"/>
            <w:right w:val="none" w:sz="0" w:space="0" w:color="auto"/>
          </w:divBdr>
        </w:div>
        <w:div w:id="36898602">
          <w:marLeft w:val="0"/>
          <w:marRight w:val="0"/>
          <w:marTop w:val="0"/>
          <w:marBottom w:val="0"/>
          <w:divBdr>
            <w:top w:val="none" w:sz="0" w:space="0" w:color="auto"/>
            <w:left w:val="none" w:sz="0" w:space="0" w:color="auto"/>
            <w:bottom w:val="none" w:sz="0" w:space="0" w:color="auto"/>
            <w:right w:val="none" w:sz="0" w:space="0" w:color="auto"/>
          </w:divBdr>
        </w:div>
        <w:div w:id="1513566713">
          <w:marLeft w:val="0"/>
          <w:marRight w:val="0"/>
          <w:marTop w:val="0"/>
          <w:marBottom w:val="0"/>
          <w:divBdr>
            <w:top w:val="none" w:sz="0" w:space="0" w:color="auto"/>
            <w:left w:val="none" w:sz="0" w:space="0" w:color="auto"/>
            <w:bottom w:val="none" w:sz="0" w:space="0" w:color="auto"/>
            <w:right w:val="none" w:sz="0" w:space="0" w:color="auto"/>
          </w:divBdr>
        </w:div>
        <w:div w:id="648822090">
          <w:marLeft w:val="0"/>
          <w:marRight w:val="0"/>
          <w:marTop w:val="0"/>
          <w:marBottom w:val="0"/>
          <w:divBdr>
            <w:top w:val="none" w:sz="0" w:space="0" w:color="auto"/>
            <w:left w:val="none" w:sz="0" w:space="0" w:color="auto"/>
            <w:bottom w:val="none" w:sz="0" w:space="0" w:color="auto"/>
            <w:right w:val="none" w:sz="0" w:space="0" w:color="auto"/>
          </w:divBdr>
        </w:div>
        <w:div w:id="1373530893">
          <w:marLeft w:val="0"/>
          <w:marRight w:val="0"/>
          <w:marTop w:val="0"/>
          <w:marBottom w:val="0"/>
          <w:divBdr>
            <w:top w:val="none" w:sz="0" w:space="0" w:color="auto"/>
            <w:left w:val="none" w:sz="0" w:space="0" w:color="auto"/>
            <w:bottom w:val="none" w:sz="0" w:space="0" w:color="auto"/>
            <w:right w:val="none" w:sz="0" w:space="0" w:color="auto"/>
          </w:divBdr>
        </w:div>
        <w:div w:id="1765302127">
          <w:marLeft w:val="0"/>
          <w:marRight w:val="0"/>
          <w:marTop w:val="0"/>
          <w:marBottom w:val="0"/>
          <w:divBdr>
            <w:top w:val="none" w:sz="0" w:space="0" w:color="auto"/>
            <w:left w:val="none" w:sz="0" w:space="0" w:color="auto"/>
            <w:bottom w:val="none" w:sz="0" w:space="0" w:color="auto"/>
            <w:right w:val="none" w:sz="0" w:space="0" w:color="auto"/>
          </w:divBdr>
        </w:div>
        <w:div w:id="1071856080">
          <w:marLeft w:val="0"/>
          <w:marRight w:val="0"/>
          <w:marTop w:val="0"/>
          <w:marBottom w:val="0"/>
          <w:divBdr>
            <w:top w:val="none" w:sz="0" w:space="0" w:color="auto"/>
            <w:left w:val="none" w:sz="0" w:space="0" w:color="auto"/>
            <w:bottom w:val="none" w:sz="0" w:space="0" w:color="auto"/>
            <w:right w:val="none" w:sz="0" w:space="0" w:color="auto"/>
          </w:divBdr>
        </w:div>
        <w:div w:id="2073429189">
          <w:marLeft w:val="0"/>
          <w:marRight w:val="0"/>
          <w:marTop w:val="0"/>
          <w:marBottom w:val="0"/>
          <w:divBdr>
            <w:top w:val="none" w:sz="0" w:space="0" w:color="auto"/>
            <w:left w:val="none" w:sz="0" w:space="0" w:color="auto"/>
            <w:bottom w:val="none" w:sz="0" w:space="0" w:color="auto"/>
            <w:right w:val="none" w:sz="0" w:space="0" w:color="auto"/>
          </w:divBdr>
        </w:div>
        <w:div w:id="140119341">
          <w:marLeft w:val="0"/>
          <w:marRight w:val="0"/>
          <w:marTop w:val="0"/>
          <w:marBottom w:val="0"/>
          <w:divBdr>
            <w:top w:val="none" w:sz="0" w:space="0" w:color="auto"/>
            <w:left w:val="none" w:sz="0" w:space="0" w:color="auto"/>
            <w:bottom w:val="none" w:sz="0" w:space="0" w:color="auto"/>
            <w:right w:val="none" w:sz="0" w:space="0" w:color="auto"/>
          </w:divBdr>
        </w:div>
        <w:div w:id="1898780354">
          <w:marLeft w:val="0"/>
          <w:marRight w:val="0"/>
          <w:marTop w:val="0"/>
          <w:marBottom w:val="0"/>
          <w:divBdr>
            <w:top w:val="none" w:sz="0" w:space="0" w:color="auto"/>
            <w:left w:val="none" w:sz="0" w:space="0" w:color="auto"/>
            <w:bottom w:val="none" w:sz="0" w:space="0" w:color="auto"/>
            <w:right w:val="none" w:sz="0" w:space="0" w:color="auto"/>
          </w:divBdr>
        </w:div>
        <w:div w:id="265162730">
          <w:marLeft w:val="0"/>
          <w:marRight w:val="0"/>
          <w:marTop w:val="0"/>
          <w:marBottom w:val="0"/>
          <w:divBdr>
            <w:top w:val="none" w:sz="0" w:space="0" w:color="auto"/>
            <w:left w:val="none" w:sz="0" w:space="0" w:color="auto"/>
            <w:bottom w:val="none" w:sz="0" w:space="0" w:color="auto"/>
            <w:right w:val="none" w:sz="0" w:space="0" w:color="auto"/>
          </w:divBdr>
        </w:div>
        <w:div w:id="1588031419">
          <w:marLeft w:val="0"/>
          <w:marRight w:val="0"/>
          <w:marTop w:val="0"/>
          <w:marBottom w:val="0"/>
          <w:divBdr>
            <w:top w:val="none" w:sz="0" w:space="0" w:color="auto"/>
            <w:left w:val="none" w:sz="0" w:space="0" w:color="auto"/>
            <w:bottom w:val="none" w:sz="0" w:space="0" w:color="auto"/>
            <w:right w:val="none" w:sz="0" w:space="0" w:color="auto"/>
          </w:divBdr>
          <w:divsChild>
            <w:div w:id="151526333">
              <w:marLeft w:val="0"/>
              <w:marRight w:val="0"/>
              <w:marTop w:val="0"/>
              <w:marBottom w:val="0"/>
              <w:divBdr>
                <w:top w:val="none" w:sz="0" w:space="0" w:color="auto"/>
                <w:left w:val="none" w:sz="0" w:space="0" w:color="auto"/>
                <w:bottom w:val="none" w:sz="0" w:space="0" w:color="auto"/>
                <w:right w:val="none" w:sz="0" w:space="0" w:color="auto"/>
              </w:divBdr>
            </w:div>
            <w:div w:id="925460730">
              <w:marLeft w:val="0"/>
              <w:marRight w:val="0"/>
              <w:marTop w:val="0"/>
              <w:marBottom w:val="0"/>
              <w:divBdr>
                <w:top w:val="none" w:sz="0" w:space="0" w:color="auto"/>
                <w:left w:val="none" w:sz="0" w:space="0" w:color="auto"/>
                <w:bottom w:val="none" w:sz="0" w:space="0" w:color="auto"/>
                <w:right w:val="none" w:sz="0" w:space="0" w:color="auto"/>
              </w:divBdr>
            </w:div>
            <w:div w:id="1946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3985">
      <w:bodyDiv w:val="1"/>
      <w:marLeft w:val="0"/>
      <w:marRight w:val="0"/>
      <w:marTop w:val="0"/>
      <w:marBottom w:val="0"/>
      <w:divBdr>
        <w:top w:val="none" w:sz="0" w:space="0" w:color="auto"/>
        <w:left w:val="none" w:sz="0" w:space="0" w:color="auto"/>
        <w:bottom w:val="none" w:sz="0" w:space="0" w:color="auto"/>
        <w:right w:val="none" w:sz="0" w:space="0" w:color="auto"/>
      </w:divBdr>
    </w:div>
    <w:div w:id="325517638">
      <w:bodyDiv w:val="1"/>
      <w:marLeft w:val="0"/>
      <w:marRight w:val="0"/>
      <w:marTop w:val="0"/>
      <w:marBottom w:val="0"/>
      <w:divBdr>
        <w:top w:val="none" w:sz="0" w:space="0" w:color="auto"/>
        <w:left w:val="none" w:sz="0" w:space="0" w:color="auto"/>
        <w:bottom w:val="none" w:sz="0" w:space="0" w:color="auto"/>
        <w:right w:val="none" w:sz="0" w:space="0" w:color="auto"/>
      </w:divBdr>
    </w:div>
    <w:div w:id="338235550">
      <w:bodyDiv w:val="1"/>
      <w:marLeft w:val="0"/>
      <w:marRight w:val="0"/>
      <w:marTop w:val="0"/>
      <w:marBottom w:val="0"/>
      <w:divBdr>
        <w:top w:val="none" w:sz="0" w:space="0" w:color="auto"/>
        <w:left w:val="none" w:sz="0" w:space="0" w:color="auto"/>
        <w:bottom w:val="none" w:sz="0" w:space="0" w:color="auto"/>
        <w:right w:val="none" w:sz="0" w:space="0" w:color="auto"/>
      </w:divBdr>
    </w:div>
    <w:div w:id="436876490">
      <w:bodyDiv w:val="1"/>
      <w:marLeft w:val="0"/>
      <w:marRight w:val="0"/>
      <w:marTop w:val="0"/>
      <w:marBottom w:val="0"/>
      <w:divBdr>
        <w:top w:val="none" w:sz="0" w:space="0" w:color="auto"/>
        <w:left w:val="none" w:sz="0" w:space="0" w:color="auto"/>
        <w:bottom w:val="none" w:sz="0" w:space="0" w:color="auto"/>
        <w:right w:val="none" w:sz="0" w:space="0" w:color="auto"/>
      </w:divBdr>
    </w:div>
    <w:div w:id="572397174">
      <w:bodyDiv w:val="1"/>
      <w:marLeft w:val="0"/>
      <w:marRight w:val="0"/>
      <w:marTop w:val="0"/>
      <w:marBottom w:val="0"/>
      <w:divBdr>
        <w:top w:val="none" w:sz="0" w:space="0" w:color="auto"/>
        <w:left w:val="none" w:sz="0" w:space="0" w:color="auto"/>
        <w:bottom w:val="none" w:sz="0" w:space="0" w:color="auto"/>
        <w:right w:val="none" w:sz="0" w:space="0" w:color="auto"/>
      </w:divBdr>
    </w:div>
    <w:div w:id="608581583">
      <w:bodyDiv w:val="1"/>
      <w:marLeft w:val="0"/>
      <w:marRight w:val="0"/>
      <w:marTop w:val="0"/>
      <w:marBottom w:val="0"/>
      <w:divBdr>
        <w:top w:val="none" w:sz="0" w:space="0" w:color="auto"/>
        <w:left w:val="none" w:sz="0" w:space="0" w:color="auto"/>
        <w:bottom w:val="none" w:sz="0" w:space="0" w:color="auto"/>
        <w:right w:val="none" w:sz="0" w:space="0" w:color="auto"/>
      </w:divBdr>
    </w:div>
    <w:div w:id="715129037">
      <w:bodyDiv w:val="1"/>
      <w:marLeft w:val="0"/>
      <w:marRight w:val="0"/>
      <w:marTop w:val="0"/>
      <w:marBottom w:val="0"/>
      <w:divBdr>
        <w:top w:val="none" w:sz="0" w:space="0" w:color="auto"/>
        <w:left w:val="none" w:sz="0" w:space="0" w:color="auto"/>
        <w:bottom w:val="none" w:sz="0" w:space="0" w:color="auto"/>
        <w:right w:val="none" w:sz="0" w:space="0" w:color="auto"/>
      </w:divBdr>
    </w:div>
    <w:div w:id="905338156">
      <w:bodyDiv w:val="1"/>
      <w:marLeft w:val="0"/>
      <w:marRight w:val="0"/>
      <w:marTop w:val="0"/>
      <w:marBottom w:val="0"/>
      <w:divBdr>
        <w:top w:val="none" w:sz="0" w:space="0" w:color="auto"/>
        <w:left w:val="none" w:sz="0" w:space="0" w:color="auto"/>
        <w:bottom w:val="none" w:sz="0" w:space="0" w:color="auto"/>
        <w:right w:val="none" w:sz="0" w:space="0" w:color="auto"/>
      </w:divBdr>
    </w:div>
    <w:div w:id="947853221">
      <w:bodyDiv w:val="1"/>
      <w:marLeft w:val="0"/>
      <w:marRight w:val="0"/>
      <w:marTop w:val="0"/>
      <w:marBottom w:val="0"/>
      <w:divBdr>
        <w:top w:val="none" w:sz="0" w:space="0" w:color="auto"/>
        <w:left w:val="none" w:sz="0" w:space="0" w:color="auto"/>
        <w:bottom w:val="none" w:sz="0" w:space="0" w:color="auto"/>
        <w:right w:val="none" w:sz="0" w:space="0" w:color="auto"/>
      </w:divBdr>
    </w:div>
    <w:div w:id="1282305708">
      <w:bodyDiv w:val="1"/>
      <w:marLeft w:val="0"/>
      <w:marRight w:val="0"/>
      <w:marTop w:val="0"/>
      <w:marBottom w:val="0"/>
      <w:divBdr>
        <w:top w:val="none" w:sz="0" w:space="0" w:color="auto"/>
        <w:left w:val="none" w:sz="0" w:space="0" w:color="auto"/>
        <w:bottom w:val="none" w:sz="0" w:space="0" w:color="auto"/>
        <w:right w:val="none" w:sz="0" w:space="0" w:color="auto"/>
      </w:divBdr>
    </w:div>
    <w:div w:id="1323199119">
      <w:bodyDiv w:val="1"/>
      <w:marLeft w:val="0"/>
      <w:marRight w:val="0"/>
      <w:marTop w:val="0"/>
      <w:marBottom w:val="0"/>
      <w:divBdr>
        <w:top w:val="none" w:sz="0" w:space="0" w:color="auto"/>
        <w:left w:val="none" w:sz="0" w:space="0" w:color="auto"/>
        <w:bottom w:val="none" w:sz="0" w:space="0" w:color="auto"/>
        <w:right w:val="none" w:sz="0" w:space="0" w:color="auto"/>
      </w:divBdr>
    </w:div>
    <w:div w:id="1355764368">
      <w:bodyDiv w:val="1"/>
      <w:marLeft w:val="0"/>
      <w:marRight w:val="0"/>
      <w:marTop w:val="0"/>
      <w:marBottom w:val="0"/>
      <w:divBdr>
        <w:top w:val="none" w:sz="0" w:space="0" w:color="auto"/>
        <w:left w:val="none" w:sz="0" w:space="0" w:color="auto"/>
        <w:bottom w:val="none" w:sz="0" w:space="0" w:color="auto"/>
        <w:right w:val="none" w:sz="0" w:space="0" w:color="auto"/>
      </w:divBdr>
    </w:div>
    <w:div w:id="1568342322">
      <w:bodyDiv w:val="1"/>
      <w:marLeft w:val="0"/>
      <w:marRight w:val="0"/>
      <w:marTop w:val="0"/>
      <w:marBottom w:val="0"/>
      <w:divBdr>
        <w:top w:val="none" w:sz="0" w:space="0" w:color="auto"/>
        <w:left w:val="none" w:sz="0" w:space="0" w:color="auto"/>
        <w:bottom w:val="none" w:sz="0" w:space="0" w:color="auto"/>
        <w:right w:val="none" w:sz="0" w:space="0" w:color="auto"/>
      </w:divBdr>
      <w:divsChild>
        <w:div w:id="260256991">
          <w:marLeft w:val="0"/>
          <w:marRight w:val="0"/>
          <w:marTop w:val="0"/>
          <w:marBottom w:val="0"/>
          <w:divBdr>
            <w:top w:val="none" w:sz="0" w:space="0" w:color="auto"/>
            <w:left w:val="none" w:sz="0" w:space="0" w:color="auto"/>
            <w:bottom w:val="none" w:sz="0" w:space="0" w:color="auto"/>
            <w:right w:val="none" w:sz="0" w:space="0" w:color="auto"/>
          </w:divBdr>
        </w:div>
        <w:div w:id="850145293">
          <w:marLeft w:val="0"/>
          <w:marRight w:val="0"/>
          <w:marTop w:val="0"/>
          <w:marBottom w:val="0"/>
          <w:divBdr>
            <w:top w:val="none" w:sz="0" w:space="0" w:color="auto"/>
            <w:left w:val="none" w:sz="0" w:space="0" w:color="auto"/>
            <w:bottom w:val="none" w:sz="0" w:space="0" w:color="auto"/>
            <w:right w:val="none" w:sz="0" w:space="0" w:color="auto"/>
          </w:divBdr>
        </w:div>
        <w:div w:id="1515992720">
          <w:marLeft w:val="0"/>
          <w:marRight w:val="0"/>
          <w:marTop w:val="0"/>
          <w:marBottom w:val="0"/>
          <w:divBdr>
            <w:top w:val="none" w:sz="0" w:space="0" w:color="auto"/>
            <w:left w:val="none" w:sz="0" w:space="0" w:color="auto"/>
            <w:bottom w:val="none" w:sz="0" w:space="0" w:color="auto"/>
            <w:right w:val="none" w:sz="0" w:space="0" w:color="auto"/>
          </w:divBdr>
        </w:div>
        <w:div w:id="2042899262">
          <w:marLeft w:val="0"/>
          <w:marRight w:val="0"/>
          <w:marTop w:val="0"/>
          <w:marBottom w:val="0"/>
          <w:divBdr>
            <w:top w:val="none" w:sz="0" w:space="0" w:color="auto"/>
            <w:left w:val="none" w:sz="0" w:space="0" w:color="auto"/>
            <w:bottom w:val="none" w:sz="0" w:space="0" w:color="auto"/>
            <w:right w:val="none" w:sz="0" w:space="0" w:color="auto"/>
          </w:divBdr>
        </w:div>
      </w:divsChild>
    </w:div>
    <w:div w:id="1585459430">
      <w:bodyDiv w:val="1"/>
      <w:marLeft w:val="0"/>
      <w:marRight w:val="0"/>
      <w:marTop w:val="0"/>
      <w:marBottom w:val="0"/>
      <w:divBdr>
        <w:top w:val="none" w:sz="0" w:space="0" w:color="auto"/>
        <w:left w:val="none" w:sz="0" w:space="0" w:color="auto"/>
        <w:bottom w:val="none" w:sz="0" w:space="0" w:color="auto"/>
        <w:right w:val="none" w:sz="0" w:space="0" w:color="auto"/>
      </w:divBdr>
    </w:div>
    <w:div w:id="1589655669">
      <w:bodyDiv w:val="1"/>
      <w:marLeft w:val="0"/>
      <w:marRight w:val="0"/>
      <w:marTop w:val="0"/>
      <w:marBottom w:val="0"/>
      <w:divBdr>
        <w:top w:val="none" w:sz="0" w:space="0" w:color="auto"/>
        <w:left w:val="none" w:sz="0" w:space="0" w:color="auto"/>
        <w:bottom w:val="none" w:sz="0" w:space="0" w:color="auto"/>
        <w:right w:val="none" w:sz="0" w:space="0" w:color="auto"/>
      </w:divBdr>
    </w:div>
    <w:div w:id="1667318239">
      <w:bodyDiv w:val="1"/>
      <w:marLeft w:val="0"/>
      <w:marRight w:val="0"/>
      <w:marTop w:val="0"/>
      <w:marBottom w:val="0"/>
      <w:divBdr>
        <w:top w:val="none" w:sz="0" w:space="0" w:color="auto"/>
        <w:left w:val="none" w:sz="0" w:space="0" w:color="auto"/>
        <w:bottom w:val="none" w:sz="0" w:space="0" w:color="auto"/>
        <w:right w:val="none" w:sz="0" w:space="0" w:color="auto"/>
      </w:divBdr>
    </w:div>
    <w:div w:id="1766030797">
      <w:bodyDiv w:val="1"/>
      <w:marLeft w:val="0"/>
      <w:marRight w:val="0"/>
      <w:marTop w:val="0"/>
      <w:marBottom w:val="0"/>
      <w:divBdr>
        <w:top w:val="none" w:sz="0" w:space="0" w:color="auto"/>
        <w:left w:val="none" w:sz="0" w:space="0" w:color="auto"/>
        <w:bottom w:val="none" w:sz="0" w:space="0" w:color="auto"/>
        <w:right w:val="none" w:sz="0" w:space="0" w:color="auto"/>
      </w:divBdr>
    </w:div>
    <w:div w:id="1766342330">
      <w:bodyDiv w:val="1"/>
      <w:marLeft w:val="0"/>
      <w:marRight w:val="0"/>
      <w:marTop w:val="0"/>
      <w:marBottom w:val="0"/>
      <w:divBdr>
        <w:top w:val="none" w:sz="0" w:space="0" w:color="auto"/>
        <w:left w:val="none" w:sz="0" w:space="0" w:color="auto"/>
        <w:bottom w:val="none" w:sz="0" w:space="0" w:color="auto"/>
        <w:right w:val="none" w:sz="0" w:space="0" w:color="auto"/>
      </w:divBdr>
    </w:div>
    <w:div w:id="1767843559">
      <w:bodyDiv w:val="1"/>
      <w:marLeft w:val="0"/>
      <w:marRight w:val="0"/>
      <w:marTop w:val="0"/>
      <w:marBottom w:val="0"/>
      <w:divBdr>
        <w:top w:val="none" w:sz="0" w:space="0" w:color="auto"/>
        <w:left w:val="none" w:sz="0" w:space="0" w:color="auto"/>
        <w:bottom w:val="none" w:sz="0" w:space="0" w:color="auto"/>
        <w:right w:val="none" w:sz="0" w:space="0" w:color="auto"/>
      </w:divBdr>
    </w:div>
    <w:div w:id="1852185301">
      <w:bodyDiv w:val="1"/>
      <w:marLeft w:val="0"/>
      <w:marRight w:val="0"/>
      <w:marTop w:val="0"/>
      <w:marBottom w:val="0"/>
      <w:divBdr>
        <w:top w:val="none" w:sz="0" w:space="0" w:color="auto"/>
        <w:left w:val="none" w:sz="0" w:space="0" w:color="auto"/>
        <w:bottom w:val="none" w:sz="0" w:space="0" w:color="auto"/>
        <w:right w:val="none" w:sz="0" w:space="0" w:color="auto"/>
      </w:divBdr>
      <w:divsChild>
        <w:div w:id="1915511512">
          <w:marLeft w:val="0"/>
          <w:marRight w:val="0"/>
          <w:marTop w:val="0"/>
          <w:marBottom w:val="0"/>
          <w:divBdr>
            <w:top w:val="none" w:sz="0" w:space="0" w:color="auto"/>
            <w:left w:val="none" w:sz="0" w:space="0" w:color="auto"/>
            <w:bottom w:val="none" w:sz="0" w:space="0" w:color="auto"/>
            <w:right w:val="none" w:sz="0" w:space="0" w:color="auto"/>
          </w:divBdr>
        </w:div>
        <w:div w:id="328946498">
          <w:marLeft w:val="0"/>
          <w:marRight w:val="0"/>
          <w:marTop w:val="0"/>
          <w:marBottom w:val="0"/>
          <w:divBdr>
            <w:top w:val="none" w:sz="0" w:space="0" w:color="auto"/>
            <w:left w:val="none" w:sz="0" w:space="0" w:color="auto"/>
            <w:bottom w:val="none" w:sz="0" w:space="0" w:color="auto"/>
            <w:right w:val="none" w:sz="0" w:space="0" w:color="auto"/>
          </w:divBdr>
        </w:div>
        <w:div w:id="870143645">
          <w:marLeft w:val="0"/>
          <w:marRight w:val="0"/>
          <w:marTop w:val="0"/>
          <w:marBottom w:val="0"/>
          <w:divBdr>
            <w:top w:val="none" w:sz="0" w:space="0" w:color="auto"/>
            <w:left w:val="none" w:sz="0" w:space="0" w:color="auto"/>
            <w:bottom w:val="none" w:sz="0" w:space="0" w:color="auto"/>
            <w:right w:val="none" w:sz="0" w:space="0" w:color="auto"/>
          </w:divBdr>
        </w:div>
        <w:div w:id="2020768248">
          <w:marLeft w:val="0"/>
          <w:marRight w:val="0"/>
          <w:marTop w:val="0"/>
          <w:marBottom w:val="0"/>
          <w:divBdr>
            <w:top w:val="none" w:sz="0" w:space="0" w:color="auto"/>
            <w:left w:val="none" w:sz="0" w:space="0" w:color="auto"/>
            <w:bottom w:val="none" w:sz="0" w:space="0" w:color="auto"/>
            <w:right w:val="none" w:sz="0" w:space="0" w:color="auto"/>
          </w:divBdr>
        </w:div>
        <w:div w:id="1187064364">
          <w:marLeft w:val="0"/>
          <w:marRight w:val="0"/>
          <w:marTop w:val="0"/>
          <w:marBottom w:val="0"/>
          <w:divBdr>
            <w:top w:val="none" w:sz="0" w:space="0" w:color="auto"/>
            <w:left w:val="none" w:sz="0" w:space="0" w:color="auto"/>
            <w:bottom w:val="none" w:sz="0" w:space="0" w:color="auto"/>
            <w:right w:val="none" w:sz="0" w:space="0" w:color="auto"/>
          </w:divBdr>
        </w:div>
        <w:div w:id="1780366454">
          <w:marLeft w:val="0"/>
          <w:marRight w:val="0"/>
          <w:marTop w:val="0"/>
          <w:marBottom w:val="0"/>
          <w:divBdr>
            <w:top w:val="none" w:sz="0" w:space="0" w:color="auto"/>
            <w:left w:val="none" w:sz="0" w:space="0" w:color="auto"/>
            <w:bottom w:val="none" w:sz="0" w:space="0" w:color="auto"/>
            <w:right w:val="none" w:sz="0" w:space="0" w:color="auto"/>
          </w:divBdr>
        </w:div>
        <w:div w:id="645742007">
          <w:marLeft w:val="0"/>
          <w:marRight w:val="0"/>
          <w:marTop w:val="0"/>
          <w:marBottom w:val="0"/>
          <w:divBdr>
            <w:top w:val="none" w:sz="0" w:space="0" w:color="auto"/>
            <w:left w:val="none" w:sz="0" w:space="0" w:color="auto"/>
            <w:bottom w:val="none" w:sz="0" w:space="0" w:color="auto"/>
            <w:right w:val="none" w:sz="0" w:space="0" w:color="auto"/>
          </w:divBdr>
        </w:div>
        <w:div w:id="608004727">
          <w:marLeft w:val="0"/>
          <w:marRight w:val="0"/>
          <w:marTop w:val="0"/>
          <w:marBottom w:val="0"/>
          <w:divBdr>
            <w:top w:val="none" w:sz="0" w:space="0" w:color="auto"/>
            <w:left w:val="none" w:sz="0" w:space="0" w:color="auto"/>
            <w:bottom w:val="none" w:sz="0" w:space="0" w:color="auto"/>
            <w:right w:val="none" w:sz="0" w:space="0" w:color="auto"/>
          </w:divBdr>
        </w:div>
      </w:divsChild>
    </w:div>
    <w:div w:id="1889219549">
      <w:bodyDiv w:val="1"/>
      <w:marLeft w:val="0"/>
      <w:marRight w:val="0"/>
      <w:marTop w:val="0"/>
      <w:marBottom w:val="0"/>
      <w:divBdr>
        <w:top w:val="none" w:sz="0" w:space="0" w:color="auto"/>
        <w:left w:val="none" w:sz="0" w:space="0" w:color="auto"/>
        <w:bottom w:val="none" w:sz="0" w:space="0" w:color="auto"/>
        <w:right w:val="none" w:sz="0" w:space="0" w:color="auto"/>
      </w:divBdr>
    </w:div>
    <w:div w:id="1935821926">
      <w:bodyDiv w:val="1"/>
      <w:marLeft w:val="0"/>
      <w:marRight w:val="0"/>
      <w:marTop w:val="0"/>
      <w:marBottom w:val="0"/>
      <w:divBdr>
        <w:top w:val="none" w:sz="0" w:space="0" w:color="auto"/>
        <w:left w:val="none" w:sz="0" w:space="0" w:color="auto"/>
        <w:bottom w:val="none" w:sz="0" w:space="0" w:color="auto"/>
        <w:right w:val="none" w:sz="0" w:space="0" w:color="auto"/>
      </w:divBdr>
    </w:div>
    <w:div w:id="2091536276">
      <w:bodyDiv w:val="1"/>
      <w:marLeft w:val="0"/>
      <w:marRight w:val="0"/>
      <w:marTop w:val="0"/>
      <w:marBottom w:val="0"/>
      <w:divBdr>
        <w:top w:val="none" w:sz="0" w:space="0" w:color="auto"/>
        <w:left w:val="none" w:sz="0" w:space="0" w:color="auto"/>
        <w:bottom w:val="none" w:sz="0" w:space="0" w:color="auto"/>
        <w:right w:val="none" w:sz="0" w:space="0" w:color="auto"/>
      </w:divBdr>
    </w:div>
    <w:div w:id="2102025237">
      <w:bodyDiv w:val="1"/>
      <w:marLeft w:val="0"/>
      <w:marRight w:val="0"/>
      <w:marTop w:val="0"/>
      <w:marBottom w:val="0"/>
      <w:divBdr>
        <w:top w:val="none" w:sz="0" w:space="0" w:color="auto"/>
        <w:left w:val="none" w:sz="0" w:space="0" w:color="auto"/>
        <w:bottom w:val="none" w:sz="0" w:space="0" w:color="auto"/>
        <w:right w:val="none" w:sz="0" w:space="0" w:color="auto"/>
      </w:divBdr>
    </w:div>
    <w:div w:id="2102600571">
      <w:bodyDiv w:val="1"/>
      <w:marLeft w:val="0"/>
      <w:marRight w:val="0"/>
      <w:marTop w:val="0"/>
      <w:marBottom w:val="0"/>
      <w:divBdr>
        <w:top w:val="none" w:sz="0" w:space="0" w:color="auto"/>
        <w:left w:val="none" w:sz="0" w:space="0" w:color="auto"/>
        <w:bottom w:val="none" w:sz="0" w:space="0" w:color="auto"/>
        <w:right w:val="none" w:sz="0" w:space="0" w:color="auto"/>
      </w:divBdr>
      <w:divsChild>
        <w:div w:id="518082208">
          <w:marLeft w:val="0"/>
          <w:marRight w:val="0"/>
          <w:marTop w:val="0"/>
          <w:marBottom w:val="0"/>
          <w:divBdr>
            <w:top w:val="none" w:sz="0" w:space="0" w:color="auto"/>
            <w:left w:val="none" w:sz="0" w:space="0" w:color="auto"/>
            <w:bottom w:val="none" w:sz="0" w:space="0" w:color="auto"/>
            <w:right w:val="none" w:sz="0" w:space="0" w:color="auto"/>
          </w:divBdr>
        </w:div>
      </w:divsChild>
    </w:div>
    <w:div w:id="214624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p.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R:\ESCRITORIO\2017%20SDP\PM%20SEGUIMIENTOS%202017\JUNIO%202017\FINALES\INF%20FINAL%20JUNIO%202017\PM%20FINAL%20INFORME%20JUNIO%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EFICACIA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Hoja2!$C$12:$F$12</c:f>
              <c:strCache>
                <c:ptCount val="4"/>
                <c:pt idx="0">
                  <c:v>Jul-Sep 2016</c:v>
                </c:pt>
                <c:pt idx="1">
                  <c:v>Oct-Dic 2016</c:v>
                </c:pt>
                <c:pt idx="2">
                  <c:v>En-Mar 2017</c:v>
                </c:pt>
                <c:pt idx="3">
                  <c:v>Abr-jun 2017</c:v>
                </c:pt>
              </c:strCache>
            </c:strRef>
          </c:cat>
          <c:val>
            <c:numRef>
              <c:f>Hoja2!$C$13:$F$13</c:f>
              <c:numCache>
                <c:formatCode>0.0%</c:formatCode>
                <c:ptCount val="4"/>
                <c:pt idx="0" formatCode="0%">
                  <c:v>0.96</c:v>
                </c:pt>
                <c:pt idx="1">
                  <c:v>0.99</c:v>
                </c:pt>
                <c:pt idx="2">
                  <c:v>0.97299999999999998</c:v>
                </c:pt>
                <c:pt idx="3" formatCode="0%">
                  <c:v>1</c:v>
                </c:pt>
              </c:numCache>
            </c:numRef>
          </c:val>
          <c:smooth val="0"/>
          <c:extLst xmlns:c16r2="http://schemas.microsoft.com/office/drawing/2015/06/chart">
            <c:ext xmlns:c16="http://schemas.microsoft.com/office/drawing/2014/chart" uri="{C3380CC4-5D6E-409C-BE32-E72D297353CC}">
              <c16:uniqueId val="{00000000-78A1-4E1D-B32C-A364F5225C71}"/>
            </c:ext>
          </c:extLst>
        </c:ser>
        <c:dLbls>
          <c:showLegendKey val="0"/>
          <c:showVal val="0"/>
          <c:showCatName val="0"/>
          <c:showSerName val="0"/>
          <c:showPercent val="0"/>
          <c:showBubbleSize val="0"/>
        </c:dLbls>
        <c:smooth val="0"/>
        <c:axId val="-1425269952"/>
        <c:axId val="-1425270496"/>
      </c:lineChart>
      <c:catAx>
        <c:axId val="-142526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5270496"/>
        <c:crosses val="autoZero"/>
        <c:auto val="1"/>
        <c:lblAlgn val="ctr"/>
        <c:lblOffset val="100"/>
        <c:noMultiLvlLbl val="0"/>
      </c:catAx>
      <c:valAx>
        <c:axId val="-1425270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25269952"/>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E19C7-BC90-4A37-A12E-82CFDF27F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D173CBDE</Template>
  <TotalTime>0</TotalTime>
  <Pages>17</Pages>
  <Words>9066</Words>
  <Characters>48533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MEMORANDO</vt:lpstr>
    </vt:vector>
  </TitlesOfParts>
  <Company>Secretaria Distrital de Planeacion</Company>
  <LinksUpToDate>false</LinksUpToDate>
  <CharactersWithSpaces>57485</CharactersWithSpaces>
  <SharedDoc>false</SharedDoc>
  <HLinks>
    <vt:vector size="6" baseType="variant">
      <vt:variant>
        <vt:i4>2555916</vt:i4>
      </vt:variant>
      <vt:variant>
        <vt:i4>0</vt:i4>
      </vt:variant>
      <vt:variant>
        <vt:i4>0</vt:i4>
      </vt:variant>
      <vt:variant>
        <vt:i4>5</vt:i4>
      </vt:variant>
      <vt:variant>
        <vt:lpwstr>http://www.sdp.gov.co/portal/pls/portal/buzonjudical@sdp.gov.co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groa</dc:creator>
  <cp:keywords/>
  <dc:description/>
  <cp:lastModifiedBy>Efren Garcia Santacruz</cp:lastModifiedBy>
  <cp:revision>2</cp:revision>
  <cp:lastPrinted>2011-11-10T19:54:00Z</cp:lastPrinted>
  <dcterms:created xsi:type="dcterms:W3CDTF">2017-12-14T16:26:00Z</dcterms:created>
  <dcterms:modified xsi:type="dcterms:W3CDTF">2017-12-14T16:26:00Z</dcterms:modified>
</cp:coreProperties>
</file>