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73714" w14:textId="136D3070" w:rsidR="009B5528" w:rsidRDefault="009B5528">
      <w:bookmarkStart w:id="0" w:name="OLE_LINK1"/>
      <w:bookmarkStart w:id="1" w:name="OLE_LINK2"/>
    </w:p>
    <w:sdt>
      <w:sdtPr>
        <w:id w:val="-230775037"/>
        <w:docPartObj>
          <w:docPartGallery w:val="Cover Pages"/>
          <w:docPartUnique/>
        </w:docPartObj>
      </w:sdtPr>
      <w:sdtContent>
        <w:p w14:paraId="0B74E1E6" w14:textId="35A92417" w:rsidR="009B5528" w:rsidRDefault="009B5528">
          <w:r>
            <w:rPr>
              <w:noProof/>
            </w:rPr>
            <mc:AlternateContent>
              <mc:Choice Requires="wpg">
                <w:drawing>
                  <wp:anchor distT="0" distB="0" distL="114300" distR="114300" simplePos="0" relativeHeight="251663360" behindDoc="0" locked="0" layoutInCell="1" allowOverlap="1" wp14:anchorId="1E0AE45D" wp14:editId="12C18B2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EFC2984" id="Grupo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31C122AD" w14:textId="34DA5E2C" w:rsidR="009B5528" w:rsidRDefault="009B5528">
          <w:pPr>
            <w:rPr>
              <w:rFonts w:ascii="Garamond" w:eastAsiaTheme="majorEastAsia" w:hAnsi="Garamond" w:cstheme="majorBidi"/>
              <w:color w:val="2F5496" w:themeColor="accent1" w:themeShade="BF"/>
              <w:sz w:val="32"/>
              <w:szCs w:val="32"/>
              <w:lang w:val="es-CO"/>
            </w:rPr>
          </w:pPr>
          <w:bookmarkStart w:id="2" w:name="_Hlk8744316"/>
          <w:bookmarkEnd w:id="2"/>
          <w:r>
            <w:rPr>
              <w:noProof/>
            </w:rPr>
            <mc:AlternateContent>
              <mc:Choice Requires="wps">
                <w:drawing>
                  <wp:anchor distT="0" distB="0" distL="114300" distR="114300" simplePos="0" relativeHeight="251660288" behindDoc="0" locked="0" layoutInCell="1" allowOverlap="1" wp14:anchorId="549F2933" wp14:editId="4C910EBE">
                    <wp:simplePos x="0" y="0"/>
                    <wp:positionH relativeFrom="page">
                      <wp:posOffset>227965</wp:posOffset>
                    </wp:positionH>
                    <wp:positionV relativeFrom="page">
                      <wp:posOffset>2485084</wp:posOffset>
                    </wp:positionV>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15610" w14:textId="6976BAA9" w:rsidR="009B5528" w:rsidRDefault="009B5528">
                                <w:pPr>
                                  <w:jc w:val="right"/>
                                  <w:rPr>
                                    <w:color w:val="4472C4" w:themeColor="accent1"/>
                                    <w:sz w:val="64"/>
                                    <w:szCs w:val="64"/>
                                  </w:rPr>
                                </w:pPr>
                                <w:sdt>
                                  <w:sdtPr>
                                    <w:rPr>
                                      <w:rFonts w:ascii="OpenSans-Bold" w:eastAsia="Times New Roman" w:hAnsi="OpenSans-Bold" w:cs="Times New Roman"/>
                                      <w:color w:val="00253F"/>
                                      <w:sz w:val="34"/>
                                      <w:szCs w:val="34"/>
                                      <w:lang w:val="es-CO"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B5528">
                                      <w:rPr>
                                        <w:rFonts w:ascii="OpenSans-Bold" w:eastAsia="Times New Roman" w:hAnsi="OpenSans-Bold" w:cs="Times New Roman"/>
                                        <w:color w:val="00253F"/>
                                        <w:sz w:val="34"/>
                                        <w:szCs w:val="34"/>
                                        <w:lang w:val="es-CO" w:eastAsia="es-ES_tradnl"/>
                                      </w:rPr>
                                      <w:t>Características de los hogares de personas de los sectores LGBTI en Bogotá</w:t>
                                    </w:r>
                                    <w:r>
                                      <w:rPr>
                                        <w:rFonts w:ascii="OpenSans-Bold" w:eastAsia="Times New Roman" w:hAnsi="OpenSans-Bold" w:cs="Times New Roman"/>
                                        <w:color w:val="00253F"/>
                                        <w:sz w:val="34"/>
                                        <w:szCs w:val="34"/>
                                        <w:lang w:val="es-CO"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8F7C73" w14:textId="3B96EEA9" w:rsidR="009B5528" w:rsidRPr="009B5528" w:rsidRDefault="009B5528">
                                    <w:pPr>
                                      <w:jc w:val="right"/>
                                      <w:rPr>
                                        <w:smallCaps/>
                                        <w:color w:val="404040" w:themeColor="text1" w:themeTint="BF"/>
                                        <w:sz w:val="32"/>
                                        <w:szCs w:val="36"/>
                                      </w:rPr>
                                    </w:pPr>
                                    <w:r w:rsidRPr="009B5528">
                                      <w:rPr>
                                        <w:color w:val="404040" w:themeColor="text1" w:themeTint="BF"/>
                                        <w:sz w:val="32"/>
                                        <w:szCs w:val="36"/>
                                      </w:rPr>
                                      <w:t>Boletín 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49F2933" id="_x0000_t202" coordsize="21600,21600" o:spt="202" path="m,l,21600r21600,l21600,xe">
                    <v:stroke joinstyle="miter"/>
                    <v:path gradientshapeok="t" o:connecttype="rect"/>
                  </v:shapetype>
                  <v:shape id="Cuadro de texto 154" o:spid="_x0000_s1026" type="#_x0000_t202" style="position:absolute;margin-left:17.95pt;margin-top:195.7pt;width:8in;height:286.5pt;z-index:25166028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Cd1XizlAAAAEAEAAA8AAABkcnMvZG93bnJldi54bWxMT01vwjAMvU/af4g8abeRdpSu&#13;&#10;LU0R2rQLGhIDtl1Dk7UVjVM1ATp+PeY0LrZsP7+PfDaYlh117xqLAsJRAExjaVWDlYDt5v0pAea8&#13;&#10;RCVbi1rAn3YwK+7vcpkpe8JPfVz7ihEJukwKqL3vMs5dWWsj3ch2Gun2a3sjPY19xVUvT0RuWv4c&#13;&#10;BDE3skFSqGWnX2td7tcHI8B9b5PVcrJYzH8+Arf6is/jRG2EeHwY3qZU5lNgXg/+/wOuGcg/FGRs&#13;&#10;Zw+oHGsFjCcpIamnYQTsCgiTF1rtBKRxFAEvcn4bpLgAAAD//wMAUEsBAi0AFAAGAAgAAAAhALaD&#13;&#10;OJL+AAAA4QEAABMAAAAAAAAAAAAAAAAAAAAAAFtDb250ZW50X1R5cGVzXS54bWxQSwECLQAUAAYA&#13;&#10;CAAAACEAOP0h/9YAAACUAQAACwAAAAAAAAAAAAAAAAAvAQAAX3JlbHMvLnJlbHNQSwECLQAUAAYA&#13;&#10;CAAAACEAGqK71YUCAABpBQAADgAAAAAAAAAAAAAAAAAuAgAAZHJzL2Uyb0RvYy54bWxQSwECLQAU&#13;&#10;AAYACAAAACEAJ3VeLOUAAAAQAQAADwAAAAAAAAAAAAAAAADfBAAAZHJzL2Rvd25yZXYueG1sUEsF&#13;&#10;BgAAAAAEAAQA8wAAAPEFAAAAAA==&#13;&#10;" filled="f" stroked="f" strokeweight=".5pt">
                    <v:textbox inset="126pt,0,54pt,0">
                      <w:txbxContent>
                        <w:p w14:paraId="62415610" w14:textId="6976BAA9" w:rsidR="009B5528" w:rsidRDefault="009B5528">
                          <w:pPr>
                            <w:jc w:val="right"/>
                            <w:rPr>
                              <w:color w:val="4472C4" w:themeColor="accent1"/>
                              <w:sz w:val="64"/>
                              <w:szCs w:val="64"/>
                            </w:rPr>
                          </w:pPr>
                          <w:sdt>
                            <w:sdtPr>
                              <w:rPr>
                                <w:rFonts w:ascii="OpenSans-Bold" w:eastAsia="Times New Roman" w:hAnsi="OpenSans-Bold" w:cs="Times New Roman"/>
                                <w:color w:val="00253F"/>
                                <w:sz w:val="34"/>
                                <w:szCs w:val="34"/>
                                <w:lang w:val="es-CO"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9B5528">
                                <w:rPr>
                                  <w:rFonts w:ascii="OpenSans-Bold" w:eastAsia="Times New Roman" w:hAnsi="OpenSans-Bold" w:cs="Times New Roman"/>
                                  <w:color w:val="00253F"/>
                                  <w:sz w:val="34"/>
                                  <w:szCs w:val="34"/>
                                  <w:lang w:val="es-CO" w:eastAsia="es-ES_tradnl"/>
                                </w:rPr>
                                <w:t>Características de los hogares de personas de los sectores LGBTI en Bogotá</w:t>
                              </w:r>
                              <w:r>
                                <w:rPr>
                                  <w:rFonts w:ascii="OpenSans-Bold" w:eastAsia="Times New Roman" w:hAnsi="OpenSans-Bold" w:cs="Times New Roman"/>
                                  <w:color w:val="00253F"/>
                                  <w:sz w:val="34"/>
                                  <w:szCs w:val="34"/>
                                  <w:lang w:val="es-CO"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F8F7C73" w14:textId="3B96EEA9" w:rsidR="009B5528" w:rsidRPr="009B5528" w:rsidRDefault="009B5528">
                              <w:pPr>
                                <w:jc w:val="right"/>
                                <w:rPr>
                                  <w:smallCaps/>
                                  <w:color w:val="404040" w:themeColor="text1" w:themeTint="BF"/>
                                  <w:sz w:val="32"/>
                                  <w:szCs w:val="36"/>
                                </w:rPr>
                              </w:pPr>
                              <w:r w:rsidRPr="009B5528">
                                <w:rPr>
                                  <w:color w:val="404040" w:themeColor="text1" w:themeTint="BF"/>
                                  <w:sz w:val="32"/>
                                  <w:szCs w:val="36"/>
                                </w:rPr>
                                <w:t>Boletín 7.</w:t>
                              </w:r>
                            </w:p>
                          </w:sdtContent>
                        </w:sdt>
                      </w:txbxContent>
                    </v:textbox>
                    <w10:wrap type="square" anchorx="page" anchory="page"/>
                  </v:shape>
                </w:pict>
              </mc:Fallback>
            </mc:AlternateContent>
          </w:r>
          <w:r>
            <w:rPr>
              <w:noProof/>
              <w:lang w:val="es-MX"/>
            </w:rPr>
            <w:drawing>
              <wp:anchor distT="0" distB="0" distL="114300" distR="114300" simplePos="0" relativeHeight="251665408" behindDoc="0" locked="0" layoutInCell="1" allowOverlap="1" wp14:anchorId="229E2995" wp14:editId="33C1FC53">
                <wp:simplePos x="0" y="0"/>
                <wp:positionH relativeFrom="column">
                  <wp:posOffset>207878</wp:posOffset>
                </wp:positionH>
                <wp:positionV relativeFrom="paragraph">
                  <wp:posOffset>253180</wp:posOffset>
                </wp:positionV>
                <wp:extent cx="5282631" cy="335281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38FEFE68" wp14:editId="23D41764">
                    <wp:simplePos x="0" y="0"/>
                    <wp:positionH relativeFrom="page">
                      <wp:posOffset>104172</wp:posOffset>
                    </wp:positionH>
                    <wp:positionV relativeFrom="page">
                      <wp:posOffset>7847861</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1EB9C" w14:textId="77777777" w:rsidR="009B5528" w:rsidRPr="00CE0B27" w:rsidRDefault="009B5528" w:rsidP="009B5528">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62E89C82" w14:textId="77777777" w:rsidR="009B5528" w:rsidRPr="00CE0B27" w:rsidRDefault="009B5528" w:rsidP="009B5528">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0C90318" w14:textId="77777777" w:rsidR="009B5528" w:rsidRPr="00CE0B27" w:rsidRDefault="009B5528" w:rsidP="009B5528">
                                <w:pPr>
                                  <w:pStyle w:val="Sinespaciado"/>
                                  <w:jc w:val="center"/>
                                  <w:rPr>
                                    <w:color w:val="595959" w:themeColor="text1" w:themeTint="A6"/>
                                    <w:sz w:val="21"/>
                                    <w:szCs w:val="20"/>
                                    <w:lang w:val="es-ES"/>
                                  </w:rPr>
                                </w:pPr>
                              </w:p>
                              <w:p w14:paraId="0A88575C" w14:textId="77777777" w:rsidR="009B5528" w:rsidRPr="00CE0B27" w:rsidRDefault="009B5528" w:rsidP="009B5528">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8FEFE68" id="Cuadro de texto 153" o:spid="_x0000_s1027" type="#_x0000_t202" style="position:absolute;margin-left:8.2pt;margin-top:617.95pt;width:8in;height:79.5pt;z-index:25166745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DD/VGr5gAAABIBAAAPAAAAZHJzL2Rvd25yZXYueG1sTE/LTsMwELwj8Q/WInGpWidp&#13;&#10;iJo0ToWoQOJSaMsHuLEbB+J1FLtt4OvZnuCyu7OP2ZlyNdqOnfXgW4cC4lkETGPtVIuNgI/983QB&#13;&#10;zAeJSnYOtYBv7WFV3d6UslDuglt93oWGEQn6QgowIfQF57422ko/c71Gmh3dYGUgODRcDfJC5Lbj&#13;&#10;SRRl3MoW6YORvX4yuv7anayAyRpfQ/zz+fYyOW6S9yENqdkGIe7vxvWSwuMSWNBj+LuAqwfSDxUJ&#13;&#10;O7gTKs86wllKm5ST+UMO7LoRZwvqHaia52kOvCr5fyvVLwAAAP//AwBQSwECLQAUAAYACAAAACEA&#13;&#10;toM4kv4AAADhAQAAEwAAAAAAAAAAAAAAAAAAAAAAW0NvbnRlbnRfVHlwZXNdLnhtbFBLAQItABQA&#13;&#10;BgAIAAAAIQA4/SH/1gAAAJQBAAALAAAAAAAAAAAAAAAAAC8BAABfcmVscy8ucmVsc1BLAQItABQA&#13;&#10;BgAIAAAAIQCV/vTahgIAAHAFAAAOAAAAAAAAAAAAAAAAAC4CAABkcnMvZTJvRG9jLnhtbFBLAQIt&#13;&#10;ABQABgAIAAAAIQDD/VGr5gAAABIBAAAPAAAAAAAAAAAAAAAAAOAEAABkcnMvZG93bnJldi54bWxQ&#13;&#10;SwUGAAAAAAQABADzAAAA8wUAAAAA&#13;&#10;" filled="f" stroked="f" strokeweight=".5pt">
                    <v:textbox style="mso-fit-shape-to-text:t" inset="126pt,0,54pt,0">
                      <w:txbxContent>
                        <w:p w14:paraId="33F1EB9C" w14:textId="77777777" w:rsidR="009B5528" w:rsidRPr="00CE0B27" w:rsidRDefault="009B5528" w:rsidP="009B5528">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62E89C82" w14:textId="77777777" w:rsidR="009B5528" w:rsidRPr="00CE0B27" w:rsidRDefault="009B5528" w:rsidP="009B5528">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10C90318" w14:textId="77777777" w:rsidR="009B5528" w:rsidRPr="00CE0B27" w:rsidRDefault="009B5528" w:rsidP="009B5528">
                          <w:pPr>
                            <w:pStyle w:val="Sinespaciado"/>
                            <w:jc w:val="center"/>
                            <w:rPr>
                              <w:color w:val="595959" w:themeColor="text1" w:themeTint="A6"/>
                              <w:sz w:val="21"/>
                              <w:szCs w:val="20"/>
                              <w:lang w:val="es-ES"/>
                            </w:rPr>
                          </w:pPr>
                        </w:p>
                        <w:p w14:paraId="0A88575C" w14:textId="77777777" w:rsidR="009B5528" w:rsidRPr="00CE0B27" w:rsidRDefault="009B5528" w:rsidP="009B5528">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v:textbox>
                    <w10:wrap type="square" anchorx="page" anchory="page"/>
                  </v:shape>
                </w:pict>
              </mc:Fallback>
            </mc:AlternateContent>
          </w:r>
          <w:r>
            <w:br w:type="page"/>
          </w:r>
        </w:p>
      </w:sdtContent>
    </w:sdt>
    <w:p w14:paraId="3F9A3E8E" w14:textId="77777777" w:rsidR="009B5528" w:rsidRDefault="009B5528" w:rsidP="009B0307">
      <w:pPr>
        <w:pStyle w:val="Ttulo1"/>
        <w:sectPr w:rsidR="009B5528" w:rsidSect="009B5528">
          <w:footerReference w:type="default" r:id="rId11"/>
          <w:pgSz w:w="12240" w:h="15840"/>
          <w:pgMar w:top="1440" w:right="1440" w:bottom="1440" w:left="1440" w:header="708" w:footer="708" w:gutter="0"/>
          <w:pgNumType w:start="0"/>
          <w:cols w:num="2" w:space="708"/>
          <w:titlePg/>
          <w:docGrid w:linePitch="360"/>
        </w:sectPr>
      </w:pPr>
    </w:p>
    <w:p w14:paraId="54587DAF" w14:textId="77777777" w:rsidR="009B5528" w:rsidRDefault="009B5528" w:rsidP="009B5528">
      <w:pPr>
        <w:spacing w:line="276" w:lineRule="auto"/>
        <w:jc w:val="right"/>
        <w:rPr>
          <w:rFonts w:ascii="Calibri" w:eastAsia="Times New Roman" w:hAnsi="Calibri" w:cs="Arial"/>
          <w:b/>
          <w:color w:val="222222"/>
          <w:sz w:val="32"/>
          <w:lang w:eastAsia="es-ES_tradnl"/>
        </w:rPr>
      </w:pPr>
    </w:p>
    <w:p w14:paraId="443A1170" w14:textId="4100BCD1" w:rsidR="009B5528" w:rsidRPr="00890DCF" w:rsidRDefault="009B5528" w:rsidP="009B5528">
      <w:pPr>
        <w:spacing w:line="276" w:lineRule="auto"/>
        <w:jc w:val="right"/>
        <w:rPr>
          <w:rFonts w:ascii="Calibri" w:eastAsia="Times New Roman" w:hAnsi="Calibri" w:cs="Arial"/>
          <w:b/>
          <w:bCs/>
          <w:color w:val="222222"/>
          <w:sz w:val="32"/>
          <w:lang w:eastAsia="es-ES_tradnl"/>
        </w:rPr>
      </w:pPr>
      <w:bookmarkStart w:id="3" w:name="_GoBack"/>
      <w:bookmarkEnd w:id="3"/>
      <w:r w:rsidRPr="00890DCF">
        <w:rPr>
          <w:rFonts w:ascii="Calibri" w:eastAsia="Times New Roman" w:hAnsi="Calibri" w:cs="Arial"/>
          <w:b/>
          <w:color w:val="222222"/>
          <w:sz w:val="32"/>
          <w:lang w:eastAsia="es-ES_tradnl"/>
        </w:rPr>
        <w:t>Enrique Peñalosa Londoño</w:t>
      </w:r>
      <w:r w:rsidRPr="00890DCF">
        <w:rPr>
          <w:rFonts w:ascii="Calibri" w:eastAsia="Times New Roman" w:hAnsi="Calibri" w:cs="Arial"/>
          <w:b/>
          <w:bCs/>
          <w:color w:val="222222"/>
          <w:sz w:val="32"/>
          <w:lang w:eastAsia="es-ES_tradnl"/>
        </w:rPr>
        <w:t xml:space="preserve"> </w:t>
      </w:r>
    </w:p>
    <w:p w14:paraId="02BBC591" w14:textId="77777777" w:rsidR="009B5528" w:rsidRPr="00890DCF" w:rsidRDefault="009B5528" w:rsidP="009B5528">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Alcalde Mayor de Bogotá D.C.</w:t>
      </w:r>
    </w:p>
    <w:p w14:paraId="7896F0E9"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51A5256A" w14:textId="77777777" w:rsidR="009B5528" w:rsidRPr="00890DCF" w:rsidRDefault="009B5528" w:rsidP="009B5528">
      <w:pPr>
        <w:spacing w:line="276" w:lineRule="auto"/>
        <w:jc w:val="right"/>
        <w:rPr>
          <w:rFonts w:ascii="Calibri" w:eastAsia="Times New Roman" w:hAnsi="Calibri" w:cs="Arial"/>
          <w:b/>
          <w:color w:val="222222"/>
          <w:sz w:val="32"/>
          <w:lang w:eastAsia="es-ES_tradnl"/>
        </w:rPr>
      </w:pPr>
      <w:r w:rsidRPr="00890DCF">
        <w:rPr>
          <w:rFonts w:ascii="Calibri" w:eastAsia="Times New Roman" w:hAnsi="Calibri" w:cs="Arial"/>
          <w:b/>
          <w:color w:val="222222"/>
          <w:sz w:val="32"/>
          <w:lang w:eastAsia="es-ES_tradnl"/>
        </w:rPr>
        <w:t>Andrés Ortiz Gómez </w:t>
      </w:r>
    </w:p>
    <w:p w14:paraId="47992D59" w14:textId="77777777" w:rsidR="009B5528" w:rsidRPr="00890DCF" w:rsidRDefault="009B5528" w:rsidP="009B5528">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Secretario Distrital de Planeación</w:t>
      </w:r>
    </w:p>
    <w:p w14:paraId="5A6D8101"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35FADCC1"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73F3A656"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6541235B" w14:textId="77777777" w:rsidR="009B5528" w:rsidRPr="00890DCF" w:rsidRDefault="009B5528" w:rsidP="009B5528">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Paola Gómez Campos </w:t>
      </w:r>
    </w:p>
    <w:p w14:paraId="0EF64C7A" w14:textId="77777777" w:rsidR="009B5528" w:rsidRPr="00890DCF" w:rsidRDefault="009B5528" w:rsidP="009B5528">
      <w:pPr>
        <w:spacing w:line="276" w:lineRule="auto"/>
        <w:jc w:val="right"/>
        <w:rPr>
          <w:rFonts w:ascii="Calibri" w:eastAsia="Times New Roman" w:hAnsi="Calibri" w:cs="Arial"/>
          <w:color w:val="44546A" w:themeColor="text2"/>
          <w:lang w:eastAsia="es-ES_tradnl"/>
        </w:rPr>
      </w:pPr>
      <w:r w:rsidRPr="00890DCF">
        <w:rPr>
          <w:rFonts w:ascii="Calibri" w:eastAsia="Times New Roman" w:hAnsi="Calibri" w:cs="Arial"/>
          <w:b/>
          <w:bCs/>
          <w:color w:val="44546A" w:themeColor="text2"/>
          <w:lang w:eastAsia="es-ES_tradnl"/>
        </w:rPr>
        <w:t>Subsecretaria de Planeación Socioeconómica</w:t>
      </w:r>
      <w:r w:rsidRPr="00890DCF">
        <w:rPr>
          <w:rFonts w:ascii="Calibri" w:eastAsia="Times New Roman" w:hAnsi="Calibri" w:cs="Arial"/>
          <w:color w:val="44546A" w:themeColor="text2"/>
          <w:lang w:eastAsia="es-ES_tradnl"/>
        </w:rPr>
        <w:t> </w:t>
      </w:r>
    </w:p>
    <w:p w14:paraId="19E0A5CF"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5A45C699" w14:textId="77777777" w:rsidR="009B5528" w:rsidRPr="00890DCF" w:rsidRDefault="009B5528" w:rsidP="009B5528">
      <w:pPr>
        <w:spacing w:line="276" w:lineRule="auto"/>
        <w:jc w:val="right"/>
        <w:rPr>
          <w:rFonts w:ascii="Calibri" w:eastAsia="Times New Roman" w:hAnsi="Calibri" w:cs="Arial"/>
          <w:color w:val="222222"/>
          <w:lang w:eastAsia="es-ES_tradnl"/>
        </w:rPr>
      </w:pPr>
    </w:p>
    <w:p w14:paraId="41E0B19A" w14:textId="77777777" w:rsidR="009B5528" w:rsidRPr="00890DCF" w:rsidRDefault="009B5528" w:rsidP="009B5528">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Diego Alejandro Peña Restrepo</w:t>
      </w:r>
    </w:p>
    <w:p w14:paraId="640A2880" w14:textId="77777777" w:rsidR="009B5528" w:rsidRPr="00890DCF" w:rsidRDefault="009B5528" w:rsidP="009B5528">
      <w:pPr>
        <w:spacing w:line="276" w:lineRule="auto"/>
        <w:jc w:val="right"/>
        <w:rPr>
          <w:rFonts w:ascii="Calibri" w:eastAsia="Times New Roman" w:hAnsi="Calibri" w:cs="Arial"/>
          <w:b/>
          <w:bCs/>
          <w:color w:val="44546A" w:themeColor="text2"/>
          <w:lang w:eastAsia="es-ES_tradnl"/>
        </w:rPr>
      </w:pPr>
      <w:r w:rsidRPr="00890DCF">
        <w:rPr>
          <w:rFonts w:ascii="Calibri" w:eastAsia="Times New Roman" w:hAnsi="Calibri" w:cs="Arial"/>
          <w:b/>
          <w:bCs/>
          <w:color w:val="44546A" w:themeColor="text2"/>
          <w:lang w:eastAsia="es-ES_tradnl"/>
        </w:rPr>
        <w:t>Director de Equidad y Políticas Poblacionales</w:t>
      </w:r>
    </w:p>
    <w:p w14:paraId="74C0A23E" w14:textId="77777777" w:rsidR="009B5528" w:rsidRPr="00890DCF" w:rsidRDefault="009B5528" w:rsidP="009B5528">
      <w:pPr>
        <w:spacing w:line="276" w:lineRule="auto"/>
        <w:jc w:val="right"/>
        <w:rPr>
          <w:rFonts w:ascii="Calibri" w:eastAsia="Times New Roman" w:hAnsi="Calibri" w:cs="Arial"/>
          <w:color w:val="44546A" w:themeColor="text2"/>
          <w:lang w:eastAsia="es-ES_tradnl"/>
        </w:rPr>
      </w:pPr>
    </w:p>
    <w:p w14:paraId="1D1D2C5F" w14:textId="77777777" w:rsidR="009B5528" w:rsidRPr="00890DCF" w:rsidRDefault="009B5528" w:rsidP="009B5528">
      <w:pPr>
        <w:spacing w:line="276" w:lineRule="auto"/>
        <w:jc w:val="right"/>
        <w:rPr>
          <w:rFonts w:ascii="Calibri" w:eastAsia="Times New Roman" w:hAnsi="Calibri" w:cs="Arial"/>
          <w:color w:val="222222"/>
          <w:lang w:eastAsia="es-ES_tradnl"/>
        </w:rPr>
      </w:pPr>
      <w:r w:rsidRPr="00890DCF">
        <w:rPr>
          <w:rFonts w:ascii="Calibri" w:eastAsia="Times New Roman" w:hAnsi="Calibri" w:cs="Arial"/>
          <w:color w:val="44546A" w:themeColor="text2"/>
          <w:lang w:eastAsia="es-ES_tradnl"/>
        </w:rPr>
        <w:t> </w:t>
      </w:r>
    </w:p>
    <w:p w14:paraId="033BF821" w14:textId="2B978451" w:rsidR="009B5528" w:rsidRDefault="009B5528" w:rsidP="009B5528">
      <w:pPr>
        <w:spacing w:line="276" w:lineRule="auto"/>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 xml:space="preserve">Carol Pinzón </w:t>
      </w:r>
      <w:proofErr w:type="spellStart"/>
      <w:r>
        <w:rPr>
          <w:rFonts w:ascii="Calibri" w:eastAsia="Times New Roman" w:hAnsi="Calibri" w:cs="Arial"/>
          <w:b/>
          <w:color w:val="222222"/>
          <w:sz w:val="28"/>
          <w:lang w:eastAsia="es-ES_tradnl"/>
        </w:rPr>
        <w:t>Másmela</w:t>
      </w:r>
      <w:proofErr w:type="spellEnd"/>
    </w:p>
    <w:p w14:paraId="2EAAC5A2" w14:textId="77777777" w:rsidR="009B5528" w:rsidRDefault="009B5528" w:rsidP="009B5528">
      <w:pPr>
        <w:spacing w:line="276" w:lineRule="auto"/>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Germán Romero Otálora</w:t>
      </w:r>
    </w:p>
    <w:p w14:paraId="686CA1CE" w14:textId="77777777" w:rsidR="009B5528" w:rsidRPr="00890DCF" w:rsidRDefault="009B5528" w:rsidP="009B5528">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Juliana Moncada Guayazán</w:t>
      </w:r>
    </w:p>
    <w:p w14:paraId="2A885765" w14:textId="77777777" w:rsidR="009B5528" w:rsidRPr="00890DCF" w:rsidRDefault="009B5528" w:rsidP="009B5528">
      <w:pPr>
        <w:spacing w:line="276" w:lineRule="auto"/>
        <w:jc w:val="right"/>
        <w:rPr>
          <w:rFonts w:ascii="Calibri" w:eastAsia="Times New Roman" w:hAnsi="Calibri" w:cs="Arial"/>
          <w:color w:val="44546A" w:themeColor="text2"/>
          <w:lang w:eastAsia="es-ES_tradnl"/>
        </w:rPr>
      </w:pPr>
      <w:r w:rsidRPr="00890DCF">
        <w:rPr>
          <w:rFonts w:ascii="Calibri" w:eastAsia="Times New Roman" w:hAnsi="Calibri" w:cs="Arial"/>
          <w:b/>
          <w:bCs/>
          <w:color w:val="44546A" w:themeColor="text2"/>
          <w:lang w:eastAsia="es-ES_tradnl"/>
        </w:rPr>
        <w:t>Equipo de trabajo del Observatorio Poblacional Diferencial y de Familias</w:t>
      </w:r>
    </w:p>
    <w:p w14:paraId="4B8D8553" w14:textId="6EBBD2B1" w:rsidR="009B5528" w:rsidRDefault="009B5528" w:rsidP="009B5528">
      <w:pPr>
        <w:spacing w:line="276" w:lineRule="auto"/>
        <w:rPr>
          <w:rFonts w:ascii="Calibri" w:eastAsia="Times New Roman" w:hAnsi="Calibri" w:cs="Arial"/>
          <w:b/>
          <w:bCs/>
          <w:color w:val="222222"/>
          <w:lang w:eastAsia="es-ES_tradnl"/>
        </w:rPr>
      </w:pPr>
    </w:p>
    <w:p w14:paraId="368EC424" w14:textId="1E076C07" w:rsidR="009B5528" w:rsidRDefault="009B5528" w:rsidP="009B5528">
      <w:pPr>
        <w:spacing w:line="276" w:lineRule="auto"/>
        <w:rPr>
          <w:rFonts w:ascii="Calibri" w:eastAsia="Times New Roman" w:hAnsi="Calibri" w:cs="Arial"/>
          <w:b/>
          <w:bCs/>
          <w:color w:val="222222"/>
          <w:lang w:eastAsia="es-ES_tradnl"/>
        </w:rPr>
      </w:pPr>
    </w:p>
    <w:p w14:paraId="1DC7FEF1" w14:textId="77777777" w:rsidR="009B5528" w:rsidRPr="00890DCF" w:rsidRDefault="009B5528" w:rsidP="009B5528">
      <w:pPr>
        <w:spacing w:line="276" w:lineRule="auto"/>
        <w:rPr>
          <w:rFonts w:ascii="Calibri" w:eastAsia="Times New Roman" w:hAnsi="Calibri" w:cs="Arial"/>
          <w:b/>
          <w:bCs/>
          <w:color w:val="222222"/>
          <w:lang w:eastAsia="es-ES_tradnl"/>
        </w:rPr>
      </w:pPr>
    </w:p>
    <w:p w14:paraId="0F408D82" w14:textId="77777777" w:rsidR="009B5528" w:rsidRPr="00890DCF" w:rsidRDefault="009B5528" w:rsidP="009B5528">
      <w:pPr>
        <w:spacing w:line="276" w:lineRule="auto"/>
        <w:jc w:val="right"/>
        <w:rPr>
          <w:rFonts w:ascii="Calibri" w:eastAsia="Times New Roman" w:hAnsi="Calibri" w:cs="Arial"/>
          <w:b/>
          <w:bCs/>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Coordinación Editorial </w:t>
      </w:r>
    </w:p>
    <w:p w14:paraId="3A816B39" w14:textId="77777777" w:rsidR="009B5528" w:rsidRPr="00890DCF" w:rsidRDefault="009B5528" w:rsidP="009B5528">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4A5E3F89" w14:textId="77777777" w:rsidR="009B5528" w:rsidRDefault="009B5528" w:rsidP="009B5528">
      <w:pPr>
        <w:spacing w:line="276" w:lineRule="auto"/>
        <w:jc w:val="right"/>
        <w:rPr>
          <w:rFonts w:ascii="Calibri" w:eastAsia="Times New Roman" w:hAnsi="Calibri" w:cs="Arial"/>
          <w:b/>
          <w:bCs/>
          <w:color w:val="44546A" w:themeColor="text2"/>
          <w:sz w:val="28"/>
          <w:lang w:eastAsia="es-ES_tradnl"/>
        </w:rPr>
      </w:pPr>
    </w:p>
    <w:p w14:paraId="11FB4FFD" w14:textId="1C8C3872" w:rsidR="009B5528" w:rsidRPr="00890DCF" w:rsidRDefault="009B5528" w:rsidP="009B5528">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Diseño y diagramación </w:t>
      </w:r>
    </w:p>
    <w:p w14:paraId="71384E0F" w14:textId="77777777" w:rsidR="009B5528" w:rsidRPr="00890DCF" w:rsidRDefault="009B5528" w:rsidP="009B5528">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18179BA6" w14:textId="77777777" w:rsidR="009B5528" w:rsidRPr="00890DCF" w:rsidRDefault="009B5528" w:rsidP="009B5528">
      <w:pPr>
        <w:spacing w:line="276" w:lineRule="auto"/>
        <w:jc w:val="center"/>
        <w:rPr>
          <w:rFonts w:ascii="Calibri" w:eastAsia="Times New Roman" w:hAnsi="Calibri" w:cs="Arial"/>
          <w:b/>
          <w:bCs/>
          <w:color w:val="222222"/>
          <w:lang w:eastAsia="es-ES_tradnl"/>
        </w:rPr>
      </w:pPr>
    </w:p>
    <w:p w14:paraId="649FE12B" w14:textId="77777777" w:rsidR="009B5528" w:rsidRDefault="009B5528" w:rsidP="009B5528">
      <w:pPr>
        <w:spacing w:line="276" w:lineRule="auto"/>
        <w:jc w:val="right"/>
        <w:rPr>
          <w:rFonts w:ascii="Calibri" w:eastAsia="Times New Roman" w:hAnsi="Calibri" w:cs="Arial"/>
          <w:color w:val="808080" w:themeColor="background1" w:themeShade="80"/>
          <w:sz w:val="28"/>
          <w:lang w:eastAsia="es-ES_tradnl"/>
        </w:rPr>
      </w:pPr>
    </w:p>
    <w:p w14:paraId="3BE0FAC2" w14:textId="77777777" w:rsidR="009B5528" w:rsidRDefault="009B5528" w:rsidP="009B5528">
      <w:pPr>
        <w:spacing w:line="276" w:lineRule="auto"/>
        <w:jc w:val="right"/>
        <w:rPr>
          <w:rFonts w:ascii="Calibri" w:eastAsia="Times New Roman" w:hAnsi="Calibri" w:cs="Arial"/>
          <w:color w:val="808080" w:themeColor="background1" w:themeShade="80"/>
          <w:sz w:val="28"/>
          <w:lang w:eastAsia="es-ES_tradnl"/>
        </w:rPr>
      </w:pPr>
    </w:p>
    <w:p w14:paraId="5CBAEF11" w14:textId="648E22FC" w:rsidR="009B5528" w:rsidRPr="00890DCF" w:rsidRDefault="009B5528" w:rsidP="009B5528">
      <w:pPr>
        <w:spacing w:line="276" w:lineRule="auto"/>
        <w:jc w:val="right"/>
        <w:rPr>
          <w:rFonts w:ascii="Calibri" w:eastAsia="Times New Roman" w:hAnsi="Calibri" w:cs="Arial"/>
          <w:color w:val="808080" w:themeColor="background1" w:themeShade="80"/>
          <w:sz w:val="28"/>
          <w:lang w:eastAsia="es-ES_tradnl"/>
        </w:rPr>
      </w:pPr>
      <w:r w:rsidRPr="00890DCF">
        <w:rPr>
          <w:rFonts w:ascii="Calibri" w:eastAsia="Times New Roman" w:hAnsi="Calibri" w:cs="Arial"/>
          <w:color w:val="808080" w:themeColor="background1" w:themeShade="80"/>
          <w:sz w:val="28"/>
          <w:lang w:eastAsia="es-ES_tradnl"/>
        </w:rPr>
        <w:t>Año de publicación 20</w:t>
      </w:r>
      <w:r>
        <w:rPr>
          <w:rFonts w:ascii="Calibri" w:eastAsia="Times New Roman" w:hAnsi="Calibri" w:cs="Arial"/>
          <w:color w:val="808080" w:themeColor="background1" w:themeShade="80"/>
          <w:sz w:val="28"/>
          <w:lang w:eastAsia="es-ES_tradnl"/>
        </w:rPr>
        <w:t>20</w:t>
      </w:r>
      <w:r w:rsidRPr="00890DCF">
        <w:rPr>
          <w:rFonts w:ascii="Calibri" w:eastAsia="Times New Roman" w:hAnsi="Calibri" w:cs="Arial"/>
          <w:color w:val="808080" w:themeColor="background1" w:themeShade="80"/>
          <w:sz w:val="28"/>
          <w:lang w:eastAsia="es-ES_tradnl"/>
        </w:rPr>
        <w:t xml:space="preserve"> Bogotá D.C.  </w:t>
      </w:r>
    </w:p>
    <w:p w14:paraId="1A18C8F6" w14:textId="77777777" w:rsidR="009B5528" w:rsidRDefault="009B5528" w:rsidP="009B0307">
      <w:pPr>
        <w:pStyle w:val="Ttulo1"/>
        <w:sectPr w:rsidR="009B5528" w:rsidSect="009B5528">
          <w:pgSz w:w="12240" w:h="15840"/>
          <w:pgMar w:top="1440" w:right="1440" w:bottom="1440" w:left="1440" w:header="708" w:footer="708" w:gutter="0"/>
          <w:pgNumType w:start="0"/>
          <w:cols w:space="708"/>
          <w:titlePg/>
          <w:docGrid w:linePitch="360"/>
        </w:sectPr>
      </w:pPr>
    </w:p>
    <w:p w14:paraId="73E9EE9A" w14:textId="1B5EACD3" w:rsidR="001F3255" w:rsidRPr="009B0307" w:rsidRDefault="00F83CB7" w:rsidP="009B0307">
      <w:pPr>
        <w:pStyle w:val="Ttulo1"/>
      </w:pPr>
      <w:r w:rsidRPr="009B0307">
        <w:lastRenderedPageBreak/>
        <w:t>Introducción</w:t>
      </w:r>
    </w:p>
    <w:p w14:paraId="2CAC1027" w14:textId="5FF460E3" w:rsidR="00D23EEC" w:rsidRPr="00DC105E" w:rsidRDefault="00D23EEC" w:rsidP="008D6FF3">
      <w:pPr>
        <w:spacing w:line="360" w:lineRule="auto"/>
        <w:rPr>
          <w:b/>
        </w:rPr>
      </w:pPr>
    </w:p>
    <w:p w14:paraId="5C9BBCBF" w14:textId="1015920E" w:rsidR="0053306C" w:rsidRPr="00DC105E" w:rsidRDefault="00D23EEC" w:rsidP="00C7118B">
      <w:pPr>
        <w:spacing w:line="360" w:lineRule="auto"/>
        <w:jc w:val="both"/>
        <w:rPr>
          <w:rFonts w:ascii="Garamond" w:hAnsi="Garamond"/>
          <w:sz w:val="20"/>
          <w:szCs w:val="20"/>
          <w:lang w:val="es-MX"/>
        </w:rPr>
      </w:pPr>
      <w:r w:rsidRPr="00DC105E">
        <w:rPr>
          <w:rFonts w:ascii="Garamond" w:hAnsi="Garamond"/>
          <w:sz w:val="20"/>
          <w:szCs w:val="20"/>
          <w:lang w:val="es-MX"/>
        </w:rPr>
        <w:t>El presente boletín está dividido en dos bloques, en el primero se presentan las características generales de los hogares de la</w:t>
      </w:r>
      <w:r w:rsidR="00C7118B">
        <w:rPr>
          <w:rFonts w:ascii="Garamond" w:hAnsi="Garamond"/>
          <w:sz w:val="20"/>
          <w:szCs w:val="20"/>
          <w:lang w:val="es-MX"/>
        </w:rPr>
        <w:t>s personas de</w:t>
      </w:r>
      <w:r w:rsidR="00FC600B">
        <w:rPr>
          <w:rFonts w:ascii="Garamond" w:hAnsi="Garamond"/>
          <w:sz w:val="20"/>
          <w:szCs w:val="20"/>
          <w:lang w:val="es-MX"/>
        </w:rPr>
        <w:t xml:space="preserve"> los</w:t>
      </w:r>
      <w:r w:rsidR="00C7118B">
        <w:rPr>
          <w:rFonts w:ascii="Garamond" w:hAnsi="Garamond"/>
          <w:sz w:val="20"/>
          <w:szCs w:val="20"/>
          <w:lang w:val="es-MX"/>
        </w:rPr>
        <w:t xml:space="preserve"> sector</w:t>
      </w:r>
      <w:r w:rsidR="00FC600B">
        <w:rPr>
          <w:rFonts w:ascii="Garamond" w:hAnsi="Garamond"/>
          <w:sz w:val="20"/>
          <w:szCs w:val="20"/>
          <w:lang w:val="es-MX"/>
        </w:rPr>
        <w:t>es</w:t>
      </w:r>
      <w:r w:rsidRPr="00DC105E">
        <w:rPr>
          <w:rFonts w:ascii="Garamond" w:hAnsi="Garamond"/>
          <w:sz w:val="20"/>
          <w:szCs w:val="20"/>
          <w:lang w:val="es-MX"/>
        </w:rPr>
        <w:t xml:space="preserve"> LGBTI en Bogotá</w:t>
      </w:r>
      <w:r w:rsidR="0001290F">
        <w:rPr>
          <w:rFonts w:ascii="Garamond" w:hAnsi="Garamond"/>
          <w:sz w:val="20"/>
          <w:szCs w:val="20"/>
          <w:lang w:val="es-MX"/>
        </w:rPr>
        <w:t>: distribución por localidad y por estrato, distribución según la tipología familiar</w:t>
      </w:r>
      <w:r w:rsidR="00C7118B">
        <w:rPr>
          <w:rStyle w:val="Refdenotaalpie"/>
          <w:rFonts w:ascii="Garamond" w:hAnsi="Garamond"/>
          <w:sz w:val="20"/>
          <w:szCs w:val="20"/>
          <w:lang w:val="es-MX"/>
        </w:rPr>
        <w:footnoteReference w:id="1"/>
      </w:r>
      <w:r w:rsidR="0001290F">
        <w:rPr>
          <w:rFonts w:ascii="Garamond" w:hAnsi="Garamond"/>
          <w:sz w:val="20"/>
          <w:szCs w:val="20"/>
          <w:lang w:val="es-MX"/>
        </w:rPr>
        <w:t>, ingresos per cápita dentro del hogar, entre otros</w:t>
      </w:r>
      <w:r w:rsidRPr="00DC105E">
        <w:rPr>
          <w:rFonts w:ascii="Garamond" w:hAnsi="Garamond"/>
          <w:sz w:val="20"/>
          <w:szCs w:val="20"/>
          <w:lang w:val="es-MX"/>
        </w:rPr>
        <w:t xml:space="preserve">. Por su parte, </w:t>
      </w:r>
      <w:r w:rsidR="004820E3">
        <w:rPr>
          <w:rFonts w:ascii="Garamond" w:hAnsi="Garamond"/>
          <w:sz w:val="20"/>
          <w:szCs w:val="20"/>
          <w:lang w:val="es-MX"/>
        </w:rPr>
        <w:t xml:space="preserve">en </w:t>
      </w:r>
      <w:r w:rsidRPr="00DC105E">
        <w:rPr>
          <w:rFonts w:ascii="Garamond" w:hAnsi="Garamond"/>
          <w:sz w:val="20"/>
          <w:szCs w:val="20"/>
          <w:lang w:val="es-MX"/>
        </w:rPr>
        <w:t xml:space="preserve">el segundo bloque </w:t>
      </w:r>
      <w:r w:rsidR="0053306C" w:rsidRPr="00DC105E">
        <w:rPr>
          <w:rFonts w:ascii="Garamond" w:hAnsi="Garamond"/>
          <w:sz w:val="20"/>
          <w:szCs w:val="20"/>
          <w:lang w:val="es-MX"/>
        </w:rPr>
        <w:t>se abordan temas específicos sobre las condiciones de las personas LGBTI en la ciudad; específicamente se analiza</w:t>
      </w:r>
      <w:r w:rsidR="007F768C">
        <w:rPr>
          <w:rFonts w:ascii="Garamond" w:hAnsi="Garamond"/>
          <w:sz w:val="20"/>
          <w:szCs w:val="20"/>
          <w:lang w:val="es-MX"/>
        </w:rPr>
        <w:t>n</w:t>
      </w:r>
      <w:r w:rsidR="0053306C" w:rsidRPr="00DC105E">
        <w:rPr>
          <w:rFonts w:ascii="Garamond" w:hAnsi="Garamond"/>
          <w:sz w:val="20"/>
          <w:szCs w:val="20"/>
          <w:lang w:val="es-MX"/>
        </w:rPr>
        <w:t xml:space="preserve"> las condiciones de afiliación al sistema de salud, </w:t>
      </w:r>
      <w:r w:rsidR="00061F31" w:rsidRPr="00DC105E">
        <w:rPr>
          <w:rFonts w:ascii="Garamond" w:hAnsi="Garamond"/>
          <w:sz w:val="20"/>
          <w:szCs w:val="20"/>
          <w:lang w:val="es-MX"/>
        </w:rPr>
        <w:t>la incidencia de limitaciones permanentes y el nivel educativo. En este segundo bloque no sólo se presenta el agregado respecto a la</w:t>
      </w:r>
      <w:r w:rsidR="00C7118B">
        <w:rPr>
          <w:rFonts w:ascii="Garamond" w:hAnsi="Garamond"/>
          <w:sz w:val="20"/>
          <w:szCs w:val="20"/>
          <w:lang w:val="es-MX"/>
        </w:rPr>
        <w:t>s personas</w:t>
      </w:r>
      <w:r w:rsidR="00ED4E46">
        <w:rPr>
          <w:rFonts w:ascii="Garamond" w:hAnsi="Garamond"/>
          <w:sz w:val="20"/>
          <w:szCs w:val="20"/>
          <w:lang w:val="es-MX"/>
        </w:rPr>
        <w:t xml:space="preserve"> de los sectores</w:t>
      </w:r>
      <w:r w:rsidR="00C7118B">
        <w:rPr>
          <w:rFonts w:ascii="Garamond" w:hAnsi="Garamond"/>
          <w:sz w:val="20"/>
          <w:szCs w:val="20"/>
          <w:lang w:val="es-MX"/>
        </w:rPr>
        <w:t xml:space="preserve"> </w:t>
      </w:r>
      <w:r w:rsidR="00061F31" w:rsidRPr="00DC105E">
        <w:rPr>
          <w:rFonts w:ascii="Garamond" w:hAnsi="Garamond"/>
          <w:sz w:val="20"/>
          <w:szCs w:val="20"/>
          <w:lang w:val="es-MX"/>
        </w:rPr>
        <w:t>LGBTI, adicionalmente se analiza la distribución dentro del grupo.</w:t>
      </w:r>
      <w:r w:rsidR="00C7118B">
        <w:rPr>
          <w:rFonts w:ascii="Garamond" w:hAnsi="Garamond"/>
          <w:sz w:val="20"/>
          <w:szCs w:val="20"/>
          <w:lang w:val="es-MX"/>
        </w:rPr>
        <w:t xml:space="preserve"> En otras palabras, se presentará información que compara la situación al interior de</w:t>
      </w:r>
      <w:r w:rsidR="00FC600B">
        <w:rPr>
          <w:rFonts w:ascii="Garamond" w:hAnsi="Garamond"/>
          <w:sz w:val="20"/>
          <w:szCs w:val="20"/>
          <w:lang w:val="es-MX"/>
        </w:rPr>
        <w:t xml:space="preserve"> los </w:t>
      </w:r>
      <w:r w:rsidR="00C7118B">
        <w:rPr>
          <w:rFonts w:ascii="Garamond" w:hAnsi="Garamond"/>
          <w:sz w:val="20"/>
          <w:szCs w:val="20"/>
          <w:lang w:val="es-MX"/>
        </w:rPr>
        <w:t>sector</w:t>
      </w:r>
      <w:r w:rsidR="00FC600B">
        <w:rPr>
          <w:rFonts w:ascii="Garamond" w:hAnsi="Garamond"/>
          <w:sz w:val="20"/>
          <w:szCs w:val="20"/>
          <w:lang w:val="es-MX"/>
        </w:rPr>
        <w:t>es</w:t>
      </w:r>
      <w:r w:rsidR="00C7118B">
        <w:rPr>
          <w:rFonts w:ascii="Garamond" w:hAnsi="Garamond"/>
          <w:sz w:val="20"/>
          <w:szCs w:val="20"/>
          <w:lang w:val="es-MX"/>
        </w:rPr>
        <w:t>.</w:t>
      </w:r>
    </w:p>
    <w:p w14:paraId="579E6B51" w14:textId="6891E947" w:rsidR="00061F31" w:rsidRPr="00DC105E" w:rsidRDefault="00061F31" w:rsidP="00C7118B">
      <w:pPr>
        <w:spacing w:line="360" w:lineRule="auto"/>
        <w:jc w:val="both"/>
        <w:rPr>
          <w:rFonts w:ascii="Garamond" w:hAnsi="Garamond"/>
          <w:sz w:val="20"/>
          <w:szCs w:val="20"/>
          <w:lang w:val="es-MX"/>
        </w:rPr>
      </w:pPr>
    </w:p>
    <w:p w14:paraId="28EAA26E" w14:textId="69F3D515" w:rsidR="00BE0454" w:rsidRPr="00DC105E" w:rsidRDefault="00C06755" w:rsidP="00647BB8">
      <w:pPr>
        <w:spacing w:line="360" w:lineRule="auto"/>
        <w:jc w:val="both"/>
        <w:rPr>
          <w:rFonts w:ascii="Garamond" w:hAnsi="Garamond"/>
          <w:sz w:val="20"/>
          <w:szCs w:val="20"/>
          <w:lang w:val="es-MX"/>
        </w:rPr>
      </w:pPr>
      <w:r w:rsidRPr="00DC105E">
        <w:rPr>
          <w:rFonts w:ascii="Garamond" w:hAnsi="Garamond"/>
          <w:sz w:val="20"/>
          <w:szCs w:val="20"/>
          <w:lang w:val="es-MX"/>
        </w:rPr>
        <w:t>Los resultados de este boletín se basan en la Encuesta Multipropósito</w:t>
      </w:r>
      <w:r w:rsidR="00995F47">
        <w:rPr>
          <w:rFonts w:ascii="Garamond" w:hAnsi="Garamond"/>
          <w:sz w:val="20"/>
          <w:szCs w:val="20"/>
          <w:lang w:val="es-MX"/>
        </w:rPr>
        <w:t>- EM</w:t>
      </w:r>
      <w:r w:rsidR="00BE0454" w:rsidRPr="00DC105E">
        <w:rPr>
          <w:rFonts w:ascii="Garamond" w:hAnsi="Garamond"/>
          <w:sz w:val="20"/>
          <w:szCs w:val="20"/>
          <w:lang w:val="es-MX"/>
        </w:rPr>
        <w:t xml:space="preserve"> 2017</w:t>
      </w:r>
      <w:r w:rsidR="00FC600B">
        <w:rPr>
          <w:rFonts w:ascii="Garamond" w:hAnsi="Garamond"/>
          <w:sz w:val="20"/>
          <w:szCs w:val="20"/>
          <w:lang w:val="es-MX"/>
        </w:rPr>
        <w:t xml:space="preserve"> para los hogares de Bogotá</w:t>
      </w:r>
      <w:r w:rsidR="00BE0454" w:rsidRPr="00DC105E">
        <w:rPr>
          <w:rFonts w:ascii="Garamond" w:hAnsi="Garamond"/>
          <w:sz w:val="20"/>
          <w:szCs w:val="20"/>
          <w:lang w:val="es-MX"/>
        </w:rPr>
        <w:t xml:space="preserve">, la cual es resultado de la articulación entre </w:t>
      </w:r>
      <w:r w:rsidR="00BE0454" w:rsidRPr="00DC105E">
        <w:rPr>
          <w:rFonts w:ascii="Garamond" w:hAnsi="Garamond"/>
          <w:sz w:val="20"/>
          <w:szCs w:val="20"/>
        </w:rPr>
        <w:t xml:space="preserve">la Secretaría Distrital de Planeación de la Alcaldía Mayor de Bogotá, el Departamento Administrativo Nacional de Estadística (DANE) y la Gobernación de Cundinamarca. En Bogotá </w:t>
      </w:r>
      <w:r w:rsidR="00BE0454" w:rsidRPr="00DC105E">
        <w:rPr>
          <w:rFonts w:ascii="Garamond" w:hAnsi="Garamond"/>
          <w:sz w:val="20"/>
          <w:szCs w:val="20"/>
          <w:lang w:val="es-MX"/>
        </w:rPr>
        <w:t>se desagregó hasta el nivel de UPZ; Se encuestaron 77 mil hogares que representan aproximadamente 222 mil personas.</w:t>
      </w:r>
    </w:p>
    <w:p w14:paraId="3D35D190" w14:textId="70DEE119" w:rsidR="00D23EEC" w:rsidRPr="00DC105E" w:rsidRDefault="00BE0454" w:rsidP="00647BB8">
      <w:pPr>
        <w:spacing w:line="360" w:lineRule="auto"/>
        <w:jc w:val="both"/>
        <w:rPr>
          <w:rFonts w:ascii="Garamond" w:hAnsi="Garamond"/>
          <w:sz w:val="20"/>
          <w:szCs w:val="20"/>
          <w:lang w:val="es-MX"/>
        </w:rPr>
      </w:pPr>
      <w:r w:rsidRPr="00DC105E">
        <w:rPr>
          <w:rFonts w:ascii="Garamond" w:hAnsi="Garamond"/>
          <w:sz w:val="20"/>
          <w:szCs w:val="20"/>
          <w:lang w:val="es-MX"/>
        </w:rPr>
        <w:t xml:space="preserve"> </w:t>
      </w:r>
    </w:p>
    <w:p w14:paraId="250617C6" w14:textId="154F8FBB" w:rsidR="00F83CB7" w:rsidRPr="009B0307" w:rsidRDefault="00F83CB7" w:rsidP="00647BB8">
      <w:pPr>
        <w:pStyle w:val="Ttulo1"/>
        <w:spacing w:line="360" w:lineRule="auto"/>
      </w:pPr>
      <w:r w:rsidRPr="009B0307">
        <w:t>Antecedentes</w:t>
      </w:r>
    </w:p>
    <w:p w14:paraId="260B6A2D" w14:textId="062730AE" w:rsidR="00C7118B" w:rsidRPr="00647BB8" w:rsidRDefault="00EF4031" w:rsidP="00647BB8">
      <w:pPr>
        <w:spacing w:line="360" w:lineRule="auto"/>
        <w:jc w:val="both"/>
        <w:rPr>
          <w:rFonts w:ascii="Garamond" w:hAnsi="Garamond"/>
          <w:sz w:val="20"/>
          <w:szCs w:val="20"/>
          <w:lang w:val="es-MX"/>
        </w:rPr>
      </w:pPr>
      <w:r>
        <w:rPr>
          <w:rFonts w:ascii="Garamond" w:hAnsi="Garamond"/>
          <w:sz w:val="20"/>
          <w:szCs w:val="20"/>
          <w:lang w:val="es-MX"/>
        </w:rPr>
        <w:t>La p</w:t>
      </w:r>
      <w:r w:rsidRPr="00EF4031">
        <w:rPr>
          <w:rFonts w:ascii="Garamond" w:hAnsi="Garamond"/>
          <w:sz w:val="20"/>
          <w:szCs w:val="20"/>
          <w:lang w:val="es-MX"/>
        </w:rPr>
        <w:t>olítica pública para la garantía plena de los derechos de las personas de los sectores sociales LGBTI</w:t>
      </w:r>
      <w:r w:rsidR="00C7118B" w:rsidRPr="00647BB8">
        <w:rPr>
          <w:rFonts w:ascii="Garamond" w:hAnsi="Garamond"/>
          <w:sz w:val="20"/>
          <w:szCs w:val="20"/>
          <w:lang w:val="es-MX"/>
        </w:rPr>
        <w:t xml:space="preserve">, tiene </w:t>
      </w:r>
      <w:r w:rsidR="00C7118B" w:rsidRPr="00647BB8">
        <w:rPr>
          <w:rFonts w:ascii="Garamond" w:hAnsi="Garamond"/>
          <w:sz w:val="20"/>
          <w:szCs w:val="20"/>
          <w:lang w:val="es-MX"/>
        </w:rPr>
        <w:t xml:space="preserve">como objetivo general garantizar los derechos de las personas de </w:t>
      </w:r>
      <w:r w:rsidR="00FC600B">
        <w:rPr>
          <w:rFonts w:ascii="Garamond" w:hAnsi="Garamond"/>
          <w:sz w:val="20"/>
          <w:szCs w:val="20"/>
          <w:lang w:val="es-MX"/>
        </w:rPr>
        <w:t>esto</w:t>
      </w:r>
      <w:r w:rsidR="00C7118B" w:rsidRPr="00647BB8">
        <w:rPr>
          <w:rFonts w:ascii="Garamond" w:hAnsi="Garamond"/>
          <w:sz w:val="20"/>
          <w:szCs w:val="20"/>
          <w:lang w:val="es-MX"/>
        </w:rPr>
        <w:t xml:space="preserve">s sectores </w:t>
      </w:r>
      <w:r w:rsidR="00FC600B">
        <w:rPr>
          <w:rFonts w:ascii="Garamond" w:hAnsi="Garamond"/>
          <w:sz w:val="20"/>
          <w:szCs w:val="20"/>
          <w:lang w:val="es-MX"/>
        </w:rPr>
        <w:t xml:space="preserve">sociales </w:t>
      </w:r>
      <w:r w:rsidR="00C7118B" w:rsidRPr="00647BB8">
        <w:rPr>
          <w:rFonts w:ascii="Garamond" w:hAnsi="Garamond"/>
          <w:sz w:val="20"/>
          <w:szCs w:val="20"/>
          <w:lang w:val="es-MX"/>
        </w:rPr>
        <w:t>en Bogotá, integra en su estructura el proceso estratégico “Producción y aplicación de conocimientos y saberes”, a través del cual se generan conocimientos y saberes que soportan y retroalimentan la implementación, seguimiento y evaluación de la política pública y el componente</w:t>
      </w:r>
      <w:r w:rsidR="00C7118B">
        <w:rPr>
          <w:rFonts w:ascii="Garamond" w:hAnsi="Garamond"/>
          <w:sz w:val="20"/>
          <w:szCs w:val="20"/>
          <w:lang w:val="es-MX"/>
        </w:rPr>
        <w:t xml:space="preserve">: </w:t>
      </w:r>
      <w:r w:rsidR="00C7118B" w:rsidRPr="00647BB8">
        <w:rPr>
          <w:rFonts w:ascii="Garamond" w:hAnsi="Garamond"/>
          <w:sz w:val="20"/>
          <w:szCs w:val="20"/>
          <w:lang w:val="es-MX"/>
        </w:rPr>
        <w:t xml:space="preserve">Investigación y monitoreo sistemático de la situación de derechos humanos de </w:t>
      </w:r>
      <w:r w:rsidR="00FC600B">
        <w:rPr>
          <w:rFonts w:ascii="Garamond" w:hAnsi="Garamond"/>
          <w:sz w:val="20"/>
          <w:szCs w:val="20"/>
          <w:lang w:val="es-MX"/>
        </w:rPr>
        <w:t>las personas</w:t>
      </w:r>
      <w:r w:rsidR="00C7118B" w:rsidRPr="00647BB8">
        <w:rPr>
          <w:rFonts w:ascii="Garamond" w:hAnsi="Garamond"/>
          <w:sz w:val="20"/>
          <w:szCs w:val="20"/>
          <w:lang w:val="es-MX"/>
        </w:rPr>
        <w:t xml:space="preserve"> LGBTI.</w:t>
      </w:r>
      <w:r w:rsidR="00ED4E46">
        <w:rPr>
          <w:rFonts w:ascii="Garamond" w:hAnsi="Garamond"/>
          <w:sz w:val="20"/>
          <w:szCs w:val="20"/>
          <w:lang w:val="es-MX"/>
        </w:rPr>
        <w:t xml:space="preserve"> </w:t>
      </w:r>
      <w:r w:rsidR="00C7118B" w:rsidRPr="00647BB8">
        <w:rPr>
          <w:rFonts w:ascii="Garamond" w:hAnsi="Garamond"/>
          <w:sz w:val="20"/>
          <w:szCs w:val="20"/>
          <w:lang w:val="es-MX"/>
        </w:rPr>
        <w:t xml:space="preserve">Este componente se refiere a la observación permanente y sistemática de la situación de derechos humanos de las personas de los sectores LGBTI en la ciudad y la comprensión de las violencias relacionadas con la identidad de género y la orientación sexual. </w:t>
      </w:r>
    </w:p>
    <w:p w14:paraId="798098AB" w14:textId="77777777" w:rsidR="00C7118B" w:rsidRPr="00647BB8" w:rsidRDefault="00C7118B" w:rsidP="005658C4">
      <w:pPr>
        <w:rPr>
          <w:rFonts w:ascii="Garamond" w:hAnsi="Garamond"/>
          <w:sz w:val="20"/>
          <w:szCs w:val="20"/>
          <w:lang w:val="es-MX"/>
        </w:rPr>
      </w:pPr>
    </w:p>
    <w:p w14:paraId="64E13A5F" w14:textId="25CAFF17" w:rsidR="00150CA7" w:rsidRPr="00647BB8" w:rsidRDefault="00C7118B" w:rsidP="008D6FF3">
      <w:pPr>
        <w:spacing w:line="360" w:lineRule="auto"/>
        <w:jc w:val="both"/>
        <w:rPr>
          <w:rFonts w:ascii="Garamond" w:hAnsi="Garamond"/>
          <w:sz w:val="20"/>
          <w:szCs w:val="20"/>
          <w:lang w:val="es-MX"/>
        </w:rPr>
      </w:pPr>
      <w:r>
        <w:rPr>
          <w:rFonts w:ascii="Garamond" w:hAnsi="Garamond"/>
          <w:sz w:val="20"/>
          <w:szCs w:val="20"/>
          <w:lang w:val="es-MX"/>
        </w:rPr>
        <w:t xml:space="preserve">En este mismo sentido, la </w:t>
      </w:r>
      <w:r w:rsidR="00ED4E46">
        <w:rPr>
          <w:rFonts w:ascii="Garamond" w:hAnsi="Garamond"/>
          <w:sz w:val="20"/>
          <w:szCs w:val="20"/>
          <w:lang w:val="es-MX"/>
        </w:rPr>
        <w:t>Política Pública LGBTI</w:t>
      </w:r>
      <w:r w:rsidR="00150CA7" w:rsidRPr="00DC105E">
        <w:rPr>
          <w:rFonts w:ascii="Garamond" w:hAnsi="Garamond"/>
          <w:sz w:val="20"/>
          <w:szCs w:val="20"/>
          <w:lang w:val="es-MX"/>
        </w:rPr>
        <w:t xml:space="preserve"> </w:t>
      </w:r>
      <w:r w:rsidR="005658C4" w:rsidRPr="00DC105E">
        <w:rPr>
          <w:rFonts w:ascii="Garamond" w:hAnsi="Garamond"/>
          <w:sz w:val="20"/>
          <w:szCs w:val="20"/>
          <w:lang w:val="es-MX"/>
        </w:rPr>
        <w:t xml:space="preserve">se constituye como el marco de acción institucional, político y social </w:t>
      </w:r>
      <w:r w:rsidR="00995F47">
        <w:rPr>
          <w:rFonts w:ascii="Garamond" w:hAnsi="Garamond"/>
          <w:sz w:val="20"/>
          <w:szCs w:val="20"/>
          <w:lang w:val="es-MX"/>
        </w:rPr>
        <w:t xml:space="preserve">que </w:t>
      </w:r>
      <w:r w:rsidR="005658C4" w:rsidRPr="00DC105E">
        <w:rPr>
          <w:rFonts w:ascii="Garamond" w:hAnsi="Garamond"/>
          <w:sz w:val="20"/>
          <w:szCs w:val="20"/>
          <w:lang w:val="es-MX"/>
        </w:rPr>
        <w:t xml:space="preserve">busca contribuir a disminuir la discriminación, segregación y modificar los imaginarios sociales </w:t>
      </w:r>
      <w:r w:rsidR="00ED4E46">
        <w:rPr>
          <w:rFonts w:ascii="Garamond" w:hAnsi="Garamond"/>
          <w:sz w:val="20"/>
          <w:szCs w:val="20"/>
          <w:lang w:val="es-MX"/>
        </w:rPr>
        <w:t xml:space="preserve">que tiene la ciudadanía en general </w:t>
      </w:r>
      <w:r>
        <w:rPr>
          <w:rFonts w:ascii="Garamond" w:hAnsi="Garamond"/>
          <w:sz w:val="20"/>
          <w:szCs w:val="20"/>
          <w:lang w:val="es-MX"/>
        </w:rPr>
        <w:t>sobre</w:t>
      </w:r>
      <w:r w:rsidRPr="00DC105E">
        <w:rPr>
          <w:rFonts w:ascii="Garamond" w:hAnsi="Garamond"/>
          <w:sz w:val="20"/>
          <w:szCs w:val="20"/>
          <w:lang w:val="es-MX"/>
        </w:rPr>
        <w:t xml:space="preserve"> </w:t>
      </w:r>
      <w:r w:rsidR="005658C4" w:rsidRPr="00DC105E">
        <w:rPr>
          <w:rFonts w:ascii="Garamond" w:hAnsi="Garamond"/>
          <w:sz w:val="20"/>
          <w:szCs w:val="20"/>
          <w:lang w:val="es-MX"/>
        </w:rPr>
        <w:t>la</w:t>
      </w:r>
      <w:r>
        <w:rPr>
          <w:rFonts w:ascii="Garamond" w:hAnsi="Garamond"/>
          <w:sz w:val="20"/>
          <w:szCs w:val="20"/>
          <w:lang w:val="es-MX"/>
        </w:rPr>
        <w:t xml:space="preserve">s personas </w:t>
      </w:r>
      <w:r w:rsidR="00ED4E46">
        <w:rPr>
          <w:rFonts w:ascii="Garamond" w:hAnsi="Garamond"/>
          <w:sz w:val="20"/>
          <w:szCs w:val="20"/>
          <w:lang w:val="es-MX"/>
        </w:rPr>
        <w:t xml:space="preserve">de los sectores </w:t>
      </w:r>
      <w:r w:rsidR="005658C4" w:rsidRPr="00DC105E">
        <w:rPr>
          <w:rFonts w:ascii="Garamond" w:hAnsi="Garamond"/>
          <w:sz w:val="20"/>
          <w:szCs w:val="20"/>
          <w:lang w:val="es-MX"/>
        </w:rPr>
        <w:t xml:space="preserve">LGBTI en Bogotá, con base en el reconocimiento, </w:t>
      </w:r>
      <w:r w:rsidR="00EF4031">
        <w:rPr>
          <w:rFonts w:ascii="Garamond" w:hAnsi="Garamond"/>
          <w:sz w:val="20"/>
          <w:szCs w:val="20"/>
          <w:lang w:val="es-MX"/>
        </w:rPr>
        <w:t>reestablecimiento</w:t>
      </w:r>
      <w:r w:rsidR="005658C4" w:rsidRPr="00DC105E">
        <w:rPr>
          <w:rFonts w:ascii="Garamond" w:hAnsi="Garamond"/>
          <w:sz w:val="20"/>
          <w:szCs w:val="20"/>
          <w:lang w:val="es-MX"/>
        </w:rPr>
        <w:t xml:space="preserve"> y garantía de sus derechos. </w:t>
      </w:r>
    </w:p>
    <w:p w14:paraId="26B33F02" w14:textId="69C0EE90" w:rsidR="00150CA7" w:rsidRPr="00647BB8" w:rsidRDefault="00150CA7" w:rsidP="008D6FF3">
      <w:pPr>
        <w:spacing w:line="360" w:lineRule="auto"/>
        <w:jc w:val="both"/>
        <w:rPr>
          <w:rFonts w:ascii="Garamond" w:hAnsi="Garamond"/>
          <w:sz w:val="20"/>
          <w:szCs w:val="20"/>
          <w:lang w:val="es-MX"/>
        </w:rPr>
      </w:pPr>
    </w:p>
    <w:p w14:paraId="29F1299A" w14:textId="5480D24F" w:rsidR="00150CA7" w:rsidRPr="003269AC" w:rsidRDefault="00112536" w:rsidP="00112536">
      <w:pPr>
        <w:spacing w:line="360" w:lineRule="auto"/>
        <w:jc w:val="both"/>
        <w:rPr>
          <w:rFonts w:ascii="Garamond" w:hAnsi="Garamond"/>
          <w:sz w:val="20"/>
          <w:szCs w:val="20"/>
          <w:lang w:val="es-MX"/>
        </w:rPr>
      </w:pPr>
      <w:r w:rsidRPr="003269AC">
        <w:rPr>
          <w:rFonts w:ascii="Garamond" w:hAnsi="Garamond"/>
          <w:sz w:val="20"/>
          <w:szCs w:val="20"/>
          <w:lang w:val="es-MX"/>
        </w:rPr>
        <w:t xml:space="preserve">Uno de los procesos estratégicos de la política es la </w:t>
      </w:r>
      <w:r w:rsidR="00150CA7" w:rsidRPr="003269AC">
        <w:rPr>
          <w:rFonts w:ascii="Garamond" w:hAnsi="Garamond"/>
          <w:sz w:val="20"/>
          <w:szCs w:val="20"/>
          <w:lang w:val="es-MX"/>
        </w:rPr>
        <w:t>“Producción y aplicación de conocimientos y saberes”</w:t>
      </w:r>
      <w:r w:rsidRPr="003269AC">
        <w:rPr>
          <w:rFonts w:ascii="Garamond" w:hAnsi="Garamond"/>
          <w:sz w:val="20"/>
          <w:szCs w:val="20"/>
          <w:lang w:val="es-MX"/>
        </w:rPr>
        <w:t>, con la función de retroalimentar la política. Uno de los componentes es la investigación de los derechos de los sectores</w:t>
      </w:r>
      <w:r w:rsidR="00150CA7" w:rsidRPr="003269AC">
        <w:rPr>
          <w:rFonts w:ascii="Garamond" w:hAnsi="Garamond"/>
          <w:sz w:val="20"/>
          <w:szCs w:val="20"/>
          <w:lang w:val="es-MX"/>
        </w:rPr>
        <w:t xml:space="preserve"> LGBTI. </w:t>
      </w:r>
      <w:r w:rsidRPr="003269AC">
        <w:rPr>
          <w:rFonts w:ascii="Garamond" w:hAnsi="Garamond"/>
          <w:sz w:val="20"/>
          <w:szCs w:val="20"/>
          <w:lang w:val="es-MX"/>
        </w:rPr>
        <w:t xml:space="preserve">El presente boletín se enmarca en tal proceso y específicamente </w:t>
      </w:r>
      <w:r w:rsidR="004820E3">
        <w:rPr>
          <w:rFonts w:ascii="Garamond" w:hAnsi="Garamond"/>
          <w:sz w:val="20"/>
          <w:szCs w:val="20"/>
          <w:lang w:val="es-MX"/>
        </w:rPr>
        <w:t>en el componente nombrado anteriormente</w:t>
      </w:r>
      <w:r w:rsidRPr="003269AC">
        <w:rPr>
          <w:rFonts w:ascii="Garamond" w:hAnsi="Garamond"/>
          <w:sz w:val="20"/>
          <w:szCs w:val="20"/>
          <w:lang w:val="es-MX"/>
        </w:rPr>
        <w:t xml:space="preserve">. </w:t>
      </w:r>
    </w:p>
    <w:p w14:paraId="265CD0B7" w14:textId="77777777" w:rsidR="00995F47" w:rsidRDefault="00995F47" w:rsidP="00112536">
      <w:pPr>
        <w:spacing w:line="360" w:lineRule="auto"/>
        <w:jc w:val="both"/>
        <w:rPr>
          <w:rFonts w:ascii="Garamond" w:hAnsi="Garamond"/>
          <w:sz w:val="20"/>
          <w:szCs w:val="20"/>
          <w:lang w:val="es-MX"/>
        </w:rPr>
      </w:pPr>
    </w:p>
    <w:p w14:paraId="754400E6" w14:textId="448AA3C5" w:rsidR="0088355E" w:rsidRDefault="00112536" w:rsidP="00112536">
      <w:pPr>
        <w:spacing w:line="360" w:lineRule="auto"/>
        <w:jc w:val="both"/>
        <w:rPr>
          <w:rFonts w:ascii="Garamond" w:hAnsi="Garamond"/>
          <w:sz w:val="20"/>
          <w:szCs w:val="20"/>
          <w:lang w:val="es-MX"/>
        </w:rPr>
      </w:pPr>
      <w:r w:rsidRPr="003269AC">
        <w:rPr>
          <w:rFonts w:ascii="Garamond" w:hAnsi="Garamond"/>
          <w:sz w:val="20"/>
          <w:szCs w:val="20"/>
          <w:lang w:val="es-MX"/>
        </w:rPr>
        <w:t>Ahora bien, la po</w:t>
      </w:r>
      <w:r w:rsidR="00995F47">
        <w:rPr>
          <w:rFonts w:ascii="Garamond" w:hAnsi="Garamond"/>
          <w:sz w:val="20"/>
          <w:szCs w:val="20"/>
          <w:lang w:val="es-MX"/>
        </w:rPr>
        <w:t>l</w:t>
      </w:r>
      <w:r w:rsidRPr="003269AC">
        <w:rPr>
          <w:rFonts w:ascii="Garamond" w:hAnsi="Garamond"/>
          <w:sz w:val="20"/>
          <w:szCs w:val="20"/>
          <w:lang w:val="es-MX"/>
        </w:rPr>
        <w:t xml:space="preserve">ítica </w:t>
      </w:r>
      <w:r w:rsidR="00ED4E46">
        <w:rPr>
          <w:rFonts w:ascii="Garamond" w:hAnsi="Garamond"/>
          <w:sz w:val="20"/>
          <w:szCs w:val="20"/>
          <w:lang w:val="es-MX"/>
        </w:rPr>
        <w:t>se basa en el</w:t>
      </w:r>
      <w:r w:rsidRPr="003269AC">
        <w:rPr>
          <w:rFonts w:ascii="Garamond" w:hAnsi="Garamond"/>
          <w:sz w:val="20"/>
          <w:szCs w:val="20"/>
          <w:lang w:val="es-MX"/>
        </w:rPr>
        <w:t xml:space="preserve"> enfoque </w:t>
      </w:r>
      <w:r w:rsidR="00ED4E46">
        <w:rPr>
          <w:rFonts w:ascii="Garamond" w:hAnsi="Garamond"/>
          <w:sz w:val="20"/>
          <w:szCs w:val="20"/>
          <w:lang w:val="es-MX"/>
        </w:rPr>
        <w:t>diferencial,</w:t>
      </w:r>
      <w:r w:rsidR="00B403B1" w:rsidRPr="003269AC">
        <w:rPr>
          <w:rFonts w:ascii="Garamond" w:hAnsi="Garamond"/>
          <w:sz w:val="20"/>
          <w:szCs w:val="20"/>
          <w:lang w:val="es-MX"/>
        </w:rPr>
        <w:t xml:space="preserve"> el cual reconoce la </w:t>
      </w:r>
      <w:r w:rsidR="0088355E" w:rsidRPr="003269AC">
        <w:rPr>
          <w:rFonts w:ascii="Garamond" w:hAnsi="Garamond"/>
          <w:sz w:val="20"/>
          <w:szCs w:val="20"/>
          <w:lang w:val="es-MX"/>
        </w:rPr>
        <w:t>diversidad de los seres humanos</w:t>
      </w:r>
      <w:r w:rsidR="00B403B1" w:rsidRPr="003269AC">
        <w:rPr>
          <w:rFonts w:ascii="Garamond" w:hAnsi="Garamond"/>
          <w:sz w:val="20"/>
          <w:szCs w:val="20"/>
          <w:lang w:val="es-MX"/>
        </w:rPr>
        <w:t xml:space="preserve">, de sus experiencias </w:t>
      </w:r>
      <w:r w:rsidR="00EF4031">
        <w:rPr>
          <w:rFonts w:ascii="Garamond" w:hAnsi="Garamond"/>
          <w:sz w:val="20"/>
          <w:szCs w:val="20"/>
          <w:lang w:val="es-MX"/>
        </w:rPr>
        <w:t xml:space="preserve">tanto </w:t>
      </w:r>
      <w:r w:rsidR="00B403B1" w:rsidRPr="003269AC">
        <w:rPr>
          <w:rFonts w:ascii="Garamond" w:hAnsi="Garamond"/>
          <w:sz w:val="20"/>
          <w:szCs w:val="20"/>
          <w:lang w:val="es-MX"/>
        </w:rPr>
        <w:t xml:space="preserve">individuales </w:t>
      </w:r>
      <w:r w:rsidR="00EF4031">
        <w:rPr>
          <w:rFonts w:ascii="Garamond" w:hAnsi="Garamond"/>
          <w:sz w:val="20"/>
          <w:szCs w:val="20"/>
          <w:lang w:val="es-MX"/>
        </w:rPr>
        <w:t>como</w:t>
      </w:r>
      <w:r w:rsidR="00B403B1" w:rsidRPr="003269AC">
        <w:rPr>
          <w:rFonts w:ascii="Garamond" w:hAnsi="Garamond"/>
          <w:sz w:val="20"/>
          <w:szCs w:val="20"/>
          <w:lang w:val="es-MX"/>
        </w:rPr>
        <w:t xml:space="preserve"> sociales </w:t>
      </w:r>
      <w:r w:rsidR="00ED4E46">
        <w:rPr>
          <w:rFonts w:ascii="Garamond" w:hAnsi="Garamond"/>
          <w:sz w:val="20"/>
          <w:szCs w:val="20"/>
          <w:lang w:val="es-MX"/>
        </w:rPr>
        <w:t>y con</w:t>
      </w:r>
      <w:r w:rsidR="00B403B1" w:rsidRPr="003269AC">
        <w:rPr>
          <w:rFonts w:ascii="Garamond" w:hAnsi="Garamond"/>
          <w:sz w:val="20"/>
          <w:szCs w:val="20"/>
          <w:lang w:val="es-MX"/>
        </w:rPr>
        <w:t xml:space="preserve"> </w:t>
      </w:r>
      <w:r w:rsidR="00B403B1" w:rsidRPr="003269AC">
        <w:rPr>
          <w:rFonts w:ascii="Garamond" w:hAnsi="Garamond"/>
          <w:sz w:val="20"/>
          <w:szCs w:val="20"/>
          <w:lang w:val="es-MX"/>
        </w:rPr>
        <w:lastRenderedPageBreak/>
        <w:t xml:space="preserve">una perspectiva interseccional. </w:t>
      </w:r>
      <w:r w:rsidR="00ED4E46">
        <w:rPr>
          <w:rFonts w:ascii="Garamond" w:hAnsi="Garamond"/>
          <w:sz w:val="20"/>
          <w:szCs w:val="20"/>
          <w:lang w:val="es-MX"/>
        </w:rPr>
        <w:t>L</w:t>
      </w:r>
      <w:r w:rsidR="00B403B1" w:rsidRPr="003269AC">
        <w:rPr>
          <w:rFonts w:ascii="Garamond" w:hAnsi="Garamond"/>
          <w:sz w:val="20"/>
          <w:szCs w:val="20"/>
          <w:lang w:val="es-MX"/>
        </w:rPr>
        <w:t>a perspectiva interseccional reconoce las múltiples matrices diferenciales que operan sobre una sola persona, lo que genera diversidad, vulnerabilidades y privilegios distintos. En consonancia, el presente boletín también aborda las brechas internas de la</w:t>
      </w:r>
      <w:r w:rsidR="00C7118B">
        <w:rPr>
          <w:rFonts w:ascii="Garamond" w:hAnsi="Garamond"/>
          <w:sz w:val="20"/>
          <w:szCs w:val="20"/>
          <w:lang w:val="es-MX"/>
        </w:rPr>
        <w:t>s personas de</w:t>
      </w:r>
      <w:r w:rsidR="00ED4E46">
        <w:rPr>
          <w:rFonts w:ascii="Garamond" w:hAnsi="Garamond"/>
          <w:sz w:val="20"/>
          <w:szCs w:val="20"/>
          <w:lang w:val="es-MX"/>
        </w:rPr>
        <w:t xml:space="preserve"> </w:t>
      </w:r>
      <w:r w:rsidR="00C7118B">
        <w:rPr>
          <w:rFonts w:ascii="Garamond" w:hAnsi="Garamond"/>
          <w:sz w:val="20"/>
          <w:szCs w:val="20"/>
          <w:lang w:val="es-MX"/>
        </w:rPr>
        <w:t>l</w:t>
      </w:r>
      <w:r w:rsidR="00ED4E46">
        <w:rPr>
          <w:rFonts w:ascii="Garamond" w:hAnsi="Garamond"/>
          <w:sz w:val="20"/>
          <w:szCs w:val="20"/>
          <w:lang w:val="es-MX"/>
        </w:rPr>
        <w:t>os</w:t>
      </w:r>
      <w:r w:rsidR="00C7118B">
        <w:rPr>
          <w:rFonts w:ascii="Garamond" w:hAnsi="Garamond"/>
          <w:sz w:val="20"/>
          <w:szCs w:val="20"/>
          <w:lang w:val="es-MX"/>
        </w:rPr>
        <w:t xml:space="preserve"> sector</w:t>
      </w:r>
      <w:r w:rsidR="00ED4E46">
        <w:rPr>
          <w:rFonts w:ascii="Garamond" w:hAnsi="Garamond"/>
          <w:sz w:val="20"/>
          <w:szCs w:val="20"/>
          <w:lang w:val="es-MX"/>
        </w:rPr>
        <w:t>es</w:t>
      </w:r>
      <w:r w:rsidR="00B403B1" w:rsidRPr="003269AC">
        <w:rPr>
          <w:rFonts w:ascii="Garamond" w:hAnsi="Garamond"/>
          <w:sz w:val="20"/>
          <w:szCs w:val="20"/>
          <w:lang w:val="es-MX"/>
        </w:rPr>
        <w:t xml:space="preserve"> LGBTI para visibilizar </w:t>
      </w:r>
      <w:r w:rsidR="00C7118B">
        <w:rPr>
          <w:rFonts w:ascii="Garamond" w:hAnsi="Garamond"/>
          <w:sz w:val="20"/>
          <w:szCs w:val="20"/>
          <w:lang w:val="es-MX"/>
        </w:rPr>
        <w:t>las formas diferenciales y la manera como otras características generan vulnerabilidades distintas</w:t>
      </w:r>
      <w:r w:rsidR="00B403B1" w:rsidRPr="003269AC">
        <w:rPr>
          <w:rFonts w:ascii="Garamond" w:hAnsi="Garamond"/>
          <w:sz w:val="20"/>
          <w:szCs w:val="20"/>
          <w:lang w:val="es-MX"/>
        </w:rPr>
        <w:t>.</w:t>
      </w:r>
    </w:p>
    <w:p w14:paraId="4749A465" w14:textId="12487FE6" w:rsidR="00115441" w:rsidRPr="003269AC" w:rsidRDefault="00115441" w:rsidP="00112536">
      <w:pPr>
        <w:spacing w:line="360" w:lineRule="auto"/>
        <w:jc w:val="both"/>
        <w:rPr>
          <w:rFonts w:ascii="Garamond" w:hAnsi="Garamond"/>
          <w:sz w:val="20"/>
          <w:szCs w:val="20"/>
          <w:lang w:val="es-MX"/>
        </w:rPr>
      </w:pPr>
    </w:p>
    <w:p w14:paraId="3B49BBA5" w14:textId="33F96648" w:rsidR="00B403B1" w:rsidRPr="00DC105E" w:rsidRDefault="00B403B1">
      <w:pPr>
        <w:rPr>
          <w:rFonts w:ascii="Garamond" w:hAnsi="Garamond"/>
          <w:color w:val="FF0000"/>
          <w:sz w:val="20"/>
          <w:szCs w:val="20"/>
          <w:lang w:val="es-MX"/>
        </w:rPr>
      </w:pPr>
      <w:r w:rsidRPr="00DC105E">
        <w:rPr>
          <w:rFonts w:ascii="Garamond" w:hAnsi="Garamond"/>
          <w:color w:val="FF0000"/>
          <w:sz w:val="20"/>
          <w:szCs w:val="20"/>
          <w:lang w:val="es-MX"/>
        </w:rPr>
        <w:br w:type="page"/>
      </w:r>
    </w:p>
    <w:p w14:paraId="76BE15B3" w14:textId="341E47D3" w:rsidR="00F83CB7" w:rsidRPr="00DC105E" w:rsidRDefault="00CA3600" w:rsidP="009B0307">
      <w:pPr>
        <w:pStyle w:val="Ttulo1"/>
      </w:pPr>
      <w:r w:rsidRPr="00DC105E">
        <w:lastRenderedPageBreak/>
        <w:t xml:space="preserve">Características </w:t>
      </w:r>
      <w:r w:rsidR="00B4710F" w:rsidRPr="00DC105E">
        <w:t xml:space="preserve">de los hogares </w:t>
      </w:r>
      <w:r w:rsidR="00ED4E46">
        <w:t>de personas</w:t>
      </w:r>
      <w:r w:rsidR="00B4710F" w:rsidRPr="00DC105E">
        <w:t xml:space="preserve"> de</w:t>
      </w:r>
      <w:r w:rsidR="00ED4E46">
        <w:t xml:space="preserve"> </w:t>
      </w:r>
      <w:r w:rsidR="00C7118B">
        <w:t>l</w:t>
      </w:r>
      <w:r w:rsidR="00ED4E46">
        <w:t>os</w:t>
      </w:r>
      <w:r w:rsidR="00C7118B">
        <w:t xml:space="preserve"> sector</w:t>
      </w:r>
      <w:r w:rsidR="00ED4E46">
        <w:t>es</w:t>
      </w:r>
      <w:r w:rsidR="00B4710F" w:rsidRPr="00DC105E">
        <w:t xml:space="preserve"> LGBTI en Bogotá. </w:t>
      </w:r>
    </w:p>
    <w:p w14:paraId="49AB6BD3" w14:textId="77777777" w:rsidR="00995F47" w:rsidRDefault="00995F47" w:rsidP="008D6FF3">
      <w:pPr>
        <w:spacing w:line="360" w:lineRule="auto"/>
        <w:jc w:val="both"/>
        <w:rPr>
          <w:rFonts w:ascii="Garamond" w:hAnsi="Garamond"/>
          <w:sz w:val="20"/>
          <w:szCs w:val="20"/>
          <w:lang w:val="es-MX"/>
        </w:rPr>
      </w:pPr>
    </w:p>
    <w:p w14:paraId="764F192C" w14:textId="1F30FE48" w:rsidR="00E41EC8" w:rsidRPr="00DC105E" w:rsidRDefault="00E41EC8" w:rsidP="008D6FF3">
      <w:pPr>
        <w:spacing w:line="360" w:lineRule="auto"/>
        <w:jc w:val="both"/>
        <w:rPr>
          <w:rFonts w:ascii="Garamond" w:hAnsi="Garamond"/>
          <w:sz w:val="20"/>
          <w:szCs w:val="20"/>
          <w:lang w:val="es-MX"/>
        </w:rPr>
      </w:pPr>
      <w:r w:rsidRPr="00DC105E">
        <w:rPr>
          <w:rFonts w:ascii="Garamond" w:hAnsi="Garamond"/>
          <w:sz w:val="20"/>
          <w:szCs w:val="20"/>
          <w:lang w:val="es-MX"/>
        </w:rPr>
        <w:t>De</w:t>
      </w:r>
      <w:r w:rsidR="00995F47">
        <w:rPr>
          <w:rFonts w:ascii="Garamond" w:hAnsi="Garamond"/>
          <w:sz w:val="20"/>
          <w:szCs w:val="20"/>
          <w:lang w:val="es-MX"/>
        </w:rPr>
        <w:t>l total de los hogares</w:t>
      </w:r>
      <w:r w:rsidRPr="00DC105E">
        <w:rPr>
          <w:rFonts w:ascii="Garamond" w:hAnsi="Garamond"/>
          <w:sz w:val="20"/>
          <w:szCs w:val="20"/>
          <w:lang w:val="es-MX"/>
        </w:rPr>
        <w:t xml:space="preserve"> bogotan</w:t>
      </w:r>
      <w:r w:rsidR="00995F47">
        <w:rPr>
          <w:rFonts w:ascii="Garamond" w:hAnsi="Garamond"/>
          <w:sz w:val="20"/>
          <w:szCs w:val="20"/>
          <w:lang w:val="es-MX"/>
        </w:rPr>
        <w:t>o</w:t>
      </w:r>
      <w:r w:rsidRPr="00DC105E">
        <w:rPr>
          <w:rFonts w:ascii="Garamond" w:hAnsi="Garamond"/>
          <w:sz w:val="20"/>
          <w:szCs w:val="20"/>
          <w:lang w:val="es-MX"/>
        </w:rPr>
        <w:t xml:space="preserve">s </w:t>
      </w:r>
      <w:r w:rsidR="00995F47">
        <w:rPr>
          <w:rFonts w:ascii="Garamond" w:hAnsi="Garamond"/>
          <w:sz w:val="20"/>
          <w:szCs w:val="20"/>
          <w:lang w:val="es-MX"/>
        </w:rPr>
        <w:t xml:space="preserve">en los </w:t>
      </w:r>
      <w:r w:rsidRPr="00DC105E">
        <w:rPr>
          <w:rFonts w:ascii="Garamond" w:hAnsi="Garamond"/>
          <w:sz w:val="20"/>
          <w:szCs w:val="20"/>
          <w:lang w:val="es-MX"/>
        </w:rPr>
        <w:t>que viv</w:t>
      </w:r>
      <w:r w:rsidR="00995F47">
        <w:rPr>
          <w:rFonts w:ascii="Garamond" w:hAnsi="Garamond"/>
          <w:sz w:val="20"/>
          <w:szCs w:val="20"/>
          <w:lang w:val="es-MX"/>
        </w:rPr>
        <w:t>en</w:t>
      </w:r>
      <w:r w:rsidRPr="00DC105E">
        <w:rPr>
          <w:rFonts w:ascii="Garamond" w:hAnsi="Garamond"/>
          <w:sz w:val="20"/>
          <w:szCs w:val="20"/>
          <w:lang w:val="es-MX"/>
        </w:rPr>
        <w:t xml:space="preserve"> persona</w:t>
      </w:r>
      <w:r w:rsidR="00995F47">
        <w:rPr>
          <w:rFonts w:ascii="Garamond" w:hAnsi="Garamond"/>
          <w:sz w:val="20"/>
          <w:szCs w:val="20"/>
          <w:lang w:val="es-MX"/>
        </w:rPr>
        <w:t>s</w:t>
      </w:r>
      <w:r w:rsidRPr="00DC105E">
        <w:rPr>
          <w:rFonts w:ascii="Garamond" w:hAnsi="Garamond"/>
          <w:sz w:val="20"/>
          <w:szCs w:val="20"/>
          <w:lang w:val="es-MX"/>
        </w:rPr>
        <w:t xml:space="preserve"> </w:t>
      </w:r>
      <w:r w:rsidR="00545BDB">
        <w:rPr>
          <w:rFonts w:ascii="Garamond" w:hAnsi="Garamond"/>
          <w:sz w:val="20"/>
          <w:szCs w:val="20"/>
          <w:lang w:val="es-MX"/>
        </w:rPr>
        <w:t xml:space="preserve">que se reconocen como </w:t>
      </w:r>
      <w:r w:rsidRPr="00DC105E">
        <w:rPr>
          <w:rFonts w:ascii="Garamond" w:hAnsi="Garamond"/>
          <w:sz w:val="20"/>
          <w:szCs w:val="20"/>
          <w:lang w:val="es-MX"/>
        </w:rPr>
        <w:t>LGBTI, se identificó que el 22,18% están integrad</w:t>
      </w:r>
      <w:r w:rsidR="00995F47">
        <w:rPr>
          <w:rFonts w:ascii="Garamond" w:hAnsi="Garamond"/>
          <w:sz w:val="20"/>
          <w:szCs w:val="20"/>
          <w:lang w:val="es-MX"/>
        </w:rPr>
        <w:t>o</w:t>
      </w:r>
      <w:r w:rsidRPr="00DC105E">
        <w:rPr>
          <w:rFonts w:ascii="Garamond" w:hAnsi="Garamond"/>
          <w:sz w:val="20"/>
          <w:szCs w:val="20"/>
          <w:lang w:val="es-MX"/>
        </w:rPr>
        <w:t>s por una sola persona</w:t>
      </w:r>
      <w:r w:rsidR="00995F47">
        <w:rPr>
          <w:rFonts w:ascii="Garamond" w:hAnsi="Garamond"/>
          <w:sz w:val="20"/>
          <w:szCs w:val="20"/>
          <w:lang w:val="es-MX"/>
        </w:rPr>
        <w:t xml:space="preserve"> (hogares unipersonales)</w:t>
      </w:r>
      <w:r w:rsidRPr="00DC105E">
        <w:rPr>
          <w:rFonts w:ascii="Garamond" w:hAnsi="Garamond"/>
          <w:sz w:val="20"/>
          <w:szCs w:val="20"/>
          <w:lang w:val="es-MX"/>
        </w:rPr>
        <w:t>, seguid</w:t>
      </w:r>
      <w:r w:rsidR="00995F47">
        <w:rPr>
          <w:rFonts w:ascii="Garamond" w:hAnsi="Garamond"/>
          <w:sz w:val="20"/>
          <w:szCs w:val="20"/>
          <w:lang w:val="es-MX"/>
        </w:rPr>
        <w:t>o</w:t>
      </w:r>
      <w:r w:rsidRPr="00DC105E">
        <w:rPr>
          <w:rFonts w:ascii="Garamond" w:hAnsi="Garamond"/>
          <w:sz w:val="20"/>
          <w:szCs w:val="20"/>
          <w:lang w:val="es-MX"/>
        </w:rPr>
        <w:t>s de aquell</w:t>
      </w:r>
      <w:r w:rsidR="00995F47">
        <w:rPr>
          <w:rFonts w:ascii="Garamond" w:hAnsi="Garamond"/>
          <w:sz w:val="20"/>
          <w:szCs w:val="20"/>
          <w:lang w:val="es-MX"/>
        </w:rPr>
        <w:t>o</w:t>
      </w:r>
      <w:r w:rsidRPr="00DC105E">
        <w:rPr>
          <w:rFonts w:ascii="Garamond" w:hAnsi="Garamond"/>
          <w:sz w:val="20"/>
          <w:szCs w:val="20"/>
          <w:lang w:val="es-MX"/>
        </w:rPr>
        <w:t xml:space="preserve">s </w:t>
      </w:r>
      <w:r w:rsidR="00995F47">
        <w:rPr>
          <w:rFonts w:ascii="Garamond" w:hAnsi="Garamond"/>
          <w:sz w:val="20"/>
          <w:szCs w:val="20"/>
          <w:lang w:val="es-MX"/>
        </w:rPr>
        <w:t xml:space="preserve">catalogados como hogares familiares nucleares con hijos </w:t>
      </w:r>
      <w:r w:rsidRPr="00DC105E">
        <w:rPr>
          <w:rFonts w:ascii="Garamond" w:hAnsi="Garamond"/>
          <w:sz w:val="20"/>
          <w:szCs w:val="20"/>
          <w:lang w:val="es-MX"/>
        </w:rPr>
        <w:t>que están compuest</w:t>
      </w:r>
      <w:r w:rsidR="00995F47">
        <w:rPr>
          <w:rFonts w:ascii="Garamond" w:hAnsi="Garamond"/>
          <w:sz w:val="20"/>
          <w:szCs w:val="20"/>
          <w:lang w:val="es-MX"/>
        </w:rPr>
        <w:t>o</w:t>
      </w:r>
      <w:r w:rsidRPr="00DC105E">
        <w:rPr>
          <w:rFonts w:ascii="Garamond" w:hAnsi="Garamond"/>
          <w:sz w:val="20"/>
          <w:szCs w:val="20"/>
          <w:lang w:val="es-MX"/>
        </w:rPr>
        <w:t xml:space="preserve">s por </w:t>
      </w:r>
      <w:r w:rsidR="00995F47">
        <w:rPr>
          <w:rFonts w:ascii="Garamond" w:hAnsi="Garamond"/>
          <w:sz w:val="20"/>
          <w:szCs w:val="20"/>
          <w:lang w:val="es-MX"/>
        </w:rPr>
        <w:t>el jefe del hogar y su esposo(a) o pareja y sus</w:t>
      </w:r>
      <w:r w:rsidRPr="00DC105E">
        <w:rPr>
          <w:rFonts w:ascii="Garamond" w:hAnsi="Garamond"/>
          <w:sz w:val="20"/>
          <w:szCs w:val="20"/>
          <w:lang w:val="es-MX"/>
        </w:rPr>
        <w:t xml:space="preserve"> hijos (20,81%) y por </w:t>
      </w:r>
      <w:r w:rsidR="00995F47">
        <w:rPr>
          <w:rFonts w:ascii="Garamond" w:hAnsi="Garamond"/>
          <w:sz w:val="20"/>
          <w:szCs w:val="20"/>
          <w:lang w:val="es-MX"/>
        </w:rPr>
        <w:t xml:space="preserve">los hogares familiares nucleares sin hijos </w:t>
      </w:r>
      <w:r w:rsidRPr="00DC105E">
        <w:rPr>
          <w:rFonts w:ascii="Garamond" w:hAnsi="Garamond"/>
          <w:sz w:val="20"/>
          <w:szCs w:val="20"/>
          <w:lang w:val="es-MX"/>
        </w:rPr>
        <w:t xml:space="preserve">(20,30%).  </w:t>
      </w:r>
      <w:r w:rsidR="007B46B4" w:rsidRPr="00DC105E">
        <w:rPr>
          <w:rFonts w:ascii="Garamond" w:hAnsi="Garamond"/>
          <w:sz w:val="20"/>
          <w:szCs w:val="20"/>
          <w:lang w:val="es-MX"/>
        </w:rPr>
        <w:t>L</w:t>
      </w:r>
      <w:r w:rsidR="00995F47">
        <w:rPr>
          <w:rFonts w:ascii="Garamond" w:hAnsi="Garamond"/>
          <w:sz w:val="20"/>
          <w:szCs w:val="20"/>
          <w:lang w:val="es-MX"/>
        </w:rPr>
        <w:t>os hogares familiares</w:t>
      </w:r>
      <w:r w:rsidR="007B46B4" w:rsidRPr="00DC105E">
        <w:rPr>
          <w:rFonts w:ascii="Garamond" w:hAnsi="Garamond"/>
          <w:sz w:val="20"/>
          <w:szCs w:val="20"/>
          <w:lang w:val="es-MX"/>
        </w:rPr>
        <w:t xml:space="preserve"> </w:t>
      </w:r>
      <w:r w:rsidR="00995F47">
        <w:rPr>
          <w:rFonts w:ascii="Garamond" w:hAnsi="Garamond"/>
          <w:sz w:val="20"/>
          <w:szCs w:val="20"/>
          <w:lang w:val="es-MX"/>
        </w:rPr>
        <w:t xml:space="preserve">nucleares monoparentales de jefatura masculina </w:t>
      </w:r>
      <w:r w:rsidR="00F35EF2" w:rsidRPr="00DC105E">
        <w:rPr>
          <w:rFonts w:ascii="Garamond" w:hAnsi="Garamond"/>
          <w:sz w:val="20"/>
          <w:szCs w:val="20"/>
          <w:lang w:val="es-MX"/>
        </w:rPr>
        <w:t xml:space="preserve">(1,39%) </w:t>
      </w:r>
      <w:r w:rsidR="00AA6597" w:rsidRPr="00DC105E">
        <w:rPr>
          <w:rFonts w:ascii="Garamond" w:hAnsi="Garamond"/>
          <w:sz w:val="20"/>
          <w:szCs w:val="20"/>
          <w:lang w:val="es-MX"/>
        </w:rPr>
        <w:t>fue</w:t>
      </w:r>
      <w:r w:rsidR="00995F47">
        <w:rPr>
          <w:rFonts w:ascii="Garamond" w:hAnsi="Garamond"/>
          <w:sz w:val="20"/>
          <w:szCs w:val="20"/>
          <w:lang w:val="es-MX"/>
        </w:rPr>
        <w:t>ron</w:t>
      </w:r>
      <w:r w:rsidR="00AA6597" w:rsidRPr="00DC105E">
        <w:rPr>
          <w:rFonts w:ascii="Garamond" w:hAnsi="Garamond"/>
          <w:sz w:val="20"/>
          <w:szCs w:val="20"/>
          <w:lang w:val="es-MX"/>
        </w:rPr>
        <w:t xml:space="preserve"> l</w:t>
      </w:r>
      <w:r w:rsidR="00995F47">
        <w:rPr>
          <w:rFonts w:ascii="Garamond" w:hAnsi="Garamond"/>
          <w:sz w:val="20"/>
          <w:szCs w:val="20"/>
          <w:lang w:val="es-MX"/>
        </w:rPr>
        <w:t>os</w:t>
      </w:r>
      <w:r w:rsidR="00AA6597" w:rsidRPr="00DC105E">
        <w:rPr>
          <w:rFonts w:ascii="Garamond" w:hAnsi="Garamond"/>
          <w:sz w:val="20"/>
          <w:szCs w:val="20"/>
          <w:lang w:val="es-MX"/>
        </w:rPr>
        <w:t xml:space="preserve"> que</w:t>
      </w:r>
      <w:r w:rsidR="00F36953" w:rsidRPr="00DC105E">
        <w:rPr>
          <w:rFonts w:ascii="Garamond" w:hAnsi="Garamond"/>
          <w:sz w:val="20"/>
          <w:szCs w:val="20"/>
          <w:lang w:val="es-MX"/>
        </w:rPr>
        <w:t xml:space="preserve"> report</w:t>
      </w:r>
      <w:r w:rsidR="00995F47">
        <w:rPr>
          <w:rFonts w:ascii="Garamond" w:hAnsi="Garamond"/>
          <w:sz w:val="20"/>
          <w:szCs w:val="20"/>
          <w:lang w:val="es-MX"/>
        </w:rPr>
        <w:t xml:space="preserve">aron </w:t>
      </w:r>
      <w:r w:rsidR="00AA6597" w:rsidRPr="00DC105E">
        <w:rPr>
          <w:rFonts w:ascii="Garamond" w:hAnsi="Garamond"/>
          <w:sz w:val="20"/>
          <w:szCs w:val="20"/>
          <w:lang w:val="es-MX"/>
        </w:rPr>
        <w:t>un</w:t>
      </w:r>
      <w:r w:rsidR="00F36953" w:rsidRPr="00DC105E">
        <w:rPr>
          <w:rFonts w:ascii="Garamond" w:hAnsi="Garamond"/>
          <w:sz w:val="20"/>
          <w:szCs w:val="20"/>
          <w:lang w:val="es-MX"/>
        </w:rPr>
        <w:t xml:space="preserve"> menor</w:t>
      </w:r>
      <w:r w:rsidR="00AA6597" w:rsidRPr="00DC105E">
        <w:rPr>
          <w:rFonts w:ascii="Garamond" w:hAnsi="Garamond"/>
          <w:sz w:val="20"/>
          <w:szCs w:val="20"/>
          <w:lang w:val="es-MX"/>
        </w:rPr>
        <w:t xml:space="preserve"> </w:t>
      </w:r>
      <w:r w:rsidR="00F36953" w:rsidRPr="00DC105E">
        <w:rPr>
          <w:rFonts w:ascii="Garamond" w:hAnsi="Garamond"/>
          <w:sz w:val="20"/>
          <w:szCs w:val="20"/>
          <w:lang w:val="es-MX"/>
        </w:rPr>
        <w:t>porcentaje</w:t>
      </w:r>
      <w:r w:rsidR="00F35EF2" w:rsidRPr="00DC105E">
        <w:rPr>
          <w:rFonts w:ascii="Garamond" w:hAnsi="Garamond"/>
          <w:sz w:val="20"/>
          <w:szCs w:val="20"/>
          <w:lang w:val="es-MX"/>
        </w:rPr>
        <w:t>, seguid</w:t>
      </w:r>
      <w:r w:rsidR="00995F47">
        <w:rPr>
          <w:rFonts w:ascii="Garamond" w:hAnsi="Garamond"/>
          <w:sz w:val="20"/>
          <w:szCs w:val="20"/>
          <w:lang w:val="es-MX"/>
        </w:rPr>
        <w:t>os</w:t>
      </w:r>
      <w:r w:rsidR="00F35EF2" w:rsidRPr="00DC105E">
        <w:rPr>
          <w:rFonts w:ascii="Garamond" w:hAnsi="Garamond"/>
          <w:sz w:val="20"/>
          <w:szCs w:val="20"/>
          <w:lang w:val="es-MX"/>
        </w:rPr>
        <w:t xml:space="preserve"> de</w:t>
      </w:r>
      <w:r w:rsidR="00995F47">
        <w:rPr>
          <w:rFonts w:ascii="Garamond" w:hAnsi="Garamond"/>
          <w:sz w:val="20"/>
          <w:szCs w:val="20"/>
          <w:lang w:val="es-MX"/>
        </w:rPr>
        <w:t xml:space="preserve"> los hogares familiar</w:t>
      </w:r>
      <w:r w:rsidR="00D32902">
        <w:rPr>
          <w:rFonts w:ascii="Garamond" w:hAnsi="Garamond"/>
          <w:sz w:val="20"/>
          <w:szCs w:val="20"/>
          <w:lang w:val="es-MX"/>
        </w:rPr>
        <w:t xml:space="preserve"> compuesto</w:t>
      </w:r>
      <w:r w:rsidR="007F768C">
        <w:rPr>
          <w:rStyle w:val="Refdenotaalpie"/>
          <w:rFonts w:ascii="Garamond" w:hAnsi="Garamond"/>
          <w:sz w:val="20"/>
          <w:szCs w:val="20"/>
          <w:lang w:val="es-MX"/>
        </w:rPr>
        <w:footnoteReference w:id="2"/>
      </w:r>
      <w:r w:rsidR="00D32902">
        <w:rPr>
          <w:rFonts w:ascii="Garamond" w:hAnsi="Garamond"/>
          <w:sz w:val="20"/>
          <w:szCs w:val="20"/>
          <w:lang w:val="es-MX"/>
        </w:rPr>
        <w:t>.</w:t>
      </w:r>
    </w:p>
    <w:p w14:paraId="2C8FB8C5" w14:textId="79492C9A" w:rsidR="00D81924" w:rsidRPr="00DC105E" w:rsidRDefault="00D81924" w:rsidP="008D6FF3">
      <w:pPr>
        <w:pStyle w:val="Grfica"/>
        <w:keepNext/>
        <w:spacing w:line="360" w:lineRule="auto"/>
        <w:rPr>
          <w:lang w:val="es-CO"/>
        </w:rPr>
      </w:pPr>
    </w:p>
    <w:p w14:paraId="105814CE" w14:textId="60542394" w:rsidR="00090E1F" w:rsidRPr="00DC105E" w:rsidRDefault="00C70088" w:rsidP="008D6FF3">
      <w:pPr>
        <w:pStyle w:val="Estilo2"/>
      </w:pPr>
      <w:r w:rsidRPr="00DC105E">
        <w:t xml:space="preserve">Gráfico </w:t>
      </w:r>
      <w:r w:rsidRPr="00DC105E">
        <w:fldChar w:fldCharType="begin"/>
      </w:r>
      <w:r w:rsidRPr="00DC105E">
        <w:instrText xml:space="preserve"> SEQ Gráfico \* ARABIC </w:instrText>
      </w:r>
      <w:r w:rsidRPr="00DC105E">
        <w:fldChar w:fldCharType="separate"/>
      </w:r>
      <w:r w:rsidRPr="00DC105E">
        <w:t>1</w:t>
      </w:r>
      <w:r w:rsidRPr="00DC105E">
        <w:fldChar w:fldCharType="end"/>
      </w:r>
      <w:r w:rsidRPr="00DC105E">
        <w:t xml:space="preserve">:   Tipo de </w:t>
      </w:r>
      <w:r w:rsidR="00115441">
        <w:t>Hogares</w:t>
      </w:r>
      <w:r w:rsidRPr="00DC105E">
        <w:t xml:space="preserve"> de </w:t>
      </w:r>
      <w:r w:rsidR="00C7118B">
        <w:t xml:space="preserve">personas </w:t>
      </w:r>
      <w:r w:rsidR="00115441">
        <w:t>de los sectores LGBTI</w:t>
      </w:r>
    </w:p>
    <w:p w14:paraId="1343C797" w14:textId="3D9DD787" w:rsidR="00BD1083" w:rsidRPr="00DC105E" w:rsidRDefault="00F454F2" w:rsidP="008D6FF3">
      <w:pPr>
        <w:spacing w:line="360" w:lineRule="auto"/>
        <w:rPr>
          <w:b/>
        </w:rPr>
      </w:pPr>
      <w:r>
        <w:rPr>
          <w:noProof/>
          <w:lang w:val="es-CO" w:eastAsia="es-CO"/>
        </w:rPr>
        <w:drawing>
          <wp:inline distT="0" distB="0" distL="0" distR="0" wp14:anchorId="713813D3" wp14:editId="706BCD74">
            <wp:extent cx="2747010" cy="3379304"/>
            <wp:effectExtent l="0" t="0" r="0" b="0"/>
            <wp:docPr id="1" name="Chart 1">
              <a:extLst xmlns:a="http://schemas.openxmlformats.org/drawingml/2006/main">
                <a:ext uri="{FF2B5EF4-FFF2-40B4-BE49-F238E27FC236}">
                  <a16:creationId xmlns:a16="http://schemas.microsoft.com/office/drawing/2014/main" id="{695BF703-7A38-3440-84D5-64873EC95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4E56B2" w14:textId="66B3FC54" w:rsidR="00A0561F" w:rsidRPr="00DC105E" w:rsidRDefault="00786062" w:rsidP="001C3247">
      <w:pPr>
        <w:spacing w:line="360" w:lineRule="auto"/>
        <w:jc w:val="both"/>
      </w:pPr>
      <w:r w:rsidRPr="00DC105E">
        <w:rPr>
          <w:rFonts w:ascii="Garamond" w:hAnsi="Garamond"/>
          <w:sz w:val="20"/>
          <w:szCs w:val="20"/>
          <w:lang w:val="es-MX"/>
        </w:rPr>
        <w:t>E</w:t>
      </w:r>
      <w:r w:rsidR="0000089F" w:rsidRPr="00DC105E">
        <w:rPr>
          <w:rFonts w:ascii="Garamond" w:hAnsi="Garamond"/>
          <w:sz w:val="20"/>
          <w:szCs w:val="20"/>
          <w:lang w:val="es-MX"/>
        </w:rPr>
        <w:t>n</w:t>
      </w:r>
      <w:r w:rsidR="00F16224" w:rsidRPr="00DC105E">
        <w:rPr>
          <w:rFonts w:ascii="Garamond" w:hAnsi="Garamond"/>
          <w:sz w:val="20"/>
          <w:szCs w:val="20"/>
          <w:lang w:val="es-MX"/>
        </w:rPr>
        <w:t xml:space="preserve"> Bogotá</w:t>
      </w:r>
      <w:r w:rsidR="006F32B9" w:rsidRPr="00DC105E">
        <w:rPr>
          <w:rFonts w:ascii="Garamond" w:hAnsi="Garamond"/>
          <w:sz w:val="20"/>
          <w:szCs w:val="20"/>
          <w:lang w:val="es-MX"/>
        </w:rPr>
        <w:t xml:space="preserve"> </w:t>
      </w:r>
      <w:r w:rsidR="00F16224" w:rsidRPr="00DC105E">
        <w:rPr>
          <w:rFonts w:ascii="Garamond" w:hAnsi="Garamond"/>
          <w:sz w:val="20"/>
          <w:szCs w:val="20"/>
          <w:lang w:val="es-MX"/>
        </w:rPr>
        <w:t xml:space="preserve">el </w:t>
      </w:r>
      <w:r w:rsidR="003F1BBE" w:rsidRPr="00DC105E">
        <w:rPr>
          <w:rFonts w:ascii="Garamond" w:hAnsi="Garamond"/>
          <w:sz w:val="20"/>
          <w:szCs w:val="20"/>
          <w:lang w:val="es-MX"/>
        </w:rPr>
        <w:t>2,24%</w:t>
      </w:r>
      <w:r w:rsidR="00106C1F" w:rsidRPr="00DC105E">
        <w:rPr>
          <w:rFonts w:ascii="Garamond" w:hAnsi="Garamond"/>
          <w:sz w:val="20"/>
          <w:szCs w:val="20"/>
          <w:lang w:val="es-MX"/>
        </w:rPr>
        <w:t xml:space="preserve"> </w:t>
      </w:r>
      <w:r w:rsidR="00CB508D" w:rsidRPr="00DC105E">
        <w:rPr>
          <w:rFonts w:ascii="Garamond" w:hAnsi="Garamond"/>
          <w:sz w:val="20"/>
          <w:szCs w:val="20"/>
          <w:lang w:val="es-MX"/>
        </w:rPr>
        <w:t>de l</w:t>
      </w:r>
      <w:r w:rsidR="00D32902">
        <w:rPr>
          <w:rFonts w:ascii="Garamond" w:hAnsi="Garamond"/>
          <w:sz w:val="20"/>
          <w:szCs w:val="20"/>
          <w:lang w:val="es-MX"/>
        </w:rPr>
        <w:t>os hogares</w:t>
      </w:r>
      <w:r w:rsidR="00CB508D" w:rsidRPr="00DC105E">
        <w:rPr>
          <w:rFonts w:ascii="Garamond" w:hAnsi="Garamond"/>
          <w:sz w:val="20"/>
          <w:szCs w:val="20"/>
          <w:lang w:val="es-MX"/>
        </w:rPr>
        <w:t xml:space="preserve"> </w:t>
      </w:r>
      <w:r w:rsidR="00AE0D5F" w:rsidRPr="00DC105E">
        <w:rPr>
          <w:rFonts w:ascii="Garamond" w:hAnsi="Garamond"/>
          <w:sz w:val="20"/>
          <w:szCs w:val="20"/>
          <w:lang w:val="es-MX"/>
        </w:rPr>
        <w:t>que viven en</w:t>
      </w:r>
      <w:r w:rsidR="006F32B9" w:rsidRPr="00DC105E">
        <w:rPr>
          <w:rFonts w:ascii="Garamond" w:hAnsi="Garamond"/>
          <w:sz w:val="20"/>
          <w:szCs w:val="20"/>
          <w:lang w:val="es-MX"/>
        </w:rPr>
        <w:t xml:space="preserve"> estrato 4</w:t>
      </w:r>
      <w:r w:rsidR="005A224B" w:rsidRPr="00DC105E">
        <w:rPr>
          <w:rFonts w:ascii="Garamond" w:hAnsi="Garamond"/>
          <w:sz w:val="20"/>
          <w:szCs w:val="20"/>
          <w:lang w:val="es-MX"/>
        </w:rPr>
        <w:t xml:space="preserve"> tienen un</w:t>
      </w:r>
      <w:r w:rsidR="006075E3">
        <w:rPr>
          <w:rFonts w:ascii="Garamond" w:hAnsi="Garamond"/>
          <w:sz w:val="20"/>
          <w:szCs w:val="20"/>
          <w:lang w:val="es-MX"/>
        </w:rPr>
        <w:t>a</w:t>
      </w:r>
      <w:r w:rsidR="005A224B" w:rsidRPr="00DC105E">
        <w:rPr>
          <w:rFonts w:ascii="Garamond" w:hAnsi="Garamond"/>
          <w:sz w:val="20"/>
          <w:szCs w:val="20"/>
          <w:lang w:val="es-MX"/>
        </w:rPr>
        <w:t xml:space="preserve"> </w:t>
      </w:r>
      <w:r w:rsidR="00AE0D5F" w:rsidRPr="00DC105E">
        <w:rPr>
          <w:rFonts w:ascii="Garamond" w:hAnsi="Garamond"/>
          <w:sz w:val="20"/>
          <w:szCs w:val="20"/>
          <w:lang w:val="es-MX"/>
        </w:rPr>
        <w:t xml:space="preserve">o más </w:t>
      </w:r>
      <w:r w:rsidR="00505137">
        <w:rPr>
          <w:rFonts w:ascii="Garamond" w:hAnsi="Garamond"/>
          <w:sz w:val="20"/>
          <w:szCs w:val="20"/>
          <w:lang w:val="es-MX"/>
        </w:rPr>
        <w:t>personas</w:t>
      </w:r>
      <w:r w:rsidR="005A224B" w:rsidRPr="00DC105E">
        <w:rPr>
          <w:rFonts w:ascii="Garamond" w:hAnsi="Garamond"/>
          <w:sz w:val="20"/>
          <w:szCs w:val="20"/>
          <w:lang w:val="es-MX"/>
        </w:rPr>
        <w:t xml:space="preserve"> </w:t>
      </w:r>
      <w:r w:rsidR="00505137">
        <w:rPr>
          <w:rFonts w:ascii="Garamond" w:hAnsi="Garamond"/>
          <w:sz w:val="20"/>
          <w:szCs w:val="20"/>
          <w:lang w:val="es-MX"/>
        </w:rPr>
        <w:t xml:space="preserve">del hogar que son </w:t>
      </w:r>
      <w:r w:rsidR="00115441">
        <w:rPr>
          <w:rFonts w:ascii="Garamond" w:hAnsi="Garamond"/>
          <w:sz w:val="20"/>
          <w:szCs w:val="20"/>
          <w:lang w:val="es-MX"/>
        </w:rPr>
        <w:t>de los sectores LGBTI</w:t>
      </w:r>
      <w:r w:rsidR="005A224B" w:rsidRPr="00DC105E">
        <w:rPr>
          <w:rFonts w:ascii="Garamond" w:hAnsi="Garamond"/>
          <w:sz w:val="20"/>
          <w:szCs w:val="20"/>
          <w:lang w:val="es-MX"/>
        </w:rPr>
        <w:t xml:space="preserve">; </w:t>
      </w:r>
      <w:r w:rsidR="00DE2313" w:rsidRPr="00DC105E">
        <w:rPr>
          <w:rFonts w:ascii="Garamond" w:hAnsi="Garamond"/>
          <w:sz w:val="20"/>
          <w:szCs w:val="20"/>
          <w:lang w:val="es-MX"/>
        </w:rPr>
        <w:t>seguido</w:t>
      </w:r>
      <w:r w:rsidR="000E1F24" w:rsidRPr="00DC105E">
        <w:rPr>
          <w:rFonts w:ascii="Garamond" w:hAnsi="Garamond"/>
          <w:sz w:val="20"/>
          <w:szCs w:val="20"/>
          <w:lang w:val="es-MX"/>
        </w:rPr>
        <w:t xml:space="preserve"> por</w:t>
      </w:r>
      <w:r w:rsidR="00A7327C" w:rsidRPr="00DC105E">
        <w:rPr>
          <w:rFonts w:ascii="Garamond" w:hAnsi="Garamond"/>
          <w:sz w:val="20"/>
          <w:szCs w:val="20"/>
          <w:lang w:val="es-MX"/>
        </w:rPr>
        <w:t xml:space="preserve"> el estrato 5 </w:t>
      </w:r>
      <w:r w:rsidR="001C3247">
        <w:rPr>
          <w:rFonts w:ascii="Garamond" w:hAnsi="Garamond"/>
          <w:sz w:val="20"/>
          <w:szCs w:val="20"/>
          <w:lang w:val="es-MX"/>
        </w:rPr>
        <w:t>con</w:t>
      </w:r>
      <w:r w:rsidR="000E1F24" w:rsidRPr="00DC105E">
        <w:rPr>
          <w:rFonts w:ascii="Garamond" w:hAnsi="Garamond"/>
          <w:sz w:val="20"/>
          <w:szCs w:val="20"/>
          <w:lang w:val="es-MX"/>
        </w:rPr>
        <w:t xml:space="preserve"> un 2,01%</w:t>
      </w:r>
      <w:r w:rsidR="00DE2313" w:rsidRPr="00DC105E">
        <w:rPr>
          <w:rFonts w:ascii="Garamond" w:hAnsi="Garamond"/>
          <w:sz w:val="20"/>
          <w:szCs w:val="20"/>
          <w:lang w:val="es-MX"/>
        </w:rPr>
        <w:t xml:space="preserve"> </w:t>
      </w:r>
      <w:r w:rsidR="00717798" w:rsidRPr="00DC105E">
        <w:rPr>
          <w:rFonts w:ascii="Garamond" w:hAnsi="Garamond"/>
          <w:sz w:val="20"/>
          <w:szCs w:val="20"/>
          <w:lang w:val="es-MX"/>
        </w:rPr>
        <w:t xml:space="preserve">de </w:t>
      </w:r>
      <w:r w:rsidR="00C7118B">
        <w:rPr>
          <w:rFonts w:ascii="Garamond" w:hAnsi="Garamond"/>
          <w:sz w:val="20"/>
          <w:szCs w:val="20"/>
          <w:lang w:val="es-MX"/>
        </w:rPr>
        <w:t xml:space="preserve">personas </w:t>
      </w:r>
      <w:r w:rsidR="00115441">
        <w:rPr>
          <w:rFonts w:ascii="Garamond" w:hAnsi="Garamond"/>
          <w:sz w:val="20"/>
          <w:szCs w:val="20"/>
          <w:lang w:val="es-MX"/>
        </w:rPr>
        <w:t>de los sectores LGBTI</w:t>
      </w:r>
      <w:r w:rsidR="00561CB5" w:rsidRPr="00DC105E">
        <w:rPr>
          <w:rFonts w:ascii="Garamond" w:hAnsi="Garamond"/>
          <w:sz w:val="20"/>
          <w:szCs w:val="20"/>
          <w:lang w:val="es-MX"/>
        </w:rPr>
        <w:t xml:space="preserve">; </w:t>
      </w:r>
      <w:r w:rsidR="00405732" w:rsidRPr="00DC105E">
        <w:rPr>
          <w:rFonts w:ascii="Garamond" w:hAnsi="Garamond"/>
          <w:sz w:val="20"/>
          <w:szCs w:val="20"/>
          <w:lang w:val="es-MX"/>
        </w:rPr>
        <w:t xml:space="preserve">Po su parte, </w:t>
      </w:r>
      <w:r w:rsidR="009B0307">
        <w:rPr>
          <w:rFonts w:ascii="Garamond" w:hAnsi="Garamond"/>
          <w:sz w:val="20"/>
          <w:szCs w:val="20"/>
          <w:lang w:val="es-MX"/>
        </w:rPr>
        <w:t xml:space="preserve">el estrato 2 </w:t>
      </w:r>
      <w:r w:rsidR="00AE0D5F" w:rsidRPr="00DC105E">
        <w:rPr>
          <w:rFonts w:ascii="Garamond" w:hAnsi="Garamond"/>
          <w:sz w:val="20"/>
          <w:szCs w:val="20"/>
          <w:lang w:val="es-MX"/>
        </w:rPr>
        <w:t>es el que reporta menor porcentaje</w:t>
      </w:r>
      <w:r w:rsidR="00561CB5" w:rsidRPr="00DC105E">
        <w:rPr>
          <w:rFonts w:ascii="Garamond" w:hAnsi="Garamond"/>
          <w:sz w:val="20"/>
          <w:szCs w:val="20"/>
          <w:lang w:val="es-MX"/>
        </w:rPr>
        <w:t xml:space="preserve"> </w:t>
      </w:r>
      <w:r w:rsidR="00EC5DF3" w:rsidRPr="00DC105E">
        <w:rPr>
          <w:rFonts w:ascii="Garamond" w:hAnsi="Garamond"/>
          <w:sz w:val="20"/>
          <w:szCs w:val="20"/>
          <w:lang w:val="es-MX"/>
        </w:rPr>
        <w:t>tan solo el 0,</w:t>
      </w:r>
      <w:r w:rsidR="000F513D" w:rsidRPr="00DC105E">
        <w:rPr>
          <w:rFonts w:ascii="Garamond" w:hAnsi="Garamond"/>
          <w:sz w:val="20"/>
          <w:szCs w:val="20"/>
          <w:lang w:val="es-MX"/>
        </w:rPr>
        <w:t>85%</w:t>
      </w:r>
      <w:r w:rsidR="00A40D67" w:rsidRPr="00DC105E">
        <w:rPr>
          <w:rFonts w:ascii="Garamond" w:hAnsi="Garamond"/>
          <w:sz w:val="20"/>
          <w:szCs w:val="20"/>
          <w:lang w:val="es-MX"/>
        </w:rPr>
        <w:t xml:space="preserve"> de hogares</w:t>
      </w:r>
      <w:r w:rsidR="00AE0D5F" w:rsidRPr="00DC105E">
        <w:rPr>
          <w:rFonts w:ascii="Garamond" w:hAnsi="Garamond"/>
          <w:sz w:val="20"/>
          <w:szCs w:val="20"/>
          <w:lang w:val="es-MX"/>
        </w:rPr>
        <w:t>.</w:t>
      </w:r>
      <w:r w:rsidR="00A40D67" w:rsidRPr="00DC105E">
        <w:rPr>
          <w:rFonts w:ascii="Garamond" w:hAnsi="Garamond"/>
          <w:sz w:val="20"/>
          <w:szCs w:val="20"/>
          <w:lang w:val="es-MX"/>
        </w:rPr>
        <w:t xml:space="preserve"> </w:t>
      </w:r>
    </w:p>
    <w:p w14:paraId="3B6D6305" w14:textId="77777777" w:rsidR="00A0561F" w:rsidRPr="00DC105E" w:rsidRDefault="00A0561F" w:rsidP="008D6FF3">
      <w:pPr>
        <w:pStyle w:val="Estilo2"/>
      </w:pPr>
    </w:p>
    <w:p w14:paraId="6F3AFE6F" w14:textId="272B984A" w:rsidR="00BD1083" w:rsidRPr="00DC105E" w:rsidRDefault="00E41EC8" w:rsidP="008D6FF3">
      <w:pPr>
        <w:pStyle w:val="Estilo2"/>
        <w:rPr>
          <w:b w:val="0"/>
        </w:rPr>
      </w:pPr>
      <w:r w:rsidRPr="00DC105E">
        <w:t xml:space="preserve">Gráfico 2: </w:t>
      </w:r>
      <w:r w:rsidR="00B67E18" w:rsidRPr="00DC105E">
        <w:t xml:space="preserve">Porcentaje de hogares </w:t>
      </w:r>
      <w:r w:rsidR="00084786" w:rsidRPr="00DC105E">
        <w:t xml:space="preserve">con </w:t>
      </w:r>
      <w:r w:rsidR="00545BDB">
        <w:t>personas que se reconocen como</w:t>
      </w:r>
      <w:r w:rsidR="00084786" w:rsidRPr="00DC105E">
        <w:t xml:space="preserve"> LGBTI</w:t>
      </w:r>
    </w:p>
    <w:p w14:paraId="3C7E1AC2" w14:textId="79C04790" w:rsidR="00BD1083" w:rsidRPr="00DC105E" w:rsidRDefault="00FE5600" w:rsidP="008D6FF3">
      <w:pPr>
        <w:spacing w:line="360" w:lineRule="auto"/>
        <w:rPr>
          <w:b/>
        </w:rPr>
      </w:pPr>
      <w:r w:rsidRPr="001C3247">
        <w:rPr>
          <w:rFonts w:ascii="Garamond" w:hAnsi="Garamond"/>
          <w:noProof/>
          <w:sz w:val="14"/>
          <w:szCs w:val="14"/>
          <w:lang w:val="es-CO" w:eastAsia="es-CO"/>
        </w:rPr>
        <w:drawing>
          <wp:inline distT="0" distB="0" distL="0" distR="0" wp14:anchorId="3B1D43FC" wp14:editId="26E50B12">
            <wp:extent cx="2747010" cy="2600076"/>
            <wp:effectExtent l="0" t="0" r="0" b="0"/>
            <wp:docPr id="7" name="Chart 7">
              <a:extLst xmlns:a="http://schemas.openxmlformats.org/drawingml/2006/main">
                <a:ext uri="{FF2B5EF4-FFF2-40B4-BE49-F238E27FC236}">
                  <a16:creationId xmlns:a16="http://schemas.microsoft.com/office/drawing/2014/main" id="{3643C80F-B7C9-4D44-9C2D-D41174318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991C1F" w14:textId="77777777" w:rsidR="001C3247" w:rsidRDefault="001C3247" w:rsidP="008D6FF3">
      <w:pPr>
        <w:spacing w:line="360" w:lineRule="auto"/>
        <w:jc w:val="both"/>
        <w:rPr>
          <w:rFonts w:ascii="Garamond" w:hAnsi="Garamond"/>
          <w:sz w:val="20"/>
          <w:szCs w:val="20"/>
          <w:lang w:val="es-MX"/>
        </w:rPr>
      </w:pPr>
    </w:p>
    <w:p w14:paraId="1D1D62FC" w14:textId="6B6E5F4D" w:rsidR="002F245B" w:rsidRPr="00DC105E" w:rsidRDefault="00C27926" w:rsidP="008D6FF3">
      <w:pPr>
        <w:spacing w:line="360" w:lineRule="auto"/>
        <w:jc w:val="both"/>
        <w:rPr>
          <w:rFonts w:ascii="Garamond" w:hAnsi="Garamond"/>
          <w:sz w:val="20"/>
          <w:szCs w:val="20"/>
          <w:lang w:val="es-MX"/>
        </w:rPr>
      </w:pPr>
      <w:r w:rsidRPr="00DC105E">
        <w:rPr>
          <w:rFonts w:ascii="Garamond" w:hAnsi="Garamond"/>
          <w:sz w:val="20"/>
          <w:szCs w:val="20"/>
          <w:lang w:val="es-MX"/>
        </w:rPr>
        <w:t xml:space="preserve">Por </w:t>
      </w:r>
      <w:r w:rsidR="00516FB5" w:rsidRPr="00DC105E">
        <w:rPr>
          <w:rFonts w:ascii="Garamond" w:hAnsi="Garamond"/>
          <w:sz w:val="20"/>
          <w:szCs w:val="20"/>
          <w:lang w:val="es-MX"/>
        </w:rPr>
        <w:t>otro lado</w:t>
      </w:r>
      <w:r w:rsidR="000A1749" w:rsidRPr="00DC105E">
        <w:rPr>
          <w:rFonts w:ascii="Garamond" w:hAnsi="Garamond"/>
          <w:sz w:val="20"/>
          <w:szCs w:val="20"/>
          <w:lang w:val="es-MX"/>
        </w:rPr>
        <w:t xml:space="preserve">, </w:t>
      </w:r>
      <w:r w:rsidR="009127C0" w:rsidRPr="00DC105E">
        <w:rPr>
          <w:rFonts w:ascii="Garamond" w:hAnsi="Garamond"/>
          <w:sz w:val="20"/>
          <w:szCs w:val="20"/>
          <w:lang w:val="es-MX"/>
        </w:rPr>
        <w:t>respecto a</w:t>
      </w:r>
      <w:r w:rsidR="00316DE8" w:rsidRPr="00DC105E">
        <w:rPr>
          <w:rFonts w:ascii="Garamond" w:hAnsi="Garamond"/>
          <w:sz w:val="20"/>
          <w:szCs w:val="20"/>
          <w:lang w:val="es-MX"/>
        </w:rPr>
        <w:t xml:space="preserve"> la proporción de hogares con </w:t>
      </w:r>
      <w:r w:rsidR="00505137">
        <w:rPr>
          <w:rFonts w:ascii="Garamond" w:hAnsi="Garamond"/>
          <w:sz w:val="20"/>
          <w:szCs w:val="20"/>
          <w:lang w:val="es-MX"/>
        </w:rPr>
        <w:t>personas</w:t>
      </w:r>
      <w:r w:rsidR="00F9048E" w:rsidRPr="00DC105E">
        <w:rPr>
          <w:rFonts w:ascii="Garamond" w:hAnsi="Garamond"/>
          <w:sz w:val="20"/>
          <w:szCs w:val="20"/>
          <w:lang w:val="es-MX"/>
        </w:rPr>
        <w:t xml:space="preserve"> </w:t>
      </w:r>
      <w:r w:rsidR="00115441">
        <w:rPr>
          <w:rFonts w:ascii="Garamond" w:hAnsi="Garamond"/>
          <w:sz w:val="20"/>
          <w:szCs w:val="20"/>
          <w:lang w:val="es-MX"/>
        </w:rPr>
        <w:t>de los sectores LGBTI</w:t>
      </w:r>
      <w:r w:rsidR="007D018D" w:rsidRPr="00DC105E">
        <w:rPr>
          <w:rFonts w:ascii="Garamond" w:hAnsi="Garamond"/>
          <w:sz w:val="20"/>
          <w:szCs w:val="20"/>
          <w:lang w:val="es-MX"/>
        </w:rPr>
        <w:t xml:space="preserve"> </w:t>
      </w:r>
      <w:r w:rsidR="009127C0" w:rsidRPr="00DC105E">
        <w:rPr>
          <w:rFonts w:ascii="Garamond" w:hAnsi="Garamond"/>
          <w:sz w:val="20"/>
          <w:szCs w:val="20"/>
          <w:lang w:val="es-MX"/>
        </w:rPr>
        <w:t>en función</w:t>
      </w:r>
      <w:r w:rsidR="007D018D" w:rsidRPr="00DC105E">
        <w:rPr>
          <w:rFonts w:ascii="Garamond" w:hAnsi="Garamond"/>
          <w:sz w:val="20"/>
          <w:szCs w:val="20"/>
          <w:lang w:val="es-MX"/>
        </w:rPr>
        <w:t xml:space="preserve"> a la población de Bogotá</w:t>
      </w:r>
      <w:r w:rsidR="00316DE8" w:rsidRPr="00DC105E">
        <w:rPr>
          <w:rFonts w:ascii="Garamond" w:hAnsi="Garamond"/>
          <w:sz w:val="20"/>
          <w:szCs w:val="20"/>
          <w:lang w:val="es-MX"/>
        </w:rPr>
        <w:t xml:space="preserve">, </w:t>
      </w:r>
      <w:r w:rsidR="007B6DC9" w:rsidRPr="00DC105E">
        <w:rPr>
          <w:rFonts w:ascii="Garamond" w:hAnsi="Garamond"/>
          <w:sz w:val="20"/>
          <w:szCs w:val="20"/>
          <w:lang w:val="es-MX"/>
        </w:rPr>
        <w:t xml:space="preserve">se identificó que </w:t>
      </w:r>
      <w:r w:rsidR="00316DE8" w:rsidRPr="00DC105E">
        <w:rPr>
          <w:rFonts w:ascii="Garamond" w:hAnsi="Garamond"/>
          <w:sz w:val="20"/>
          <w:szCs w:val="20"/>
          <w:lang w:val="es-MX"/>
        </w:rPr>
        <w:t>el 37,22%</w:t>
      </w:r>
      <w:r w:rsidR="00E136CC" w:rsidRPr="00DC105E">
        <w:rPr>
          <w:rFonts w:ascii="Garamond" w:hAnsi="Garamond"/>
          <w:sz w:val="20"/>
          <w:szCs w:val="20"/>
          <w:lang w:val="es-MX"/>
        </w:rPr>
        <w:t xml:space="preserve"> </w:t>
      </w:r>
      <w:r w:rsidR="00316DE8" w:rsidRPr="00DC105E">
        <w:rPr>
          <w:rFonts w:ascii="Garamond" w:hAnsi="Garamond"/>
          <w:sz w:val="20"/>
          <w:szCs w:val="20"/>
          <w:lang w:val="es-MX"/>
        </w:rPr>
        <w:t xml:space="preserve">de </w:t>
      </w:r>
      <w:r w:rsidR="00545BDB">
        <w:rPr>
          <w:rFonts w:ascii="Garamond" w:hAnsi="Garamond"/>
          <w:sz w:val="20"/>
          <w:szCs w:val="20"/>
          <w:lang w:val="es-MX"/>
        </w:rPr>
        <w:t>estos hogares</w:t>
      </w:r>
      <w:r w:rsidR="00316DE8" w:rsidRPr="00DC105E">
        <w:rPr>
          <w:rFonts w:ascii="Garamond" w:hAnsi="Garamond"/>
          <w:sz w:val="20"/>
          <w:szCs w:val="20"/>
          <w:lang w:val="es-MX"/>
        </w:rPr>
        <w:t xml:space="preserve"> pertenecen</w:t>
      </w:r>
      <w:r w:rsidR="00004F0A" w:rsidRPr="00DC105E">
        <w:rPr>
          <w:rFonts w:ascii="Garamond" w:hAnsi="Garamond"/>
          <w:sz w:val="20"/>
          <w:szCs w:val="20"/>
          <w:lang w:val="es-MX"/>
        </w:rPr>
        <w:t xml:space="preserve"> al estrato 3, seguidas</w:t>
      </w:r>
      <w:r w:rsidR="005A648F" w:rsidRPr="00DC105E">
        <w:rPr>
          <w:rFonts w:ascii="Garamond" w:hAnsi="Garamond"/>
          <w:sz w:val="20"/>
          <w:szCs w:val="20"/>
          <w:lang w:val="es-MX"/>
        </w:rPr>
        <w:t xml:space="preserve"> </w:t>
      </w:r>
      <w:r w:rsidR="005A648F" w:rsidRPr="00DC105E">
        <w:rPr>
          <w:rFonts w:ascii="Garamond" w:hAnsi="Garamond"/>
          <w:color w:val="000000" w:themeColor="text1"/>
          <w:sz w:val="20"/>
          <w:szCs w:val="20"/>
          <w:lang w:val="es-MX"/>
        </w:rPr>
        <w:t xml:space="preserve">del estrato 2 que </w:t>
      </w:r>
      <w:r w:rsidR="007B6DC9" w:rsidRPr="00DC105E">
        <w:rPr>
          <w:rFonts w:ascii="Garamond" w:hAnsi="Garamond"/>
          <w:color w:val="000000" w:themeColor="text1"/>
          <w:sz w:val="20"/>
          <w:szCs w:val="20"/>
          <w:lang w:val="es-MX"/>
        </w:rPr>
        <w:t>concentra</w:t>
      </w:r>
      <w:r w:rsidR="006C226E" w:rsidRPr="00DC105E">
        <w:rPr>
          <w:rFonts w:ascii="Garamond" w:hAnsi="Garamond"/>
          <w:sz w:val="20"/>
          <w:szCs w:val="20"/>
          <w:lang w:val="es-MX"/>
        </w:rPr>
        <w:t xml:space="preserve"> un 25,05</w:t>
      </w:r>
      <w:r w:rsidR="00B95311" w:rsidRPr="00DC105E">
        <w:rPr>
          <w:rFonts w:ascii="Garamond" w:hAnsi="Garamond"/>
          <w:sz w:val="20"/>
          <w:szCs w:val="20"/>
          <w:lang w:val="es-MX"/>
        </w:rPr>
        <w:t>% de</w:t>
      </w:r>
      <w:r w:rsidR="005A648F" w:rsidRPr="00DC105E">
        <w:rPr>
          <w:rFonts w:ascii="Garamond" w:hAnsi="Garamond"/>
          <w:sz w:val="20"/>
          <w:szCs w:val="20"/>
          <w:lang w:val="es-MX"/>
        </w:rPr>
        <w:t xml:space="preserve"> hogares </w:t>
      </w:r>
      <w:r w:rsidR="00DD3DBD" w:rsidRPr="00DC105E">
        <w:rPr>
          <w:rFonts w:ascii="Garamond" w:hAnsi="Garamond"/>
          <w:sz w:val="20"/>
          <w:szCs w:val="20"/>
          <w:lang w:val="es-MX"/>
        </w:rPr>
        <w:t xml:space="preserve">con </w:t>
      </w:r>
      <w:r w:rsidR="00505137">
        <w:rPr>
          <w:rFonts w:ascii="Garamond" w:hAnsi="Garamond"/>
          <w:sz w:val="20"/>
          <w:szCs w:val="20"/>
          <w:lang w:val="es-MX"/>
        </w:rPr>
        <w:t>personas</w:t>
      </w:r>
      <w:r w:rsidR="00DD3DBD" w:rsidRPr="00DC105E">
        <w:rPr>
          <w:rFonts w:ascii="Garamond" w:hAnsi="Garamond"/>
          <w:sz w:val="20"/>
          <w:szCs w:val="20"/>
          <w:lang w:val="es-MX"/>
        </w:rPr>
        <w:t xml:space="preserve"> </w:t>
      </w:r>
      <w:r w:rsidR="00115441">
        <w:rPr>
          <w:rFonts w:ascii="Garamond" w:hAnsi="Garamond"/>
          <w:sz w:val="20"/>
          <w:szCs w:val="20"/>
          <w:lang w:val="es-MX"/>
        </w:rPr>
        <w:t>de los sectores LGBTI</w:t>
      </w:r>
      <w:r w:rsidR="009F086E" w:rsidRPr="00DC105E">
        <w:rPr>
          <w:rFonts w:ascii="Garamond" w:hAnsi="Garamond"/>
          <w:sz w:val="20"/>
          <w:szCs w:val="20"/>
          <w:lang w:val="es-MX"/>
        </w:rPr>
        <w:t>. Así mismo, solo un 1,99%</w:t>
      </w:r>
      <w:r w:rsidR="00B95311" w:rsidRPr="00DC105E">
        <w:rPr>
          <w:rFonts w:ascii="Garamond" w:hAnsi="Garamond"/>
          <w:sz w:val="20"/>
          <w:szCs w:val="20"/>
          <w:lang w:val="es-MX"/>
        </w:rPr>
        <w:t xml:space="preserve"> </w:t>
      </w:r>
      <w:r w:rsidR="008A67D3" w:rsidRPr="00DC105E">
        <w:rPr>
          <w:rFonts w:ascii="Garamond" w:hAnsi="Garamond"/>
          <w:sz w:val="20"/>
          <w:szCs w:val="20"/>
          <w:lang w:val="es-MX"/>
        </w:rPr>
        <w:t xml:space="preserve">de los hogares con </w:t>
      </w:r>
      <w:r w:rsidR="00505137">
        <w:rPr>
          <w:rFonts w:ascii="Garamond" w:hAnsi="Garamond"/>
          <w:sz w:val="20"/>
          <w:szCs w:val="20"/>
          <w:lang w:val="es-MX"/>
        </w:rPr>
        <w:t>personas</w:t>
      </w:r>
      <w:r w:rsidR="008A67D3" w:rsidRPr="00DC105E">
        <w:rPr>
          <w:rFonts w:ascii="Garamond" w:hAnsi="Garamond"/>
          <w:sz w:val="20"/>
          <w:szCs w:val="20"/>
          <w:lang w:val="es-MX"/>
        </w:rPr>
        <w:t xml:space="preserve"> LGBTI</w:t>
      </w:r>
      <w:r w:rsidR="003B7B7F" w:rsidRPr="00DC105E">
        <w:rPr>
          <w:rFonts w:ascii="Garamond" w:hAnsi="Garamond"/>
          <w:sz w:val="20"/>
          <w:szCs w:val="20"/>
          <w:lang w:val="es-MX"/>
        </w:rPr>
        <w:t xml:space="preserve"> </w:t>
      </w:r>
      <w:r w:rsidR="008A67D3" w:rsidRPr="00DC105E">
        <w:rPr>
          <w:rFonts w:ascii="Garamond" w:hAnsi="Garamond"/>
          <w:sz w:val="20"/>
          <w:szCs w:val="20"/>
          <w:lang w:val="es-MX"/>
        </w:rPr>
        <w:t>se concentra en el estrato 6 y un 0,2</w:t>
      </w:r>
      <w:r w:rsidR="003622A3" w:rsidRPr="00DC105E">
        <w:rPr>
          <w:rFonts w:ascii="Garamond" w:hAnsi="Garamond"/>
          <w:sz w:val="20"/>
          <w:szCs w:val="20"/>
          <w:lang w:val="es-MX"/>
        </w:rPr>
        <w:t>% no</w:t>
      </w:r>
      <w:r w:rsidR="008A67D3" w:rsidRPr="00DC105E">
        <w:rPr>
          <w:rFonts w:ascii="Garamond" w:hAnsi="Garamond"/>
          <w:sz w:val="20"/>
          <w:szCs w:val="20"/>
          <w:lang w:val="es-MX"/>
        </w:rPr>
        <w:t xml:space="preserve"> registra estrato.</w:t>
      </w:r>
      <w:r w:rsidR="00F454F2">
        <w:rPr>
          <w:rStyle w:val="Refdenotaalpie"/>
          <w:rFonts w:ascii="Garamond" w:hAnsi="Garamond"/>
          <w:sz w:val="20"/>
          <w:szCs w:val="20"/>
          <w:lang w:val="es-MX"/>
        </w:rPr>
        <w:footnoteReference w:id="3"/>
      </w:r>
      <w:r w:rsidR="008A67D3" w:rsidRPr="00DC105E">
        <w:rPr>
          <w:rFonts w:ascii="Garamond" w:hAnsi="Garamond"/>
          <w:sz w:val="20"/>
          <w:szCs w:val="20"/>
          <w:lang w:val="es-MX"/>
        </w:rPr>
        <w:t xml:space="preserve">  </w:t>
      </w:r>
    </w:p>
    <w:p w14:paraId="4D676976" w14:textId="7483C179" w:rsidR="003622A3" w:rsidRDefault="003622A3" w:rsidP="008D6FF3">
      <w:pPr>
        <w:pStyle w:val="Estilo2"/>
        <w:jc w:val="left"/>
      </w:pPr>
    </w:p>
    <w:p w14:paraId="7DA238DD" w14:textId="2FC362A8" w:rsidR="001C3247" w:rsidRDefault="001C3247" w:rsidP="008D6FF3">
      <w:pPr>
        <w:pStyle w:val="Estilo2"/>
        <w:jc w:val="left"/>
      </w:pPr>
    </w:p>
    <w:p w14:paraId="75AC97BA" w14:textId="3B2064C1" w:rsidR="001C3247" w:rsidRDefault="001C3247" w:rsidP="008D6FF3">
      <w:pPr>
        <w:pStyle w:val="Estilo2"/>
        <w:jc w:val="left"/>
      </w:pPr>
    </w:p>
    <w:p w14:paraId="64C6039F" w14:textId="77777777" w:rsidR="001C3247" w:rsidRPr="00DC105E" w:rsidRDefault="001C3247" w:rsidP="008D6FF3">
      <w:pPr>
        <w:pStyle w:val="Estilo2"/>
        <w:jc w:val="left"/>
      </w:pPr>
    </w:p>
    <w:p w14:paraId="6DF96A89" w14:textId="15F34ED5" w:rsidR="00090E1F" w:rsidRPr="00DC105E" w:rsidRDefault="000A1749" w:rsidP="001C3247">
      <w:pPr>
        <w:pStyle w:val="Estilo2"/>
      </w:pPr>
      <w:r w:rsidRPr="00DC105E">
        <w:lastRenderedPageBreak/>
        <w:t xml:space="preserve">Gráfico 3:   Proporción de hogares con </w:t>
      </w:r>
      <w:r w:rsidR="00505137">
        <w:t>personas</w:t>
      </w:r>
      <w:r w:rsidR="002F245B" w:rsidRPr="00DC105E">
        <w:t xml:space="preserve"> de</w:t>
      </w:r>
      <w:r w:rsidR="00115441">
        <w:t xml:space="preserve"> </w:t>
      </w:r>
      <w:r w:rsidR="00C7118B">
        <w:t>l</w:t>
      </w:r>
      <w:r w:rsidR="00115441">
        <w:t>os</w:t>
      </w:r>
      <w:r w:rsidR="00C7118B">
        <w:t xml:space="preserve"> sector</w:t>
      </w:r>
      <w:r w:rsidR="00115441">
        <w:t>es</w:t>
      </w:r>
      <w:r w:rsidR="00E136CC" w:rsidRPr="00DC105E">
        <w:t xml:space="preserve"> </w:t>
      </w:r>
      <w:r w:rsidRPr="00DC105E">
        <w:t>LGBTI por estrato.</w:t>
      </w:r>
    </w:p>
    <w:p w14:paraId="6895E1D7" w14:textId="2E6C1F23" w:rsidR="000A1749" w:rsidRPr="00DC105E" w:rsidRDefault="00F454F2" w:rsidP="008D6FF3">
      <w:pPr>
        <w:spacing w:line="360" w:lineRule="auto"/>
        <w:rPr>
          <w:b/>
        </w:rPr>
      </w:pPr>
      <w:r>
        <w:rPr>
          <w:noProof/>
          <w:lang w:val="es-CO" w:eastAsia="es-CO"/>
        </w:rPr>
        <w:drawing>
          <wp:inline distT="0" distB="0" distL="0" distR="0" wp14:anchorId="3E19195D" wp14:editId="033E89F9">
            <wp:extent cx="2870200" cy="2775006"/>
            <wp:effectExtent l="0" t="0" r="0" b="0"/>
            <wp:docPr id="19" name="Chart 19">
              <a:extLst xmlns:a="http://schemas.openxmlformats.org/drawingml/2006/main">
                <a:ext uri="{FF2B5EF4-FFF2-40B4-BE49-F238E27FC236}">
                  <a16:creationId xmlns:a16="http://schemas.microsoft.com/office/drawing/2014/main" id="{AB20FF5B-F07F-CE47-8F5A-6263E1272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2DD430" w14:textId="3A9F32FE" w:rsidR="00C12F8A" w:rsidRPr="00DC105E" w:rsidRDefault="00742C90" w:rsidP="008D6FF3">
      <w:pPr>
        <w:pStyle w:val="Estilo2"/>
        <w:jc w:val="both"/>
        <w:rPr>
          <w:b w:val="0"/>
        </w:rPr>
      </w:pPr>
      <w:r w:rsidRPr="00DC105E">
        <w:rPr>
          <w:b w:val="0"/>
        </w:rPr>
        <w:t xml:space="preserve">En </w:t>
      </w:r>
      <w:r w:rsidR="00226DAA" w:rsidRPr="00DC105E">
        <w:rPr>
          <w:b w:val="0"/>
        </w:rPr>
        <w:t>cuanto a</w:t>
      </w:r>
      <w:r w:rsidR="00C572DE" w:rsidRPr="00DC105E">
        <w:rPr>
          <w:b w:val="0"/>
        </w:rPr>
        <w:t xml:space="preserve"> la distribución porcentual de los hogares con </w:t>
      </w:r>
      <w:r w:rsidR="00C7118B">
        <w:rPr>
          <w:b w:val="0"/>
        </w:rPr>
        <w:t>personas de</w:t>
      </w:r>
      <w:r w:rsidR="00115441">
        <w:rPr>
          <w:b w:val="0"/>
        </w:rPr>
        <w:t xml:space="preserve"> </w:t>
      </w:r>
      <w:r w:rsidR="00C7118B">
        <w:rPr>
          <w:b w:val="0"/>
        </w:rPr>
        <w:t>l</w:t>
      </w:r>
      <w:r w:rsidR="00115441">
        <w:rPr>
          <w:b w:val="0"/>
        </w:rPr>
        <w:t>os</w:t>
      </w:r>
      <w:r w:rsidR="00C7118B">
        <w:rPr>
          <w:b w:val="0"/>
        </w:rPr>
        <w:t xml:space="preserve"> sector</w:t>
      </w:r>
      <w:r w:rsidR="00115441">
        <w:rPr>
          <w:b w:val="0"/>
        </w:rPr>
        <w:t>es</w:t>
      </w:r>
      <w:r w:rsidR="00C7118B" w:rsidRPr="00DC105E">
        <w:rPr>
          <w:b w:val="0"/>
        </w:rPr>
        <w:t xml:space="preserve"> </w:t>
      </w:r>
      <w:r w:rsidR="00C572DE" w:rsidRPr="00DC105E">
        <w:rPr>
          <w:b w:val="0"/>
        </w:rPr>
        <w:t xml:space="preserve">LGBTI por localidad, se identifica que </w:t>
      </w:r>
      <w:r w:rsidR="00226DAA" w:rsidRPr="00DC105E">
        <w:rPr>
          <w:b w:val="0"/>
        </w:rPr>
        <w:t>la</w:t>
      </w:r>
      <w:r w:rsidR="00C12F8A" w:rsidRPr="00DC105E">
        <w:rPr>
          <w:b w:val="0"/>
        </w:rPr>
        <w:t>s</w:t>
      </w:r>
      <w:r w:rsidR="00226DAA" w:rsidRPr="00DC105E">
        <w:rPr>
          <w:b w:val="0"/>
        </w:rPr>
        <w:t xml:space="preserve"> </w:t>
      </w:r>
      <w:r w:rsidR="00E4059F" w:rsidRPr="00DC105E">
        <w:rPr>
          <w:b w:val="0"/>
        </w:rPr>
        <w:t>localidad</w:t>
      </w:r>
      <w:r w:rsidR="00C12F8A" w:rsidRPr="00DC105E">
        <w:rPr>
          <w:b w:val="0"/>
        </w:rPr>
        <w:t>es</w:t>
      </w:r>
      <w:r w:rsidR="00E4059F" w:rsidRPr="00DC105E">
        <w:rPr>
          <w:b w:val="0"/>
        </w:rPr>
        <w:t xml:space="preserve"> de</w:t>
      </w:r>
      <w:r w:rsidR="00F741C5" w:rsidRPr="00DC105E">
        <w:rPr>
          <w:b w:val="0"/>
        </w:rPr>
        <w:t xml:space="preserve"> Sumapaz</w:t>
      </w:r>
      <w:r w:rsidR="00FE681E" w:rsidRPr="00DC105E">
        <w:rPr>
          <w:b w:val="0"/>
        </w:rPr>
        <w:t xml:space="preserve"> </w:t>
      </w:r>
      <w:r w:rsidR="005A223A" w:rsidRPr="00DC105E">
        <w:rPr>
          <w:b w:val="0"/>
        </w:rPr>
        <w:t>y los Mártires</w:t>
      </w:r>
      <w:r w:rsidR="00F741C5" w:rsidRPr="00DC105E">
        <w:rPr>
          <w:b w:val="0"/>
        </w:rPr>
        <w:t xml:space="preserve"> </w:t>
      </w:r>
      <w:r w:rsidR="008014EC" w:rsidRPr="00DC105E">
        <w:rPr>
          <w:b w:val="0"/>
        </w:rPr>
        <w:t>(4,47%</w:t>
      </w:r>
      <w:r w:rsidR="008E486A">
        <w:rPr>
          <w:b w:val="0"/>
        </w:rPr>
        <w:t xml:space="preserve"> </w:t>
      </w:r>
      <w:r w:rsidR="008014EC" w:rsidRPr="00DC105E">
        <w:rPr>
          <w:b w:val="0"/>
        </w:rPr>
        <w:t>-</w:t>
      </w:r>
      <w:r w:rsidR="008E486A">
        <w:rPr>
          <w:b w:val="0"/>
        </w:rPr>
        <w:t xml:space="preserve"> </w:t>
      </w:r>
      <w:r w:rsidR="008014EC" w:rsidRPr="00DC105E">
        <w:rPr>
          <w:b w:val="0"/>
        </w:rPr>
        <w:t xml:space="preserve">8,99%) </w:t>
      </w:r>
      <w:r w:rsidR="00412F69" w:rsidRPr="00DC105E">
        <w:rPr>
          <w:b w:val="0"/>
        </w:rPr>
        <w:t>tienen mayor</w:t>
      </w:r>
      <w:r w:rsidR="00E4059F" w:rsidRPr="00DC105E">
        <w:rPr>
          <w:b w:val="0"/>
        </w:rPr>
        <w:t xml:space="preserve"> densidad</w:t>
      </w:r>
      <w:r w:rsidR="00C12F8A" w:rsidRPr="00DC105E">
        <w:rPr>
          <w:b w:val="0"/>
        </w:rPr>
        <w:t>;</w:t>
      </w:r>
      <w:r w:rsidR="005A223A" w:rsidRPr="00DC105E">
        <w:rPr>
          <w:b w:val="0"/>
        </w:rPr>
        <w:t xml:space="preserve"> </w:t>
      </w:r>
      <w:r w:rsidR="00A25DA1">
        <w:rPr>
          <w:b w:val="0"/>
        </w:rPr>
        <w:t>a</w:t>
      </w:r>
      <w:r w:rsidR="00301E42" w:rsidRPr="00DC105E">
        <w:rPr>
          <w:b w:val="0"/>
        </w:rPr>
        <w:t>sí mismo</w:t>
      </w:r>
      <w:r w:rsidR="005A223A" w:rsidRPr="00DC105E">
        <w:rPr>
          <w:b w:val="0"/>
        </w:rPr>
        <w:t>,</w:t>
      </w:r>
      <w:r w:rsidR="008014EC" w:rsidRPr="00DC105E">
        <w:rPr>
          <w:b w:val="0"/>
        </w:rPr>
        <w:t xml:space="preserve"> se </w:t>
      </w:r>
      <w:r w:rsidR="00301E42" w:rsidRPr="00DC105E">
        <w:rPr>
          <w:b w:val="0"/>
        </w:rPr>
        <w:t>encuentra</w:t>
      </w:r>
      <w:r w:rsidR="008014EC" w:rsidRPr="00DC105E">
        <w:rPr>
          <w:b w:val="0"/>
        </w:rPr>
        <w:t xml:space="preserve"> que</w:t>
      </w:r>
      <w:r w:rsidR="005A223A" w:rsidRPr="00DC105E">
        <w:rPr>
          <w:b w:val="0"/>
        </w:rPr>
        <w:t xml:space="preserve"> las localidades de </w:t>
      </w:r>
      <w:r w:rsidR="008014EC" w:rsidRPr="00DC105E">
        <w:rPr>
          <w:b w:val="0"/>
        </w:rPr>
        <w:t xml:space="preserve">San Cristóbal, Bosa, Puente Aranda y Suba son aquellas con menor </w:t>
      </w:r>
      <w:r w:rsidR="00061F11" w:rsidRPr="00DC105E">
        <w:rPr>
          <w:b w:val="0"/>
        </w:rPr>
        <w:t>porcentaje (0,54%</w:t>
      </w:r>
      <w:r w:rsidR="008E486A">
        <w:rPr>
          <w:b w:val="0"/>
        </w:rPr>
        <w:t xml:space="preserve"> </w:t>
      </w:r>
      <w:r w:rsidR="00061F11" w:rsidRPr="00DC105E">
        <w:rPr>
          <w:b w:val="0"/>
        </w:rPr>
        <w:t>-</w:t>
      </w:r>
      <w:r w:rsidR="008E486A">
        <w:rPr>
          <w:b w:val="0"/>
        </w:rPr>
        <w:t xml:space="preserve"> </w:t>
      </w:r>
      <w:r w:rsidR="00061F11" w:rsidRPr="00DC105E">
        <w:rPr>
          <w:b w:val="0"/>
        </w:rPr>
        <w:t>0,81%)</w:t>
      </w:r>
      <w:r w:rsidR="00C12F8A" w:rsidRPr="00DC105E">
        <w:rPr>
          <w:b w:val="0"/>
        </w:rPr>
        <w:t xml:space="preserve"> de familias con un miembro d</w:t>
      </w:r>
      <w:r w:rsidR="00115441">
        <w:rPr>
          <w:b w:val="0"/>
        </w:rPr>
        <w:t xml:space="preserve">e </w:t>
      </w:r>
      <w:r w:rsidR="00C7118B">
        <w:rPr>
          <w:b w:val="0"/>
        </w:rPr>
        <w:t>l</w:t>
      </w:r>
      <w:r w:rsidR="00115441">
        <w:rPr>
          <w:b w:val="0"/>
        </w:rPr>
        <w:t>os</w:t>
      </w:r>
      <w:r w:rsidR="00C7118B">
        <w:rPr>
          <w:b w:val="0"/>
        </w:rPr>
        <w:t xml:space="preserve"> sector</w:t>
      </w:r>
      <w:r w:rsidR="00115441">
        <w:rPr>
          <w:b w:val="0"/>
        </w:rPr>
        <w:t>es</w:t>
      </w:r>
      <w:r w:rsidR="00C12F8A" w:rsidRPr="00DC105E">
        <w:rPr>
          <w:b w:val="0"/>
        </w:rPr>
        <w:t xml:space="preserve"> LGBTI respecto a la población de la localidad</w:t>
      </w:r>
      <w:r w:rsidR="00061F11" w:rsidRPr="00DC105E">
        <w:rPr>
          <w:b w:val="0"/>
        </w:rPr>
        <w:t>.</w:t>
      </w:r>
    </w:p>
    <w:p w14:paraId="44F7DD29" w14:textId="090F335B" w:rsidR="001D0CF8" w:rsidRDefault="001D0CF8" w:rsidP="008D6FF3">
      <w:pPr>
        <w:pStyle w:val="Estilo2"/>
        <w:jc w:val="both"/>
      </w:pPr>
    </w:p>
    <w:p w14:paraId="2731DBF6" w14:textId="3ED04528" w:rsidR="00B00B13" w:rsidRDefault="00B00B13" w:rsidP="008D6FF3">
      <w:pPr>
        <w:pStyle w:val="Estilo2"/>
        <w:jc w:val="both"/>
      </w:pPr>
    </w:p>
    <w:p w14:paraId="56F9F2BC" w14:textId="4DE20304" w:rsidR="00B00B13" w:rsidRDefault="00B00B13" w:rsidP="008D6FF3">
      <w:pPr>
        <w:pStyle w:val="Estilo2"/>
        <w:jc w:val="both"/>
      </w:pPr>
    </w:p>
    <w:p w14:paraId="729A9FCB" w14:textId="30F12BCD" w:rsidR="00B00B13" w:rsidRDefault="00B00B13" w:rsidP="008D6FF3">
      <w:pPr>
        <w:pStyle w:val="Estilo2"/>
        <w:jc w:val="both"/>
      </w:pPr>
    </w:p>
    <w:p w14:paraId="2F2A3775" w14:textId="019E5122" w:rsidR="00B00B13" w:rsidRDefault="00B00B13" w:rsidP="008D6FF3">
      <w:pPr>
        <w:pStyle w:val="Estilo2"/>
        <w:jc w:val="both"/>
      </w:pPr>
    </w:p>
    <w:p w14:paraId="319B3FB9" w14:textId="2BE862CB" w:rsidR="00B00B13" w:rsidRDefault="00B00B13" w:rsidP="008D6FF3">
      <w:pPr>
        <w:pStyle w:val="Estilo2"/>
        <w:jc w:val="both"/>
      </w:pPr>
    </w:p>
    <w:p w14:paraId="0D22C8C6" w14:textId="0A7D068C" w:rsidR="00B00B13" w:rsidRDefault="00B00B13" w:rsidP="008D6FF3">
      <w:pPr>
        <w:pStyle w:val="Estilo2"/>
        <w:jc w:val="both"/>
      </w:pPr>
    </w:p>
    <w:p w14:paraId="7970E3F0" w14:textId="7AE563C9" w:rsidR="00B00B13" w:rsidRDefault="00B00B13" w:rsidP="008D6FF3">
      <w:pPr>
        <w:pStyle w:val="Estilo2"/>
        <w:jc w:val="both"/>
      </w:pPr>
    </w:p>
    <w:p w14:paraId="4D320656" w14:textId="1329F5E0" w:rsidR="00B00B13" w:rsidRDefault="00B00B13" w:rsidP="008D6FF3">
      <w:pPr>
        <w:pStyle w:val="Estilo2"/>
        <w:jc w:val="both"/>
      </w:pPr>
    </w:p>
    <w:p w14:paraId="4BCA43AD" w14:textId="2993319F" w:rsidR="00B00B13" w:rsidRDefault="00B00B13" w:rsidP="008D6FF3">
      <w:pPr>
        <w:pStyle w:val="Estilo2"/>
        <w:jc w:val="both"/>
      </w:pPr>
    </w:p>
    <w:p w14:paraId="0EE35836" w14:textId="42BBD2FA" w:rsidR="00B00B13" w:rsidRDefault="00B00B13" w:rsidP="008D6FF3">
      <w:pPr>
        <w:pStyle w:val="Estilo2"/>
        <w:jc w:val="both"/>
      </w:pPr>
    </w:p>
    <w:p w14:paraId="3A99A5F9" w14:textId="3381238A" w:rsidR="00B00B13" w:rsidRDefault="00B00B13" w:rsidP="008D6FF3">
      <w:pPr>
        <w:pStyle w:val="Estilo2"/>
        <w:jc w:val="both"/>
      </w:pPr>
    </w:p>
    <w:p w14:paraId="7C3D360D" w14:textId="534F9785" w:rsidR="00B00B13" w:rsidRDefault="00B00B13" w:rsidP="008D6FF3">
      <w:pPr>
        <w:pStyle w:val="Estilo2"/>
        <w:jc w:val="both"/>
      </w:pPr>
    </w:p>
    <w:p w14:paraId="2F749A77" w14:textId="27569635" w:rsidR="00B00B13" w:rsidRDefault="00B00B13" w:rsidP="008D6FF3">
      <w:pPr>
        <w:pStyle w:val="Estilo2"/>
        <w:jc w:val="both"/>
      </w:pPr>
    </w:p>
    <w:p w14:paraId="3FCD33F7" w14:textId="3E4F53DC" w:rsidR="00B00B13" w:rsidRDefault="00B00B13" w:rsidP="008D6FF3">
      <w:pPr>
        <w:pStyle w:val="Estilo2"/>
        <w:jc w:val="both"/>
      </w:pPr>
    </w:p>
    <w:p w14:paraId="0451038E" w14:textId="33020FE4" w:rsidR="00B00B13" w:rsidRDefault="00B00B13" w:rsidP="008D6FF3">
      <w:pPr>
        <w:pStyle w:val="Estilo2"/>
        <w:jc w:val="both"/>
      </w:pPr>
    </w:p>
    <w:p w14:paraId="7128653B" w14:textId="35C08C9C" w:rsidR="00B00B13" w:rsidRDefault="00B00B13" w:rsidP="008D6FF3">
      <w:pPr>
        <w:pStyle w:val="Estilo2"/>
        <w:jc w:val="both"/>
      </w:pPr>
    </w:p>
    <w:p w14:paraId="36DF0009" w14:textId="24111810" w:rsidR="00B00B13" w:rsidRDefault="00B00B13" w:rsidP="008D6FF3">
      <w:pPr>
        <w:pStyle w:val="Estilo2"/>
        <w:jc w:val="both"/>
      </w:pPr>
    </w:p>
    <w:p w14:paraId="3ED4D988" w14:textId="06AA0755" w:rsidR="00B00B13" w:rsidRDefault="00B00B13" w:rsidP="008D6FF3">
      <w:pPr>
        <w:pStyle w:val="Estilo2"/>
        <w:jc w:val="both"/>
      </w:pPr>
    </w:p>
    <w:p w14:paraId="43E801F3" w14:textId="369F985A" w:rsidR="00B00B13" w:rsidRDefault="00B00B13" w:rsidP="008D6FF3">
      <w:pPr>
        <w:pStyle w:val="Estilo2"/>
        <w:jc w:val="both"/>
      </w:pPr>
    </w:p>
    <w:p w14:paraId="23A47CB4" w14:textId="7850CE38" w:rsidR="00B00B13" w:rsidRDefault="00B00B13" w:rsidP="008D6FF3">
      <w:pPr>
        <w:pStyle w:val="Estilo2"/>
        <w:jc w:val="both"/>
      </w:pPr>
    </w:p>
    <w:p w14:paraId="4F042976" w14:textId="6DB77C17" w:rsidR="00B00B13" w:rsidRDefault="00B00B13" w:rsidP="008D6FF3">
      <w:pPr>
        <w:pStyle w:val="Estilo2"/>
        <w:jc w:val="both"/>
      </w:pPr>
    </w:p>
    <w:p w14:paraId="33207199" w14:textId="7EB2BC24" w:rsidR="00B00B13" w:rsidRDefault="00B00B13" w:rsidP="008D6FF3">
      <w:pPr>
        <w:pStyle w:val="Estilo2"/>
        <w:jc w:val="both"/>
      </w:pPr>
    </w:p>
    <w:p w14:paraId="29E8AECF" w14:textId="5E870D3F" w:rsidR="00B00B13" w:rsidRDefault="00B00B13" w:rsidP="008D6FF3">
      <w:pPr>
        <w:pStyle w:val="Estilo2"/>
        <w:jc w:val="both"/>
      </w:pPr>
    </w:p>
    <w:p w14:paraId="7E13FFC0" w14:textId="60476F18" w:rsidR="00B00B13" w:rsidRDefault="00B00B13" w:rsidP="008D6FF3">
      <w:pPr>
        <w:pStyle w:val="Estilo2"/>
        <w:jc w:val="both"/>
      </w:pPr>
    </w:p>
    <w:p w14:paraId="2F7DDFC9" w14:textId="0AFEE35C" w:rsidR="00B00B13" w:rsidRDefault="00B00B13" w:rsidP="008D6FF3">
      <w:pPr>
        <w:pStyle w:val="Estilo2"/>
        <w:jc w:val="both"/>
      </w:pPr>
    </w:p>
    <w:p w14:paraId="6F6502E1" w14:textId="112C765D" w:rsidR="00B00B13" w:rsidRDefault="00B00B13" w:rsidP="008D6FF3">
      <w:pPr>
        <w:pStyle w:val="Estilo2"/>
        <w:jc w:val="both"/>
      </w:pPr>
    </w:p>
    <w:p w14:paraId="71C594BD" w14:textId="43E81763" w:rsidR="00B00B13" w:rsidRDefault="00B00B13" w:rsidP="008D6FF3">
      <w:pPr>
        <w:pStyle w:val="Estilo2"/>
        <w:jc w:val="both"/>
      </w:pPr>
    </w:p>
    <w:p w14:paraId="39D60D34" w14:textId="63C54E5E" w:rsidR="00B00B13" w:rsidRDefault="00B00B13" w:rsidP="008D6FF3">
      <w:pPr>
        <w:pStyle w:val="Estilo2"/>
        <w:jc w:val="both"/>
      </w:pPr>
    </w:p>
    <w:p w14:paraId="235C5B1F" w14:textId="2920681D" w:rsidR="00B00B13" w:rsidRDefault="00B00B13" w:rsidP="008D6FF3">
      <w:pPr>
        <w:pStyle w:val="Estilo2"/>
        <w:jc w:val="both"/>
      </w:pPr>
    </w:p>
    <w:p w14:paraId="5B46EEAF" w14:textId="4B3F9AB9" w:rsidR="00B00B13" w:rsidRDefault="00B00B13" w:rsidP="008D6FF3">
      <w:pPr>
        <w:pStyle w:val="Estilo2"/>
        <w:jc w:val="both"/>
      </w:pPr>
    </w:p>
    <w:p w14:paraId="621F7B4E" w14:textId="6CCA3FD7" w:rsidR="00B00B13" w:rsidRDefault="00B00B13" w:rsidP="008D6FF3">
      <w:pPr>
        <w:pStyle w:val="Estilo2"/>
        <w:jc w:val="both"/>
      </w:pPr>
    </w:p>
    <w:p w14:paraId="26001983" w14:textId="6CDF7A8C" w:rsidR="00B00B13" w:rsidRDefault="00B00B13" w:rsidP="008D6FF3">
      <w:pPr>
        <w:pStyle w:val="Estilo2"/>
        <w:jc w:val="both"/>
      </w:pPr>
    </w:p>
    <w:p w14:paraId="546D4365" w14:textId="7EBF6150" w:rsidR="00B00B13" w:rsidRDefault="00B00B13" w:rsidP="008D6FF3">
      <w:pPr>
        <w:pStyle w:val="Estilo2"/>
        <w:jc w:val="both"/>
      </w:pPr>
    </w:p>
    <w:p w14:paraId="0F054249" w14:textId="57CCA6B0" w:rsidR="00B00B13" w:rsidRDefault="00B00B13" w:rsidP="008D6FF3">
      <w:pPr>
        <w:pStyle w:val="Estilo2"/>
        <w:jc w:val="both"/>
      </w:pPr>
    </w:p>
    <w:p w14:paraId="6123824E" w14:textId="2A4AD868" w:rsidR="00B00B13" w:rsidRDefault="00B00B13" w:rsidP="008D6FF3">
      <w:pPr>
        <w:pStyle w:val="Estilo2"/>
        <w:jc w:val="both"/>
      </w:pPr>
    </w:p>
    <w:p w14:paraId="145CE11B" w14:textId="4A347BAF" w:rsidR="00B00B13" w:rsidRDefault="00B00B13" w:rsidP="008D6FF3">
      <w:pPr>
        <w:pStyle w:val="Estilo2"/>
        <w:jc w:val="both"/>
      </w:pPr>
    </w:p>
    <w:p w14:paraId="5A79CF3A" w14:textId="0E0FB811" w:rsidR="00B00B13" w:rsidRDefault="00B00B13" w:rsidP="008D6FF3">
      <w:pPr>
        <w:pStyle w:val="Estilo2"/>
        <w:jc w:val="both"/>
      </w:pPr>
    </w:p>
    <w:p w14:paraId="0C152F68" w14:textId="23C86A58" w:rsidR="00B00B13" w:rsidRDefault="00B00B13" w:rsidP="008D6FF3">
      <w:pPr>
        <w:pStyle w:val="Estilo2"/>
        <w:jc w:val="both"/>
      </w:pPr>
    </w:p>
    <w:p w14:paraId="5AA48955" w14:textId="75357A23" w:rsidR="00B00B13" w:rsidRDefault="00B00B13" w:rsidP="008D6FF3">
      <w:pPr>
        <w:pStyle w:val="Estilo2"/>
        <w:jc w:val="both"/>
      </w:pPr>
    </w:p>
    <w:p w14:paraId="1F9B7F03" w14:textId="2B6457F4" w:rsidR="00B00B13" w:rsidRDefault="00B00B13" w:rsidP="008D6FF3">
      <w:pPr>
        <w:pStyle w:val="Estilo2"/>
        <w:jc w:val="both"/>
      </w:pPr>
    </w:p>
    <w:p w14:paraId="438EF884" w14:textId="5EE0C7BA" w:rsidR="00B00B13" w:rsidRDefault="00B00B13" w:rsidP="008D6FF3">
      <w:pPr>
        <w:pStyle w:val="Estilo2"/>
        <w:jc w:val="both"/>
      </w:pPr>
    </w:p>
    <w:p w14:paraId="705B1A5C" w14:textId="720F3BEC" w:rsidR="00B00B13" w:rsidRDefault="00B00B13" w:rsidP="008D6FF3">
      <w:pPr>
        <w:pStyle w:val="Estilo2"/>
        <w:jc w:val="both"/>
      </w:pPr>
    </w:p>
    <w:p w14:paraId="4D7ABA5B" w14:textId="784C0501" w:rsidR="00B00B13" w:rsidRDefault="00B00B13" w:rsidP="008D6FF3">
      <w:pPr>
        <w:pStyle w:val="Estilo2"/>
        <w:jc w:val="both"/>
      </w:pPr>
    </w:p>
    <w:p w14:paraId="1768F04D" w14:textId="2FD7740B" w:rsidR="00B00B13" w:rsidRDefault="00B00B13" w:rsidP="008D6FF3">
      <w:pPr>
        <w:pStyle w:val="Estilo2"/>
        <w:jc w:val="both"/>
      </w:pPr>
    </w:p>
    <w:p w14:paraId="778B9B11" w14:textId="41C8C98C" w:rsidR="00B00B13" w:rsidRDefault="00B00B13" w:rsidP="008D6FF3">
      <w:pPr>
        <w:pStyle w:val="Estilo2"/>
        <w:jc w:val="both"/>
      </w:pPr>
    </w:p>
    <w:p w14:paraId="4EE8C8C4" w14:textId="536AD6ED" w:rsidR="00B00B13" w:rsidRDefault="00B00B13" w:rsidP="008D6FF3">
      <w:pPr>
        <w:pStyle w:val="Estilo2"/>
        <w:jc w:val="both"/>
      </w:pPr>
    </w:p>
    <w:p w14:paraId="44C42621" w14:textId="33F78646" w:rsidR="00B00B13" w:rsidRDefault="00B00B13" w:rsidP="008D6FF3">
      <w:pPr>
        <w:pStyle w:val="Estilo2"/>
        <w:jc w:val="both"/>
      </w:pPr>
    </w:p>
    <w:p w14:paraId="39E6ED71" w14:textId="6B2FE2DD" w:rsidR="00B00B13" w:rsidRDefault="00B00B13" w:rsidP="008D6FF3">
      <w:pPr>
        <w:pStyle w:val="Estilo2"/>
        <w:jc w:val="both"/>
      </w:pPr>
    </w:p>
    <w:p w14:paraId="271F17D2" w14:textId="6EE19D8A" w:rsidR="00B00B13" w:rsidRDefault="00B00B13" w:rsidP="008D6FF3">
      <w:pPr>
        <w:pStyle w:val="Estilo2"/>
        <w:jc w:val="both"/>
      </w:pPr>
    </w:p>
    <w:p w14:paraId="6065B78F" w14:textId="393FCFAD" w:rsidR="00B00B13" w:rsidRDefault="00B00B13" w:rsidP="008D6FF3">
      <w:pPr>
        <w:pStyle w:val="Estilo2"/>
        <w:jc w:val="both"/>
      </w:pPr>
    </w:p>
    <w:p w14:paraId="600EFACF" w14:textId="39B8C4AC" w:rsidR="00B00B13" w:rsidRDefault="00B00B13" w:rsidP="008D6FF3">
      <w:pPr>
        <w:pStyle w:val="Estilo2"/>
        <w:jc w:val="both"/>
      </w:pPr>
    </w:p>
    <w:p w14:paraId="005DBC6D" w14:textId="27124F15" w:rsidR="00B00B13" w:rsidRDefault="00B00B13" w:rsidP="008D6FF3">
      <w:pPr>
        <w:pStyle w:val="Estilo2"/>
        <w:jc w:val="both"/>
      </w:pPr>
    </w:p>
    <w:p w14:paraId="047095ED" w14:textId="77777777" w:rsidR="00B00B13" w:rsidRPr="00DC105E" w:rsidRDefault="00B00B13" w:rsidP="008D6FF3">
      <w:pPr>
        <w:pStyle w:val="Estilo2"/>
        <w:jc w:val="both"/>
      </w:pPr>
    </w:p>
    <w:p w14:paraId="7B029CAD" w14:textId="77777777" w:rsidR="00B00B13" w:rsidRDefault="00B00B13" w:rsidP="008D6FF3">
      <w:pPr>
        <w:pStyle w:val="Estilo2"/>
        <w:sectPr w:rsidR="00B00B13" w:rsidSect="009B5528">
          <w:pgSz w:w="12240" w:h="15840"/>
          <w:pgMar w:top="1440" w:right="1440" w:bottom="1440" w:left="1440" w:header="708" w:footer="708" w:gutter="0"/>
          <w:pgNumType w:start="0"/>
          <w:cols w:num="2" w:space="708"/>
          <w:titlePg/>
          <w:docGrid w:linePitch="360"/>
        </w:sectPr>
      </w:pPr>
    </w:p>
    <w:p w14:paraId="4486F3C6" w14:textId="5EEC78DE" w:rsidR="00C11A2C" w:rsidRPr="00DC105E" w:rsidRDefault="00B00B13" w:rsidP="008D6FF3">
      <w:pPr>
        <w:pStyle w:val="Estilo2"/>
      </w:pPr>
      <w:r w:rsidRPr="00DC105E">
        <w:rPr>
          <w:b w:val="0"/>
          <w:noProof/>
          <w:lang w:val="es-CO" w:eastAsia="es-CO"/>
        </w:rPr>
        <w:drawing>
          <wp:anchor distT="0" distB="0" distL="114300" distR="114300" simplePos="0" relativeHeight="251658240" behindDoc="0" locked="0" layoutInCell="1" allowOverlap="1" wp14:anchorId="1A63939C" wp14:editId="424E6B5E">
            <wp:simplePos x="0" y="0"/>
            <wp:positionH relativeFrom="column">
              <wp:posOffset>762000</wp:posOffset>
            </wp:positionH>
            <wp:positionV relativeFrom="paragraph">
              <wp:posOffset>676910</wp:posOffset>
            </wp:positionV>
            <wp:extent cx="4291330" cy="7549515"/>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91330" cy="7549515"/>
                    </a:xfrm>
                    <a:prstGeom prst="rect">
                      <a:avLst/>
                    </a:prstGeom>
                    <a:ln>
                      <a:noFill/>
                    </a:ln>
                  </pic:spPr>
                </pic:pic>
              </a:graphicData>
            </a:graphic>
            <wp14:sizeRelH relativeFrom="page">
              <wp14:pctWidth>0</wp14:pctWidth>
            </wp14:sizeRelH>
            <wp14:sizeRelV relativeFrom="page">
              <wp14:pctHeight>0</wp14:pctHeight>
            </wp14:sizeRelV>
          </wp:anchor>
        </w:drawing>
      </w:r>
      <w:r w:rsidR="00C11A2C" w:rsidRPr="00DC105E">
        <w:t xml:space="preserve">Gráfico 4:   </w:t>
      </w:r>
      <w:r w:rsidR="00216A1E" w:rsidRPr="00DC105E">
        <w:t xml:space="preserve">Distribución porcentual </w:t>
      </w:r>
      <w:r w:rsidR="00214B6A" w:rsidRPr="00DC105E">
        <w:t xml:space="preserve">por Localidades de </w:t>
      </w:r>
      <w:r w:rsidR="00006889" w:rsidRPr="00DC105E">
        <w:t>Bogotá de</w:t>
      </w:r>
      <w:r w:rsidR="00A86EDA" w:rsidRPr="00DC105E">
        <w:t xml:space="preserve"> la densidad </w:t>
      </w:r>
      <w:r w:rsidR="00753E80" w:rsidRPr="00DC105E">
        <w:t xml:space="preserve">poblacional </w:t>
      </w:r>
      <w:r w:rsidR="00A86EDA" w:rsidRPr="00DC105E">
        <w:t>de</w:t>
      </w:r>
      <w:r w:rsidR="00006889" w:rsidRPr="00DC105E">
        <w:t xml:space="preserve"> los Hogares con </w:t>
      </w:r>
      <w:r w:rsidR="00115441">
        <w:t>personas</w:t>
      </w:r>
      <w:r w:rsidR="005B7AE6" w:rsidRPr="00DC105E">
        <w:t xml:space="preserve"> de</w:t>
      </w:r>
      <w:r w:rsidR="00115441">
        <w:t xml:space="preserve"> </w:t>
      </w:r>
      <w:r w:rsidR="00C7118B">
        <w:t>l</w:t>
      </w:r>
      <w:r w:rsidR="00115441">
        <w:t>os</w:t>
      </w:r>
      <w:r w:rsidR="00C7118B">
        <w:t xml:space="preserve"> sector</w:t>
      </w:r>
      <w:r w:rsidR="00115441">
        <w:t>es</w:t>
      </w:r>
      <w:r w:rsidR="00006889" w:rsidRPr="00DC105E">
        <w:t xml:space="preserve"> LGBTI</w:t>
      </w:r>
      <w:r w:rsidR="00C11A2C" w:rsidRPr="00DC105E">
        <w:t xml:space="preserve"> </w:t>
      </w:r>
    </w:p>
    <w:p w14:paraId="2562BBDB" w14:textId="77777777" w:rsidR="00B00B13" w:rsidRDefault="00B00B13" w:rsidP="008D6FF3">
      <w:pPr>
        <w:spacing w:line="360" w:lineRule="auto"/>
        <w:rPr>
          <w:b/>
        </w:rPr>
        <w:sectPr w:rsidR="00B00B13" w:rsidSect="00B00B13">
          <w:type w:val="continuous"/>
          <w:pgSz w:w="12240" w:h="15840"/>
          <w:pgMar w:top="1440" w:right="1440" w:bottom="1440" w:left="1440" w:header="708" w:footer="708" w:gutter="0"/>
          <w:cols w:space="708"/>
          <w:docGrid w:linePitch="360"/>
        </w:sectPr>
      </w:pPr>
    </w:p>
    <w:p w14:paraId="37BB3723" w14:textId="0AA433D5" w:rsidR="00B84C53" w:rsidRPr="00DC105E" w:rsidRDefault="001A09DB" w:rsidP="008D6FF3">
      <w:pPr>
        <w:pStyle w:val="Estilo2"/>
        <w:jc w:val="both"/>
        <w:rPr>
          <w:b w:val="0"/>
        </w:rPr>
      </w:pPr>
      <w:r w:rsidRPr="00DC105E">
        <w:rPr>
          <w:b w:val="0"/>
        </w:rPr>
        <w:lastRenderedPageBreak/>
        <w:t xml:space="preserve">Según </w:t>
      </w:r>
      <w:r w:rsidR="00D36060" w:rsidRPr="00DC105E">
        <w:rPr>
          <w:b w:val="0"/>
        </w:rPr>
        <w:t xml:space="preserve">el </w:t>
      </w:r>
      <w:r w:rsidR="00D81F28" w:rsidRPr="00DC105E">
        <w:rPr>
          <w:b w:val="0"/>
          <w:i/>
        </w:rPr>
        <w:t xml:space="preserve">Análisis demográfico y proyecciones poblacionales de Bogotá </w:t>
      </w:r>
      <w:r w:rsidR="00D81F28" w:rsidRPr="00DC105E">
        <w:rPr>
          <w:b w:val="0"/>
        </w:rPr>
        <w:t>de 2018,</w:t>
      </w:r>
      <w:r w:rsidR="0018699E" w:rsidRPr="00DC105E">
        <w:rPr>
          <w:b w:val="0"/>
        </w:rPr>
        <w:t xml:space="preserve"> </w:t>
      </w:r>
      <w:r w:rsidR="00FD0855" w:rsidRPr="00DC105E">
        <w:rPr>
          <w:b w:val="0"/>
        </w:rPr>
        <w:t xml:space="preserve">la localidad de Kennedy </w:t>
      </w:r>
      <w:r w:rsidR="00654A4B" w:rsidRPr="00DC105E">
        <w:rPr>
          <w:b w:val="0"/>
        </w:rPr>
        <w:t xml:space="preserve">se encuentra entre las localidades </w:t>
      </w:r>
      <w:r w:rsidR="00E41CDB" w:rsidRPr="00DC105E">
        <w:rPr>
          <w:b w:val="0"/>
        </w:rPr>
        <w:t xml:space="preserve">con mayor </w:t>
      </w:r>
      <w:r w:rsidR="004169F6" w:rsidRPr="00DC105E">
        <w:rPr>
          <w:b w:val="0"/>
        </w:rPr>
        <w:t xml:space="preserve">volumen </w:t>
      </w:r>
      <w:r w:rsidR="00E41CDB" w:rsidRPr="00DC105E">
        <w:rPr>
          <w:b w:val="0"/>
        </w:rPr>
        <w:t>poblacional</w:t>
      </w:r>
      <w:r w:rsidR="00961261" w:rsidRPr="00DC105E">
        <w:rPr>
          <w:b w:val="0"/>
        </w:rPr>
        <w:t xml:space="preserve">, lo que </w:t>
      </w:r>
      <w:r w:rsidR="00C572DE" w:rsidRPr="00DC105E">
        <w:rPr>
          <w:b w:val="0"/>
        </w:rPr>
        <w:t>explica</w:t>
      </w:r>
      <w:r w:rsidR="00476EA5" w:rsidRPr="00DC105E">
        <w:rPr>
          <w:b w:val="0"/>
        </w:rPr>
        <w:t xml:space="preserve"> que esta sea la localidad con mayor número de</w:t>
      </w:r>
      <w:r w:rsidR="00093E90">
        <w:rPr>
          <w:b w:val="0"/>
        </w:rPr>
        <w:t xml:space="preserve"> hogares con </w:t>
      </w:r>
      <w:r w:rsidR="00C7118B">
        <w:rPr>
          <w:b w:val="0"/>
        </w:rPr>
        <w:t>personas de</w:t>
      </w:r>
      <w:r w:rsidR="00115441">
        <w:rPr>
          <w:b w:val="0"/>
        </w:rPr>
        <w:t xml:space="preserve"> </w:t>
      </w:r>
      <w:r w:rsidR="00C7118B">
        <w:rPr>
          <w:b w:val="0"/>
        </w:rPr>
        <w:t>l</w:t>
      </w:r>
      <w:r w:rsidR="00115441">
        <w:rPr>
          <w:b w:val="0"/>
        </w:rPr>
        <w:t>os</w:t>
      </w:r>
      <w:r w:rsidR="00C7118B">
        <w:rPr>
          <w:b w:val="0"/>
        </w:rPr>
        <w:t xml:space="preserve"> sector</w:t>
      </w:r>
      <w:r w:rsidR="00115441">
        <w:rPr>
          <w:b w:val="0"/>
        </w:rPr>
        <w:t>es</w:t>
      </w:r>
      <w:r w:rsidR="00C7118B">
        <w:rPr>
          <w:b w:val="0"/>
        </w:rPr>
        <w:t xml:space="preserve"> </w:t>
      </w:r>
      <w:r w:rsidR="00093E90">
        <w:rPr>
          <w:b w:val="0"/>
        </w:rPr>
        <w:t>LGBTI, alrededor del</w:t>
      </w:r>
      <w:r w:rsidR="00961261" w:rsidRPr="00DC105E">
        <w:rPr>
          <w:b w:val="0"/>
        </w:rPr>
        <w:t xml:space="preserve"> 11,6%</w:t>
      </w:r>
      <w:r w:rsidR="00093E90">
        <w:rPr>
          <w:b w:val="0"/>
        </w:rPr>
        <w:t>,</w:t>
      </w:r>
      <w:r w:rsidR="00476EA5" w:rsidRPr="00DC105E">
        <w:rPr>
          <w:b w:val="0"/>
        </w:rPr>
        <w:t xml:space="preserve"> seguida por </w:t>
      </w:r>
      <w:r w:rsidR="0019115A" w:rsidRPr="00DC105E">
        <w:rPr>
          <w:b w:val="0"/>
        </w:rPr>
        <w:t>Ciudad Bolívar (10,29%) y Suba (</w:t>
      </w:r>
      <w:r w:rsidR="00735F87" w:rsidRPr="00DC105E">
        <w:rPr>
          <w:b w:val="0"/>
        </w:rPr>
        <w:t>10,12%</w:t>
      </w:r>
      <w:r w:rsidR="0019115A" w:rsidRPr="00DC105E">
        <w:rPr>
          <w:b w:val="0"/>
        </w:rPr>
        <w:t>)</w:t>
      </w:r>
      <w:r w:rsidR="00735F87" w:rsidRPr="00DC105E">
        <w:rPr>
          <w:b w:val="0"/>
        </w:rPr>
        <w:t>,</w:t>
      </w:r>
      <w:r w:rsidR="00304DEB">
        <w:rPr>
          <w:b w:val="0"/>
        </w:rPr>
        <w:t xml:space="preserve"> esta última también caracterizada por</w:t>
      </w:r>
      <w:r w:rsidR="00735F87" w:rsidRPr="00DC105E">
        <w:rPr>
          <w:b w:val="0"/>
        </w:rPr>
        <w:t xml:space="preserve"> su </w:t>
      </w:r>
      <w:r w:rsidR="00476EA5" w:rsidRPr="00DC105E">
        <w:rPr>
          <w:b w:val="0"/>
        </w:rPr>
        <w:t xml:space="preserve">alto </w:t>
      </w:r>
      <w:r w:rsidR="00735F87" w:rsidRPr="00DC105E">
        <w:rPr>
          <w:b w:val="0"/>
        </w:rPr>
        <w:t xml:space="preserve">volumen poblacional. </w:t>
      </w:r>
      <w:r w:rsidR="00093E90">
        <w:rPr>
          <w:b w:val="0"/>
        </w:rPr>
        <w:t>De otro lado</w:t>
      </w:r>
      <w:r w:rsidR="00735F87" w:rsidRPr="00DC105E">
        <w:rPr>
          <w:b w:val="0"/>
        </w:rPr>
        <w:t xml:space="preserve">, </w:t>
      </w:r>
      <w:r w:rsidR="005858D8" w:rsidRPr="00DC105E">
        <w:rPr>
          <w:b w:val="0"/>
        </w:rPr>
        <w:t>las localidades de Sumapaz (0,10%), la Candelaria</w:t>
      </w:r>
      <w:r w:rsidR="00406E7C" w:rsidRPr="00DC105E">
        <w:rPr>
          <w:b w:val="0"/>
        </w:rPr>
        <w:t xml:space="preserve"> (0,81%) y Antonio Nariño (0,94%) </w:t>
      </w:r>
      <w:r w:rsidR="00742C90" w:rsidRPr="00DC105E">
        <w:rPr>
          <w:b w:val="0"/>
        </w:rPr>
        <w:t xml:space="preserve">son las que presentan menor porcentaje de hogares con </w:t>
      </w:r>
      <w:r w:rsidR="00505137">
        <w:rPr>
          <w:b w:val="0"/>
        </w:rPr>
        <w:t>personas</w:t>
      </w:r>
      <w:r w:rsidR="00742C90" w:rsidRPr="00DC105E">
        <w:rPr>
          <w:b w:val="0"/>
        </w:rPr>
        <w:t xml:space="preserve"> LGBTI. </w:t>
      </w:r>
    </w:p>
    <w:p w14:paraId="487409D9" w14:textId="77777777" w:rsidR="00090E1F" w:rsidRPr="00DC105E" w:rsidRDefault="00090E1F" w:rsidP="008D6FF3">
      <w:pPr>
        <w:pStyle w:val="Estilo2"/>
        <w:jc w:val="both"/>
        <w:rPr>
          <w:b w:val="0"/>
        </w:rPr>
      </w:pPr>
    </w:p>
    <w:p w14:paraId="2D0571F4" w14:textId="3C6708DA" w:rsidR="005E609E" w:rsidRPr="00DC105E" w:rsidRDefault="005E609E" w:rsidP="008D6FF3">
      <w:pPr>
        <w:pStyle w:val="Estilo2"/>
      </w:pPr>
      <w:r w:rsidRPr="00DC105E">
        <w:t xml:space="preserve">Gráfico 5:   Distribución porcentual de los Hogares con </w:t>
      </w:r>
      <w:r w:rsidR="00505137">
        <w:t>personas</w:t>
      </w:r>
      <w:r w:rsidRPr="00DC105E">
        <w:t xml:space="preserve"> LGBTI </w:t>
      </w:r>
      <w:r w:rsidR="000574C3" w:rsidRPr="00DC105E">
        <w:t>por localidad</w:t>
      </w:r>
    </w:p>
    <w:p w14:paraId="5D8BB628" w14:textId="22988CCE" w:rsidR="00BD1083" w:rsidRPr="00DC105E" w:rsidRDefault="001E6853" w:rsidP="008D6FF3">
      <w:pPr>
        <w:spacing w:line="360" w:lineRule="auto"/>
        <w:rPr>
          <w:b/>
        </w:rPr>
      </w:pPr>
      <w:r>
        <w:rPr>
          <w:noProof/>
          <w:lang w:val="es-CO" w:eastAsia="es-CO"/>
        </w:rPr>
        <w:drawing>
          <wp:inline distT="0" distB="0" distL="0" distR="0" wp14:anchorId="7792FB75" wp14:editId="5D0C2EF9">
            <wp:extent cx="2747010" cy="3999506"/>
            <wp:effectExtent l="0" t="0" r="0" b="0"/>
            <wp:docPr id="26" name="Chart 26">
              <a:extLst xmlns:a="http://schemas.openxmlformats.org/drawingml/2006/main">
                <a:ext uri="{FF2B5EF4-FFF2-40B4-BE49-F238E27FC236}">
                  <a16:creationId xmlns:a16="http://schemas.microsoft.com/office/drawing/2014/main" id="{D28C244D-16DA-3C43-81F9-6732811C6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C75EF3" w14:textId="53608CFE" w:rsidR="00BA4DD2" w:rsidRDefault="000574C3" w:rsidP="008D6FF3">
      <w:pPr>
        <w:pStyle w:val="Estilo2"/>
        <w:jc w:val="both"/>
        <w:rPr>
          <w:b w:val="0"/>
        </w:rPr>
      </w:pPr>
      <w:r w:rsidRPr="00DC105E">
        <w:rPr>
          <w:b w:val="0"/>
        </w:rPr>
        <w:t>Respecto a</w:t>
      </w:r>
      <w:r w:rsidR="00226252" w:rsidRPr="00DC105E">
        <w:rPr>
          <w:b w:val="0"/>
        </w:rPr>
        <w:t xml:space="preserve"> la posición que </w:t>
      </w:r>
      <w:r w:rsidR="00476EA5" w:rsidRPr="00DC105E">
        <w:rPr>
          <w:b w:val="0"/>
        </w:rPr>
        <w:t>la</w:t>
      </w:r>
      <w:r w:rsidR="00C7118B">
        <w:rPr>
          <w:b w:val="0"/>
        </w:rPr>
        <w:t>s personas de</w:t>
      </w:r>
      <w:r w:rsidR="00115441">
        <w:rPr>
          <w:b w:val="0"/>
        </w:rPr>
        <w:t xml:space="preserve"> </w:t>
      </w:r>
      <w:r w:rsidR="00C7118B">
        <w:rPr>
          <w:b w:val="0"/>
        </w:rPr>
        <w:t>l</w:t>
      </w:r>
      <w:r w:rsidR="00115441">
        <w:rPr>
          <w:b w:val="0"/>
        </w:rPr>
        <w:t>os</w:t>
      </w:r>
      <w:r w:rsidR="00C7118B">
        <w:rPr>
          <w:b w:val="0"/>
        </w:rPr>
        <w:t xml:space="preserve"> sector</w:t>
      </w:r>
      <w:r w:rsidR="00115441">
        <w:rPr>
          <w:b w:val="0"/>
        </w:rPr>
        <w:t>es</w:t>
      </w:r>
      <w:r w:rsidR="00476EA5" w:rsidRPr="00DC105E">
        <w:rPr>
          <w:b w:val="0"/>
        </w:rPr>
        <w:t xml:space="preserve"> LGBTI </w:t>
      </w:r>
      <w:r w:rsidR="00226252" w:rsidRPr="00DC105E">
        <w:rPr>
          <w:b w:val="0"/>
        </w:rPr>
        <w:t>ocupa</w:t>
      </w:r>
      <w:r w:rsidR="00BA4DD2" w:rsidRPr="00DC105E">
        <w:rPr>
          <w:b w:val="0"/>
        </w:rPr>
        <w:t xml:space="preserve"> dentro del hogar</w:t>
      </w:r>
      <w:r w:rsidR="00476EA5" w:rsidRPr="00DC105E">
        <w:rPr>
          <w:b w:val="0"/>
        </w:rPr>
        <w:t>,</w:t>
      </w:r>
      <w:r w:rsidR="00BA4DD2" w:rsidRPr="00DC105E">
        <w:rPr>
          <w:b w:val="0"/>
        </w:rPr>
        <w:t xml:space="preserve"> </w:t>
      </w:r>
      <w:r w:rsidR="00EA45C3" w:rsidRPr="00DC105E">
        <w:rPr>
          <w:b w:val="0"/>
        </w:rPr>
        <w:t>jefe</w:t>
      </w:r>
      <w:r w:rsidR="00BA4DD2" w:rsidRPr="00DC105E">
        <w:rPr>
          <w:b w:val="0"/>
        </w:rPr>
        <w:t xml:space="preserve"> del hogar </w:t>
      </w:r>
      <w:r w:rsidR="005371C5" w:rsidRPr="00DC105E">
        <w:rPr>
          <w:b w:val="0"/>
        </w:rPr>
        <w:t xml:space="preserve">(49%) </w:t>
      </w:r>
      <w:r w:rsidR="00EA45C3" w:rsidRPr="00DC105E">
        <w:rPr>
          <w:b w:val="0"/>
        </w:rPr>
        <w:t xml:space="preserve">es la </w:t>
      </w:r>
      <w:r w:rsidR="005371C5" w:rsidRPr="00DC105E">
        <w:rPr>
          <w:b w:val="0"/>
        </w:rPr>
        <w:t xml:space="preserve">posición </w:t>
      </w:r>
      <w:r w:rsidRPr="00DC105E">
        <w:rPr>
          <w:b w:val="0"/>
        </w:rPr>
        <w:t>más recurrente, seguido por ser pareja del jefe de hogar</w:t>
      </w:r>
      <w:r w:rsidR="00287207" w:rsidRPr="00DC105E">
        <w:rPr>
          <w:b w:val="0"/>
        </w:rPr>
        <w:t xml:space="preserve"> (24%)</w:t>
      </w:r>
      <w:r w:rsidR="002A2664" w:rsidRPr="00DC105E">
        <w:rPr>
          <w:b w:val="0"/>
          <w:color w:val="FF0000"/>
        </w:rPr>
        <w:t xml:space="preserve"> </w:t>
      </w:r>
      <w:r w:rsidR="002A2664" w:rsidRPr="00DC105E">
        <w:rPr>
          <w:b w:val="0"/>
        </w:rPr>
        <w:t xml:space="preserve">o hijo(a) </w:t>
      </w:r>
      <w:r w:rsidR="001932C0" w:rsidRPr="00DC105E">
        <w:rPr>
          <w:b w:val="0"/>
        </w:rPr>
        <w:t xml:space="preserve">(15%). </w:t>
      </w:r>
      <w:r w:rsidR="00CD184F" w:rsidRPr="00DC105E">
        <w:rPr>
          <w:b w:val="0"/>
        </w:rPr>
        <w:t xml:space="preserve"> Por su parte, </w:t>
      </w:r>
      <w:r w:rsidR="005F3DCF" w:rsidRPr="00DC105E">
        <w:rPr>
          <w:b w:val="0"/>
        </w:rPr>
        <w:t>ser nieto (1%)</w:t>
      </w:r>
      <w:r w:rsidR="008F7308" w:rsidRPr="00DC105E">
        <w:rPr>
          <w:b w:val="0"/>
        </w:rPr>
        <w:t xml:space="preserve"> </w:t>
      </w:r>
      <w:r w:rsidR="00A90DC5" w:rsidRPr="00DC105E">
        <w:rPr>
          <w:b w:val="0"/>
        </w:rPr>
        <w:t>es</w:t>
      </w:r>
      <w:r w:rsidR="005536B2" w:rsidRPr="00DC105E">
        <w:rPr>
          <w:b w:val="0"/>
        </w:rPr>
        <w:t xml:space="preserve"> la posici</w:t>
      </w:r>
      <w:r w:rsidR="005F3DCF" w:rsidRPr="00DC105E">
        <w:rPr>
          <w:b w:val="0"/>
        </w:rPr>
        <w:t>ón menos representativ</w:t>
      </w:r>
      <w:r w:rsidR="00A90DC5" w:rsidRPr="00DC105E">
        <w:rPr>
          <w:b w:val="0"/>
        </w:rPr>
        <w:t>a</w:t>
      </w:r>
      <w:r w:rsidR="00385995" w:rsidRPr="00DC105E">
        <w:rPr>
          <w:b w:val="0"/>
        </w:rPr>
        <w:t>.</w:t>
      </w:r>
      <w:r w:rsidR="00A90DC5" w:rsidRPr="00DC105E">
        <w:rPr>
          <w:b w:val="0"/>
        </w:rPr>
        <w:t xml:space="preserve"> Estos datos </w:t>
      </w:r>
      <w:r w:rsidR="00A90DC5" w:rsidRPr="00DC105E">
        <w:rPr>
          <w:b w:val="0"/>
        </w:rPr>
        <w:t xml:space="preserve">concuerdan con los tipos de </w:t>
      </w:r>
      <w:r w:rsidR="007A022A">
        <w:rPr>
          <w:b w:val="0"/>
        </w:rPr>
        <w:t>hogares</w:t>
      </w:r>
      <w:r w:rsidR="00A90DC5" w:rsidRPr="00DC105E">
        <w:rPr>
          <w:b w:val="0"/>
        </w:rPr>
        <w:t xml:space="preserve"> más recurrentes que se presentaron más arrib</w:t>
      </w:r>
      <w:r w:rsidR="001038EC" w:rsidRPr="00DC105E">
        <w:rPr>
          <w:b w:val="0"/>
        </w:rPr>
        <w:t xml:space="preserve">a: </w:t>
      </w:r>
      <w:r w:rsidR="007A022A">
        <w:rPr>
          <w:b w:val="0"/>
        </w:rPr>
        <w:t>hogares</w:t>
      </w:r>
      <w:r w:rsidR="001038EC" w:rsidRPr="00DC105E">
        <w:rPr>
          <w:b w:val="0"/>
        </w:rPr>
        <w:t xml:space="preserve"> uni</w:t>
      </w:r>
      <w:r w:rsidR="0074308B">
        <w:rPr>
          <w:b w:val="0"/>
        </w:rPr>
        <w:t>p</w:t>
      </w:r>
      <w:r w:rsidR="001038EC" w:rsidRPr="00DC105E">
        <w:rPr>
          <w:b w:val="0"/>
        </w:rPr>
        <w:t xml:space="preserve">ersonales y </w:t>
      </w:r>
      <w:r w:rsidR="007A022A">
        <w:rPr>
          <w:b w:val="0"/>
        </w:rPr>
        <w:t xml:space="preserve">familias </w:t>
      </w:r>
      <w:r w:rsidR="001038EC" w:rsidRPr="00DC105E">
        <w:rPr>
          <w:b w:val="0"/>
        </w:rPr>
        <w:t xml:space="preserve">nucleares </w:t>
      </w:r>
      <w:r w:rsidR="00981BE1">
        <w:rPr>
          <w:b w:val="0"/>
        </w:rPr>
        <w:t>con</w:t>
      </w:r>
      <w:r w:rsidR="001038EC" w:rsidRPr="00DC105E">
        <w:rPr>
          <w:b w:val="0"/>
        </w:rPr>
        <w:t xml:space="preserve"> hijos.</w:t>
      </w:r>
    </w:p>
    <w:p w14:paraId="50E16F0A" w14:textId="77777777" w:rsidR="0074308B" w:rsidRPr="00DC105E" w:rsidRDefault="0074308B" w:rsidP="008D6FF3">
      <w:pPr>
        <w:pStyle w:val="Estilo2"/>
        <w:jc w:val="both"/>
        <w:rPr>
          <w:b w:val="0"/>
        </w:rPr>
      </w:pPr>
    </w:p>
    <w:p w14:paraId="55F542F3" w14:textId="7A231ECA" w:rsidR="00BD1083" w:rsidRPr="00DC105E" w:rsidRDefault="008A5EC5" w:rsidP="008D6FF3">
      <w:pPr>
        <w:pStyle w:val="Estilo2"/>
      </w:pPr>
      <w:r w:rsidRPr="00DC105E">
        <w:t xml:space="preserve">Gráfico 6:   Posición dentro del hogar </w:t>
      </w:r>
      <w:r w:rsidR="00C7118B">
        <w:t>de personas de</w:t>
      </w:r>
      <w:r w:rsidR="00115441">
        <w:t xml:space="preserve"> </w:t>
      </w:r>
      <w:r w:rsidR="00C7118B">
        <w:t>l</w:t>
      </w:r>
      <w:r w:rsidR="00115441">
        <w:t>os</w:t>
      </w:r>
      <w:r w:rsidR="00C7118B">
        <w:t xml:space="preserve"> sector</w:t>
      </w:r>
      <w:r w:rsidR="00115441">
        <w:t>es</w:t>
      </w:r>
      <w:r w:rsidR="00090E1F" w:rsidRPr="00DC105E">
        <w:t xml:space="preserve"> LGBTI</w:t>
      </w:r>
      <w:r w:rsidRPr="00DC105E">
        <w:t xml:space="preserve"> </w:t>
      </w:r>
    </w:p>
    <w:p w14:paraId="1A0EEE6D" w14:textId="61020D3C" w:rsidR="00BD1083" w:rsidRPr="00DC105E" w:rsidRDefault="005861FD" w:rsidP="008D6FF3">
      <w:pPr>
        <w:spacing w:line="360" w:lineRule="auto"/>
        <w:rPr>
          <w:b/>
        </w:rPr>
      </w:pPr>
      <w:r>
        <w:rPr>
          <w:noProof/>
          <w:lang w:val="es-CO" w:eastAsia="es-CO"/>
        </w:rPr>
        <w:drawing>
          <wp:inline distT="0" distB="0" distL="0" distR="0" wp14:anchorId="63FEC674" wp14:editId="75AD4C0F">
            <wp:extent cx="2747010" cy="3538331"/>
            <wp:effectExtent l="0" t="0" r="0" b="0"/>
            <wp:docPr id="27" name="Chart 27">
              <a:extLst xmlns:a="http://schemas.openxmlformats.org/drawingml/2006/main">
                <a:ext uri="{FF2B5EF4-FFF2-40B4-BE49-F238E27FC236}">
                  <a16:creationId xmlns:a16="http://schemas.microsoft.com/office/drawing/2014/main" id="{BF09AB88-D801-914D-9461-ADC1210C7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C160DA" w14:textId="2DEB5B30" w:rsidR="009B0307" w:rsidRDefault="0001290F" w:rsidP="001038EC">
      <w:pPr>
        <w:pStyle w:val="Estilo2"/>
        <w:jc w:val="both"/>
        <w:rPr>
          <w:b w:val="0"/>
        </w:rPr>
      </w:pPr>
      <w:r>
        <w:rPr>
          <w:b w:val="0"/>
        </w:rPr>
        <w:t xml:space="preserve">Ahora bien, en relación con los ingresos mensuales per cápita de las familias con </w:t>
      </w:r>
      <w:r w:rsidR="00C7118B">
        <w:rPr>
          <w:b w:val="0"/>
        </w:rPr>
        <w:t xml:space="preserve">personas </w:t>
      </w:r>
      <w:r>
        <w:rPr>
          <w:b w:val="0"/>
        </w:rPr>
        <w:t>LGBTI según la tipología familiar</w:t>
      </w:r>
      <w:r w:rsidR="009B0307">
        <w:rPr>
          <w:b w:val="0"/>
        </w:rPr>
        <w:t xml:space="preserve"> (Gráfico 7)</w:t>
      </w:r>
      <w:r>
        <w:rPr>
          <w:b w:val="0"/>
        </w:rPr>
        <w:t xml:space="preserve">, se puede identificar que, los hogares con mayores ingresos per cápita son los unipersonales, esto en parte se puede explicar porque la persona que trabaja no tiene ninguna persona a su cargo </w:t>
      </w:r>
      <w:r w:rsidR="00093E90">
        <w:rPr>
          <w:b w:val="0"/>
        </w:rPr>
        <w:t>con quien distribuya su</w:t>
      </w:r>
      <w:r>
        <w:rPr>
          <w:b w:val="0"/>
        </w:rPr>
        <w:t xml:space="preserve"> ingreso. </w:t>
      </w:r>
    </w:p>
    <w:p w14:paraId="6B1ED8EA" w14:textId="77777777" w:rsidR="009B0307" w:rsidRDefault="009B0307" w:rsidP="001038EC">
      <w:pPr>
        <w:pStyle w:val="Estilo2"/>
        <w:jc w:val="both"/>
        <w:rPr>
          <w:b w:val="0"/>
        </w:rPr>
      </w:pPr>
    </w:p>
    <w:p w14:paraId="3538E84F" w14:textId="78FF0990" w:rsidR="0001290F" w:rsidRDefault="0001290F" w:rsidP="001038EC">
      <w:pPr>
        <w:pStyle w:val="Estilo2"/>
        <w:jc w:val="both"/>
        <w:rPr>
          <w:b w:val="0"/>
        </w:rPr>
      </w:pPr>
      <w:r>
        <w:rPr>
          <w:b w:val="0"/>
        </w:rPr>
        <w:t xml:space="preserve">Ahora bien, el tipo de </w:t>
      </w:r>
      <w:r w:rsidR="009B0307">
        <w:rPr>
          <w:b w:val="0"/>
        </w:rPr>
        <w:t>hogar</w:t>
      </w:r>
      <w:r>
        <w:rPr>
          <w:b w:val="0"/>
        </w:rPr>
        <w:t xml:space="preserve"> con menores ingresos es el familiar extenso. La diferencia entre el tipo de hogar con mayores ingresos y el tipo con menor ingresos es de casi dos millones de pesos. </w:t>
      </w:r>
    </w:p>
    <w:p w14:paraId="54491D0C" w14:textId="77777777" w:rsidR="008F285F" w:rsidRDefault="008F285F" w:rsidP="001038EC">
      <w:pPr>
        <w:pStyle w:val="Estilo2"/>
        <w:jc w:val="both"/>
        <w:rPr>
          <w:b w:val="0"/>
        </w:rPr>
      </w:pPr>
    </w:p>
    <w:p w14:paraId="53BA2A47" w14:textId="64A33D4C" w:rsidR="0001290F" w:rsidRDefault="0001290F" w:rsidP="001038EC">
      <w:pPr>
        <w:pStyle w:val="Estilo2"/>
        <w:jc w:val="both"/>
        <w:rPr>
          <w:b w:val="0"/>
        </w:rPr>
      </w:pPr>
      <w:r>
        <w:rPr>
          <w:b w:val="0"/>
        </w:rPr>
        <w:t>Adicionalmente</w:t>
      </w:r>
      <w:r w:rsidR="009B0307">
        <w:rPr>
          <w:b w:val="0"/>
        </w:rPr>
        <w:t>, se muestra que las tipologías</w:t>
      </w:r>
      <w:r w:rsidR="007A022A">
        <w:rPr>
          <w:b w:val="0"/>
        </w:rPr>
        <w:t xml:space="preserve"> de hogares</w:t>
      </w:r>
      <w:r w:rsidR="009B0307">
        <w:rPr>
          <w:b w:val="0"/>
        </w:rPr>
        <w:t xml:space="preserve">: </w:t>
      </w:r>
      <w:r>
        <w:rPr>
          <w:b w:val="0"/>
        </w:rPr>
        <w:t>unipersonal, nuclear sin h</w:t>
      </w:r>
      <w:r w:rsidR="009B0307">
        <w:rPr>
          <w:b w:val="0"/>
        </w:rPr>
        <w:t xml:space="preserve">ijos y no familiares sin </w:t>
      </w:r>
      <w:r w:rsidR="009B0307">
        <w:rPr>
          <w:b w:val="0"/>
        </w:rPr>
        <w:lastRenderedPageBreak/>
        <w:t>núcleo</w:t>
      </w:r>
      <w:r>
        <w:rPr>
          <w:b w:val="0"/>
        </w:rPr>
        <w:t xml:space="preserve"> tienen ingresos significativamente superiores a las demás tipologías. Finalmente, se resalta que los ingresos de las familias monoparentales </w:t>
      </w:r>
      <w:r w:rsidR="009B0307">
        <w:rPr>
          <w:b w:val="0"/>
        </w:rPr>
        <w:t xml:space="preserve">con jefaturas </w:t>
      </w:r>
      <w:r>
        <w:rPr>
          <w:b w:val="0"/>
        </w:rPr>
        <w:t>masculinas</w:t>
      </w:r>
      <w:r w:rsidR="007A022A">
        <w:rPr>
          <w:b w:val="0"/>
        </w:rPr>
        <w:t xml:space="preserve"> e integrantes LGBT</w:t>
      </w:r>
      <w:r w:rsidR="00FD01E4">
        <w:rPr>
          <w:b w:val="0"/>
        </w:rPr>
        <w:t>I</w:t>
      </w:r>
      <w:r>
        <w:rPr>
          <w:b w:val="0"/>
        </w:rPr>
        <w:t xml:space="preserve"> son superiores aproximadamente en cuatroscientos mil pesos que las monoparentales </w:t>
      </w:r>
      <w:r w:rsidR="009B0307">
        <w:rPr>
          <w:b w:val="0"/>
        </w:rPr>
        <w:t xml:space="preserve">con jefatura </w:t>
      </w:r>
      <w:r>
        <w:rPr>
          <w:b w:val="0"/>
        </w:rPr>
        <w:t>femeninas.</w:t>
      </w:r>
    </w:p>
    <w:p w14:paraId="52AFC39C" w14:textId="3BF023CB" w:rsidR="0001290F" w:rsidRDefault="0001290F" w:rsidP="001038EC">
      <w:pPr>
        <w:pStyle w:val="Estilo2"/>
        <w:jc w:val="both"/>
        <w:rPr>
          <w:b w:val="0"/>
        </w:rPr>
      </w:pPr>
    </w:p>
    <w:p w14:paraId="066439E7" w14:textId="637BA71B" w:rsidR="0001290F" w:rsidRDefault="0001290F" w:rsidP="009B0307">
      <w:pPr>
        <w:pStyle w:val="Estilo2"/>
      </w:pPr>
      <w:r w:rsidRPr="00DC105E">
        <w:t xml:space="preserve">Gráfico </w:t>
      </w:r>
      <w:r w:rsidR="009B0307">
        <w:t>7</w:t>
      </w:r>
      <w:r w:rsidRPr="00DC105E">
        <w:t xml:space="preserve">:  </w:t>
      </w:r>
      <w:r>
        <w:t>Ingresos mensuales per cápita de l</w:t>
      </w:r>
      <w:r w:rsidR="00880503">
        <w:t>o</w:t>
      </w:r>
      <w:r>
        <w:t>s</w:t>
      </w:r>
      <w:r w:rsidR="00880503">
        <w:t xml:space="preserve"> hogares</w:t>
      </w:r>
      <w:r>
        <w:t xml:space="preserve"> familia</w:t>
      </w:r>
      <w:r w:rsidR="00880503">
        <w:t>re</w:t>
      </w:r>
      <w:r>
        <w:t>s</w:t>
      </w:r>
      <w:r w:rsidR="00880503">
        <w:t xml:space="preserve"> y no familiares</w:t>
      </w:r>
      <w:r>
        <w:t xml:space="preserve"> con </w:t>
      </w:r>
      <w:r w:rsidR="00C7118B">
        <w:t>personas de</w:t>
      </w:r>
      <w:r w:rsidR="00115441">
        <w:t xml:space="preserve"> </w:t>
      </w:r>
      <w:r w:rsidR="00C7118B">
        <w:t>l</w:t>
      </w:r>
      <w:r w:rsidR="00115441">
        <w:t>os</w:t>
      </w:r>
      <w:r w:rsidR="00C7118B">
        <w:t xml:space="preserve"> sector</w:t>
      </w:r>
      <w:r w:rsidR="00115441">
        <w:t>es</w:t>
      </w:r>
      <w:r w:rsidR="00C7118B">
        <w:t xml:space="preserve"> </w:t>
      </w:r>
      <w:r>
        <w:t xml:space="preserve">LGBTI </w:t>
      </w:r>
    </w:p>
    <w:p w14:paraId="7FB17483" w14:textId="3C069BB9" w:rsidR="0001290F" w:rsidRPr="009B0307" w:rsidRDefault="0001290F" w:rsidP="009B0307">
      <w:pPr>
        <w:pStyle w:val="Estilo2"/>
      </w:pPr>
      <w:r>
        <w:rPr>
          <w:noProof/>
          <w:lang w:val="es-CO" w:eastAsia="es-CO"/>
        </w:rPr>
        <w:drawing>
          <wp:inline distT="0" distB="0" distL="0" distR="0" wp14:anchorId="1B49B0F6" wp14:editId="538E56DC">
            <wp:extent cx="2978785" cy="3601941"/>
            <wp:effectExtent l="0" t="0" r="0" b="0"/>
            <wp:docPr id="15" name="Chart 15">
              <a:extLst xmlns:a="http://schemas.openxmlformats.org/drawingml/2006/main">
                <a:ext uri="{FF2B5EF4-FFF2-40B4-BE49-F238E27FC236}">
                  <a16:creationId xmlns:a16="http://schemas.microsoft.com/office/drawing/2014/main" id="{6006C135-2FA6-2A43-B79E-73681D826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0114F1" w14:textId="1413F06C" w:rsidR="00DC1641" w:rsidRDefault="00385995" w:rsidP="001038EC">
      <w:pPr>
        <w:pStyle w:val="Estilo2"/>
        <w:jc w:val="both"/>
        <w:rPr>
          <w:b w:val="0"/>
        </w:rPr>
      </w:pPr>
      <w:r w:rsidRPr="00DC105E">
        <w:rPr>
          <w:b w:val="0"/>
        </w:rPr>
        <w:t>En cuanto al estado civil,</w:t>
      </w:r>
      <w:r w:rsidR="00270C99" w:rsidRPr="00DC105E">
        <w:rPr>
          <w:b w:val="0"/>
        </w:rPr>
        <w:t xml:space="preserve"> se identifica que</w:t>
      </w:r>
      <w:r w:rsidRPr="00DC105E">
        <w:rPr>
          <w:b w:val="0"/>
        </w:rPr>
        <w:t xml:space="preserve"> </w:t>
      </w:r>
      <w:r w:rsidR="00270C99" w:rsidRPr="00DC105E">
        <w:rPr>
          <w:b w:val="0"/>
        </w:rPr>
        <w:t>el</w:t>
      </w:r>
      <w:r w:rsidR="00F622CF" w:rsidRPr="00DC105E">
        <w:rPr>
          <w:b w:val="0"/>
        </w:rPr>
        <w:t xml:space="preserve"> 46,63% </w:t>
      </w:r>
      <w:r w:rsidR="004F798E" w:rsidRPr="00DC105E">
        <w:rPr>
          <w:b w:val="0"/>
        </w:rPr>
        <w:t>de la</w:t>
      </w:r>
      <w:r w:rsidR="00C7118B">
        <w:rPr>
          <w:b w:val="0"/>
        </w:rPr>
        <w:t>s</w:t>
      </w:r>
      <w:r w:rsidR="004F798E" w:rsidRPr="00DC105E">
        <w:rPr>
          <w:b w:val="0"/>
        </w:rPr>
        <w:t xml:space="preserve"> </w:t>
      </w:r>
      <w:r w:rsidR="00C7118B">
        <w:rPr>
          <w:b w:val="0"/>
        </w:rPr>
        <w:t>personas</w:t>
      </w:r>
      <w:r w:rsidR="00C7118B" w:rsidRPr="00DC105E">
        <w:rPr>
          <w:b w:val="0"/>
        </w:rPr>
        <w:t xml:space="preserve"> </w:t>
      </w:r>
      <w:r w:rsidR="00E64E61">
        <w:rPr>
          <w:b w:val="0"/>
        </w:rPr>
        <w:t xml:space="preserve">de los sectores </w:t>
      </w:r>
      <w:r w:rsidR="004F798E" w:rsidRPr="00DC105E">
        <w:rPr>
          <w:b w:val="0"/>
        </w:rPr>
        <w:t xml:space="preserve">LGBTI </w:t>
      </w:r>
      <w:r w:rsidR="00F622CF" w:rsidRPr="00DC105E">
        <w:rPr>
          <w:b w:val="0"/>
        </w:rPr>
        <w:t>de Bogotá es soltera,</w:t>
      </w:r>
      <w:r w:rsidR="00D4417E" w:rsidRPr="00DC105E">
        <w:rPr>
          <w:b w:val="0"/>
        </w:rPr>
        <w:t xml:space="preserve"> </w:t>
      </w:r>
      <w:r w:rsidR="009A5D64" w:rsidRPr="00DC105E">
        <w:rPr>
          <w:b w:val="0"/>
        </w:rPr>
        <w:t xml:space="preserve">seguida de un 25,82% </w:t>
      </w:r>
      <w:r w:rsidR="001038EC" w:rsidRPr="00DC105E">
        <w:rPr>
          <w:b w:val="0"/>
        </w:rPr>
        <w:t>de</w:t>
      </w:r>
      <w:r w:rsidR="009A5D64" w:rsidRPr="00DC105E">
        <w:rPr>
          <w:b w:val="0"/>
        </w:rPr>
        <w:t xml:space="preserve"> quienes viven en pareja hace 2 o más años. P</w:t>
      </w:r>
      <w:r w:rsidR="00DC1641" w:rsidRPr="00DC105E">
        <w:rPr>
          <w:b w:val="0"/>
        </w:rPr>
        <w:t>aralelamente</w:t>
      </w:r>
      <w:r w:rsidR="009B0307">
        <w:rPr>
          <w:b w:val="0"/>
        </w:rPr>
        <w:t>, só</w:t>
      </w:r>
      <w:r w:rsidR="00F91954" w:rsidRPr="00DC105E">
        <w:rPr>
          <w:b w:val="0"/>
        </w:rPr>
        <w:t>lo un 3,43%</w:t>
      </w:r>
      <w:r w:rsidR="007A74B1" w:rsidRPr="00DC105E">
        <w:rPr>
          <w:b w:val="0"/>
        </w:rPr>
        <w:t xml:space="preserve"> de </w:t>
      </w:r>
      <w:r w:rsidR="00C7118B">
        <w:rPr>
          <w:b w:val="0"/>
        </w:rPr>
        <w:t xml:space="preserve">personas </w:t>
      </w:r>
      <w:r w:rsidR="00115441">
        <w:rPr>
          <w:b w:val="0"/>
        </w:rPr>
        <w:t>de los sectores LGBTI</w:t>
      </w:r>
      <w:r w:rsidR="00F91954" w:rsidRPr="00DC105E">
        <w:rPr>
          <w:b w:val="0"/>
        </w:rPr>
        <w:t xml:space="preserve"> </w:t>
      </w:r>
      <w:r w:rsidR="00E64E61">
        <w:rPr>
          <w:b w:val="0"/>
        </w:rPr>
        <w:t>son</w:t>
      </w:r>
      <w:r w:rsidR="00AF5C8F" w:rsidRPr="00DC105E">
        <w:rPr>
          <w:b w:val="0"/>
        </w:rPr>
        <w:t xml:space="preserve"> </w:t>
      </w:r>
      <w:r w:rsidR="00F91954" w:rsidRPr="00DC105E">
        <w:rPr>
          <w:b w:val="0"/>
        </w:rPr>
        <w:t>separad</w:t>
      </w:r>
      <w:r w:rsidR="0074308B">
        <w:rPr>
          <w:b w:val="0"/>
        </w:rPr>
        <w:t>a</w:t>
      </w:r>
      <w:r w:rsidR="003636C9">
        <w:rPr>
          <w:b w:val="0"/>
        </w:rPr>
        <w:t>s</w:t>
      </w:r>
      <w:r w:rsidR="00F91954" w:rsidRPr="00DC105E">
        <w:rPr>
          <w:b w:val="0"/>
        </w:rPr>
        <w:t xml:space="preserve"> y un 2,04% </w:t>
      </w:r>
      <w:r w:rsidR="00E64E61">
        <w:rPr>
          <w:b w:val="0"/>
        </w:rPr>
        <w:t>son</w:t>
      </w:r>
      <w:r w:rsidR="00F91954" w:rsidRPr="00DC105E">
        <w:rPr>
          <w:b w:val="0"/>
        </w:rPr>
        <w:t xml:space="preserve"> viud</w:t>
      </w:r>
      <w:r w:rsidR="0074308B">
        <w:rPr>
          <w:b w:val="0"/>
        </w:rPr>
        <w:t>a</w:t>
      </w:r>
      <w:r w:rsidR="003636C9">
        <w:rPr>
          <w:b w:val="0"/>
        </w:rPr>
        <w:t>s</w:t>
      </w:r>
      <w:r w:rsidR="00F91954" w:rsidRPr="00DC105E">
        <w:rPr>
          <w:b w:val="0"/>
        </w:rPr>
        <w:t xml:space="preserve">. </w:t>
      </w:r>
    </w:p>
    <w:p w14:paraId="36B442F6" w14:textId="45E95BBA" w:rsidR="0074308B" w:rsidRDefault="0074308B" w:rsidP="001038EC">
      <w:pPr>
        <w:pStyle w:val="Estilo2"/>
        <w:jc w:val="both"/>
        <w:rPr>
          <w:b w:val="0"/>
        </w:rPr>
      </w:pPr>
    </w:p>
    <w:p w14:paraId="2470B634" w14:textId="42671326" w:rsidR="009B0307" w:rsidRDefault="009B0307" w:rsidP="001038EC">
      <w:pPr>
        <w:pStyle w:val="Estilo2"/>
        <w:jc w:val="both"/>
        <w:rPr>
          <w:b w:val="0"/>
        </w:rPr>
      </w:pPr>
    </w:p>
    <w:p w14:paraId="07565E58" w14:textId="66B8A788" w:rsidR="009B0307" w:rsidRDefault="009B0307" w:rsidP="001038EC">
      <w:pPr>
        <w:pStyle w:val="Estilo2"/>
        <w:jc w:val="both"/>
        <w:rPr>
          <w:b w:val="0"/>
        </w:rPr>
      </w:pPr>
    </w:p>
    <w:p w14:paraId="55000D35" w14:textId="774924D9" w:rsidR="009B0307" w:rsidRDefault="009B0307" w:rsidP="001038EC">
      <w:pPr>
        <w:pStyle w:val="Estilo2"/>
        <w:jc w:val="both"/>
        <w:rPr>
          <w:b w:val="0"/>
        </w:rPr>
      </w:pPr>
    </w:p>
    <w:p w14:paraId="4C178481" w14:textId="712E5B94" w:rsidR="009B0307" w:rsidRDefault="009B0307" w:rsidP="001038EC">
      <w:pPr>
        <w:pStyle w:val="Estilo2"/>
        <w:jc w:val="both"/>
        <w:rPr>
          <w:b w:val="0"/>
        </w:rPr>
      </w:pPr>
    </w:p>
    <w:p w14:paraId="1A7C2BF6" w14:textId="0AE226CF" w:rsidR="009B0307" w:rsidRDefault="009B0307" w:rsidP="001038EC">
      <w:pPr>
        <w:pStyle w:val="Estilo2"/>
        <w:jc w:val="both"/>
        <w:rPr>
          <w:b w:val="0"/>
        </w:rPr>
      </w:pPr>
    </w:p>
    <w:p w14:paraId="7AEBC9D6" w14:textId="6D7F0AC4" w:rsidR="009B0307" w:rsidRPr="00DC105E" w:rsidRDefault="009B0307" w:rsidP="001038EC">
      <w:pPr>
        <w:pStyle w:val="Estilo2"/>
        <w:jc w:val="both"/>
        <w:rPr>
          <w:b w:val="0"/>
        </w:rPr>
      </w:pPr>
    </w:p>
    <w:p w14:paraId="4EDFB0F7" w14:textId="2C293B1E" w:rsidR="004809DB" w:rsidRPr="00DC105E" w:rsidRDefault="009B0307" w:rsidP="008D6FF3">
      <w:pPr>
        <w:pStyle w:val="Estilo2"/>
      </w:pPr>
      <w:r>
        <w:t>Gráfico 8</w:t>
      </w:r>
      <w:r w:rsidR="004809DB" w:rsidRPr="00DC105E">
        <w:t xml:space="preserve">:  Estado civil de </w:t>
      </w:r>
      <w:r w:rsidR="00C7118B">
        <w:t xml:space="preserve">personas </w:t>
      </w:r>
      <w:r w:rsidR="00115441">
        <w:t>de los sectores LGBTI</w:t>
      </w:r>
      <w:r w:rsidR="004809DB" w:rsidRPr="00DC105E">
        <w:t xml:space="preserve"> </w:t>
      </w:r>
    </w:p>
    <w:p w14:paraId="1381A634" w14:textId="4641F9FE" w:rsidR="00BD1083" w:rsidRPr="00DC105E" w:rsidRDefault="00EC29D3" w:rsidP="008D6FF3">
      <w:pPr>
        <w:spacing w:line="360" w:lineRule="auto"/>
        <w:jc w:val="center"/>
        <w:rPr>
          <w:b/>
        </w:rPr>
      </w:pPr>
      <w:r w:rsidRPr="00EC29D3">
        <w:rPr>
          <w:noProof/>
        </w:rPr>
        <w:t xml:space="preserve"> </w:t>
      </w:r>
      <w:r>
        <w:rPr>
          <w:noProof/>
          <w:lang w:val="es-CO" w:eastAsia="es-CO"/>
        </w:rPr>
        <w:drawing>
          <wp:inline distT="0" distB="0" distL="0" distR="0" wp14:anchorId="722C0AAC" wp14:editId="07B1914F">
            <wp:extent cx="2747010" cy="2289908"/>
            <wp:effectExtent l="0" t="0" r="0" b="0"/>
            <wp:docPr id="29" name="Chart 29">
              <a:extLst xmlns:a="http://schemas.openxmlformats.org/drawingml/2006/main">
                <a:ext uri="{FF2B5EF4-FFF2-40B4-BE49-F238E27FC236}">
                  <a16:creationId xmlns:a16="http://schemas.microsoft.com/office/drawing/2014/main" id="{52B078BF-B1E2-A64B-B0D0-F76AEECD3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5E1A4E" w14:textId="77777777" w:rsidR="006A518E" w:rsidRPr="00DC105E" w:rsidRDefault="006A518E" w:rsidP="008D6FF3">
      <w:pPr>
        <w:spacing w:line="360" w:lineRule="auto"/>
        <w:rPr>
          <w:b/>
        </w:rPr>
      </w:pPr>
    </w:p>
    <w:p w14:paraId="4BEC5C48" w14:textId="70F495CD" w:rsidR="00F83CB7" w:rsidRPr="009B0307" w:rsidRDefault="00F83CB7" w:rsidP="009B0307">
      <w:pPr>
        <w:pStyle w:val="Ttulo2"/>
      </w:pPr>
      <w:r w:rsidRPr="009B0307">
        <w:t>Seguridad Social general</w:t>
      </w:r>
    </w:p>
    <w:p w14:paraId="66FDD921" w14:textId="49FE224E" w:rsidR="00ED1492" w:rsidRDefault="00500A59" w:rsidP="00C7118B">
      <w:pPr>
        <w:spacing w:line="360" w:lineRule="auto"/>
        <w:jc w:val="both"/>
        <w:rPr>
          <w:rFonts w:ascii="Garamond" w:hAnsi="Garamond"/>
          <w:color w:val="000000" w:themeColor="text1"/>
          <w:sz w:val="20"/>
          <w:szCs w:val="20"/>
          <w:lang w:val="es-MX"/>
        </w:rPr>
      </w:pPr>
      <w:r w:rsidRPr="00DC105E">
        <w:rPr>
          <w:rFonts w:ascii="Garamond" w:hAnsi="Garamond"/>
          <w:color w:val="000000" w:themeColor="text1"/>
          <w:sz w:val="20"/>
          <w:szCs w:val="20"/>
          <w:lang w:val="es-MX"/>
        </w:rPr>
        <w:t xml:space="preserve">Respecto a los niveles de afiliación a seguridad social de </w:t>
      </w:r>
      <w:r w:rsidR="00505137">
        <w:rPr>
          <w:rFonts w:ascii="Garamond" w:hAnsi="Garamond"/>
          <w:color w:val="000000" w:themeColor="text1"/>
          <w:sz w:val="20"/>
          <w:szCs w:val="20"/>
          <w:lang w:val="es-MX"/>
        </w:rPr>
        <w:t xml:space="preserve">las </w:t>
      </w:r>
      <w:r w:rsidR="00C7118B">
        <w:rPr>
          <w:rFonts w:ascii="Garamond" w:hAnsi="Garamond"/>
          <w:color w:val="000000" w:themeColor="text1"/>
          <w:sz w:val="20"/>
          <w:szCs w:val="20"/>
          <w:lang w:val="es-MX"/>
        </w:rPr>
        <w:t xml:space="preserve">personas </w:t>
      </w:r>
      <w:r w:rsidR="00115441">
        <w:rPr>
          <w:rFonts w:ascii="Garamond" w:hAnsi="Garamond"/>
          <w:color w:val="000000" w:themeColor="text1"/>
          <w:sz w:val="20"/>
          <w:szCs w:val="20"/>
          <w:lang w:val="es-MX"/>
        </w:rPr>
        <w:t>de los sectores LGBTI</w:t>
      </w:r>
      <w:r w:rsidRPr="00DC105E">
        <w:rPr>
          <w:rFonts w:ascii="Garamond" w:hAnsi="Garamond"/>
          <w:color w:val="000000" w:themeColor="text1"/>
          <w:sz w:val="20"/>
          <w:szCs w:val="20"/>
          <w:lang w:val="es-MX"/>
        </w:rPr>
        <w:t>, se logró identificar que la mayoría se encuentra afiliada (91%) y solo un 7% no se encuentra afiliad</w:t>
      </w:r>
      <w:r w:rsidR="0074308B">
        <w:rPr>
          <w:rFonts w:ascii="Garamond" w:hAnsi="Garamond"/>
          <w:color w:val="000000" w:themeColor="text1"/>
          <w:sz w:val="20"/>
          <w:szCs w:val="20"/>
          <w:lang w:val="es-MX"/>
        </w:rPr>
        <w:t>a</w:t>
      </w:r>
      <w:r w:rsidR="003636C9">
        <w:rPr>
          <w:rFonts w:ascii="Garamond" w:hAnsi="Garamond"/>
          <w:color w:val="000000" w:themeColor="text1"/>
          <w:sz w:val="20"/>
          <w:szCs w:val="20"/>
          <w:lang w:val="es-MX"/>
        </w:rPr>
        <w:t>.</w:t>
      </w:r>
      <w:r w:rsidR="00FE5600">
        <w:rPr>
          <w:rFonts w:ascii="Garamond" w:hAnsi="Garamond"/>
          <w:color w:val="000000" w:themeColor="text1"/>
          <w:sz w:val="20"/>
          <w:szCs w:val="20"/>
          <w:lang w:val="es-MX"/>
        </w:rPr>
        <w:t xml:space="preserve"> El 2% restante no reporta información.</w:t>
      </w:r>
      <w:r w:rsidRPr="00DC105E">
        <w:rPr>
          <w:rFonts w:ascii="Garamond" w:hAnsi="Garamond"/>
          <w:color w:val="000000" w:themeColor="text1"/>
          <w:sz w:val="20"/>
          <w:szCs w:val="20"/>
          <w:lang w:val="es-MX"/>
        </w:rPr>
        <w:t xml:space="preserve"> Sin embargo, esto no necesariamente garantiza el acceso al derecho a la salud. </w:t>
      </w:r>
      <w:bookmarkStart w:id="4" w:name="OLE_LINK11"/>
      <w:r w:rsidR="00ED1492">
        <w:rPr>
          <w:rFonts w:ascii="Garamond" w:hAnsi="Garamond"/>
          <w:color w:val="000000" w:themeColor="text1"/>
          <w:sz w:val="20"/>
          <w:szCs w:val="20"/>
          <w:lang w:val="es-MX"/>
        </w:rPr>
        <w:t xml:space="preserve"> </w:t>
      </w:r>
      <w:r w:rsidR="001038EC" w:rsidRPr="00DC105E">
        <w:rPr>
          <w:rFonts w:ascii="Garamond" w:hAnsi="Garamond"/>
          <w:color w:val="000000" w:themeColor="text1"/>
          <w:sz w:val="20"/>
          <w:szCs w:val="20"/>
          <w:lang w:val="es-MX"/>
        </w:rPr>
        <w:t xml:space="preserve">De acuerdo con </w:t>
      </w:r>
      <w:r w:rsidR="00C7118B">
        <w:rPr>
          <w:rFonts w:ascii="Garamond" w:hAnsi="Garamond"/>
          <w:color w:val="000000" w:themeColor="text1"/>
          <w:sz w:val="20"/>
          <w:szCs w:val="20"/>
          <w:lang w:val="es-MX"/>
        </w:rPr>
        <w:t>Medición de la Línea Base de la Política Pública para la Garantía Plena de derechos de las personas de sectores LGBT, en el año</w:t>
      </w:r>
      <w:r w:rsidR="00C7118B" w:rsidRPr="00C7118B">
        <w:rPr>
          <w:rFonts w:ascii="Garamond" w:hAnsi="Garamond"/>
          <w:color w:val="000000" w:themeColor="text1"/>
          <w:sz w:val="20"/>
          <w:szCs w:val="20"/>
          <w:lang w:val="es-MX"/>
        </w:rPr>
        <w:t xml:space="preserve"> 2014</w:t>
      </w:r>
      <w:r w:rsidR="00C7118B">
        <w:rPr>
          <w:rFonts w:ascii="Garamond" w:hAnsi="Garamond"/>
          <w:color w:val="000000" w:themeColor="text1"/>
          <w:sz w:val="20"/>
          <w:szCs w:val="20"/>
          <w:lang w:val="es-MX"/>
        </w:rPr>
        <w:t xml:space="preserve"> aproximadamente el</w:t>
      </w:r>
      <w:r w:rsidR="00C7118B" w:rsidRPr="00C7118B">
        <w:rPr>
          <w:rFonts w:ascii="Garamond" w:hAnsi="Garamond"/>
          <w:color w:val="000000" w:themeColor="text1"/>
          <w:sz w:val="20"/>
          <w:szCs w:val="20"/>
          <w:lang w:val="es-MX"/>
        </w:rPr>
        <w:t xml:space="preserve"> 25% de las personas de los sectores LGBT</w:t>
      </w:r>
      <w:r w:rsidR="00F05579">
        <w:rPr>
          <w:rFonts w:ascii="Garamond" w:hAnsi="Garamond"/>
          <w:color w:val="000000" w:themeColor="text1"/>
          <w:sz w:val="20"/>
          <w:szCs w:val="20"/>
          <w:lang w:val="es-MX"/>
        </w:rPr>
        <w:t>I</w:t>
      </w:r>
      <w:r w:rsidR="00C7118B" w:rsidRPr="00C7118B">
        <w:rPr>
          <w:rFonts w:ascii="Garamond" w:hAnsi="Garamond"/>
          <w:color w:val="000000" w:themeColor="text1"/>
          <w:sz w:val="20"/>
          <w:szCs w:val="20"/>
          <w:lang w:val="es-MX"/>
        </w:rPr>
        <w:t xml:space="preserve"> afirmaron </w:t>
      </w:r>
      <w:r w:rsidR="00C7118B">
        <w:rPr>
          <w:rFonts w:ascii="Garamond" w:hAnsi="Garamond"/>
          <w:color w:val="000000" w:themeColor="text1"/>
          <w:sz w:val="20"/>
          <w:szCs w:val="20"/>
          <w:lang w:val="es-MX"/>
        </w:rPr>
        <w:t xml:space="preserve">que no habían sido atendidas dentro del </w:t>
      </w:r>
      <w:r w:rsidR="00C7118B" w:rsidRPr="00C7118B">
        <w:rPr>
          <w:rFonts w:ascii="Garamond" w:hAnsi="Garamond"/>
          <w:color w:val="000000" w:themeColor="text1"/>
          <w:sz w:val="20"/>
          <w:szCs w:val="20"/>
          <w:lang w:val="es-MX"/>
        </w:rPr>
        <w:t xml:space="preserve">sistema de salud por razones relacionadas con su orientación sexual o identidad de género. </w:t>
      </w:r>
      <w:bookmarkEnd w:id="4"/>
    </w:p>
    <w:p w14:paraId="65B83A2F" w14:textId="77777777" w:rsidR="00ED1492" w:rsidRDefault="00ED1492" w:rsidP="001038EC">
      <w:pPr>
        <w:spacing w:line="360" w:lineRule="auto"/>
        <w:jc w:val="both"/>
        <w:rPr>
          <w:rFonts w:ascii="Garamond" w:hAnsi="Garamond"/>
          <w:color w:val="000000" w:themeColor="text1"/>
          <w:sz w:val="20"/>
          <w:szCs w:val="20"/>
          <w:lang w:val="es-MX"/>
        </w:rPr>
      </w:pPr>
    </w:p>
    <w:p w14:paraId="09DC0A5A" w14:textId="55F9CAA7" w:rsidR="00ED1492" w:rsidRDefault="00ED1492" w:rsidP="001038EC">
      <w:pPr>
        <w:spacing w:line="360" w:lineRule="auto"/>
        <w:jc w:val="both"/>
        <w:rPr>
          <w:rFonts w:ascii="Garamond" w:hAnsi="Garamond"/>
          <w:color w:val="000000" w:themeColor="text1"/>
          <w:sz w:val="20"/>
          <w:szCs w:val="20"/>
          <w:lang w:val="es-MX"/>
        </w:rPr>
      </w:pPr>
      <w:r w:rsidRPr="00DC105E">
        <w:rPr>
          <w:rFonts w:ascii="Garamond" w:hAnsi="Garamond"/>
          <w:noProof/>
          <w:sz w:val="20"/>
          <w:szCs w:val="20"/>
          <w:lang w:val="es-CO" w:eastAsia="es-CO"/>
        </w:rPr>
        <w:lastRenderedPageBreak/>
        <mc:AlternateContent>
          <mc:Choice Requires="wps">
            <w:drawing>
              <wp:inline distT="0" distB="0" distL="0" distR="0" wp14:anchorId="6EBC5AA8" wp14:editId="4F6DEBE8">
                <wp:extent cx="2714625" cy="1940118"/>
                <wp:effectExtent l="0" t="0" r="28575" b="22225"/>
                <wp:docPr id="21" name="Text Box 21"/>
                <wp:cNvGraphicFramePr/>
                <a:graphic xmlns:a="http://schemas.openxmlformats.org/drawingml/2006/main">
                  <a:graphicData uri="http://schemas.microsoft.com/office/word/2010/wordprocessingShape">
                    <wps:wsp>
                      <wps:cNvSpPr txBox="1"/>
                      <wps:spPr>
                        <a:xfrm>
                          <a:off x="0" y="0"/>
                          <a:ext cx="2714625" cy="1940118"/>
                        </a:xfrm>
                        <a:prstGeom prst="rect">
                          <a:avLst/>
                        </a:prstGeom>
                        <a:gradFill flip="none" rotWithShape="1">
                          <a:gsLst>
                            <a:gs pos="0">
                              <a:srgbClr val="C7AF32">
                                <a:tint val="66000"/>
                                <a:satMod val="160000"/>
                              </a:srgbClr>
                            </a:gs>
                            <a:gs pos="50000">
                              <a:srgbClr val="C7AF32">
                                <a:tint val="44500"/>
                                <a:satMod val="160000"/>
                              </a:srgbClr>
                            </a:gs>
                            <a:gs pos="100000">
                              <a:srgbClr val="C7AF32">
                                <a:tint val="23500"/>
                                <a:satMod val="160000"/>
                              </a:srgbClr>
                            </a:gs>
                          </a:gsLst>
                          <a:lin ang="2700000" scaled="1"/>
                          <a:tileRect/>
                        </a:gradFill>
                        <a:ln/>
                      </wps:spPr>
                      <wps:style>
                        <a:lnRef idx="3">
                          <a:schemeClr val="lt1"/>
                        </a:lnRef>
                        <a:fillRef idx="1">
                          <a:schemeClr val="accent2"/>
                        </a:fillRef>
                        <a:effectRef idx="1">
                          <a:schemeClr val="accent2"/>
                        </a:effectRef>
                        <a:fontRef idx="minor">
                          <a:schemeClr val="lt1"/>
                        </a:fontRef>
                      </wps:style>
                      <wps:txbx>
                        <w:txbxContent>
                          <w:p w14:paraId="4E67D664" w14:textId="40DD53C7" w:rsidR="00ED1492" w:rsidRPr="00ED1492" w:rsidRDefault="00ED1492" w:rsidP="00ED1492">
                            <w:pPr>
                              <w:spacing w:line="276" w:lineRule="auto"/>
                              <w:jc w:val="both"/>
                              <w:rPr>
                                <w:rFonts w:ascii="Garamond" w:hAnsi="Garamond" w:cs="Tahoma"/>
                                <w:b/>
                                <w:color w:val="595959" w:themeColor="text1" w:themeTint="A6"/>
                                <w:sz w:val="22"/>
                                <w14:textOutline w14:w="0" w14:cap="flat" w14:cmpd="sng" w14:algn="ctr">
                                  <w14:noFill/>
                                  <w14:prstDash w14:val="solid"/>
                                  <w14:round/>
                                </w14:textOutline>
                                <w14:props3d w14:extrusionH="57150" w14:contourW="0" w14:prstMaterial="softEdge">
                                  <w14:bevelT w14:w="25400" w14:h="38100" w14:prst="circle"/>
                                </w14:props3d>
                              </w:rPr>
                            </w:pPr>
                            <w:r w:rsidRPr="00ED1492">
                              <w:rPr>
                                <w:rFonts w:ascii="Garamond" w:hAnsi="Garamond" w:cs="Tahoma"/>
                                <w:b/>
                                <w:color w:val="595959" w:themeColor="text1" w:themeTint="A6"/>
                                <w:sz w:val="22"/>
                                <w14:textOutline w14:w="0" w14:cap="flat" w14:cmpd="sng" w14:algn="ctr">
                                  <w14:noFill/>
                                  <w14:prstDash w14:val="solid"/>
                                  <w14:round/>
                                </w14:textOutline>
                                <w14:props3d w14:extrusionH="57150" w14:contourW="0" w14:prstMaterial="softEdge">
                                  <w14:bevelT w14:w="25400" w14:h="38100" w14:prst="circle"/>
                                </w14:props3d>
                              </w:rPr>
                              <w:t>¿Qué es orientación sexual e identidad de género?</w:t>
                            </w:r>
                          </w:p>
                          <w:p w14:paraId="00988EA0" w14:textId="77777777" w:rsidR="00ED1492" w:rsidRPr="00ED1492" w:rsidRDefault="00ED1492" w:rsidP="00ED1492">
                            <w:pPr>
                              <w:spacing w:line="276" w:lineRule="auto"/>
                              <w:jc w:val="both"/>
                              <w:rPr>
                                <w:rFonts w:ascii="Garamond" w:hAnsi="Garamond" w:cs="Tahoma"/>
                                <w:color w:val="FFFFFF" w:themeColor="background1"/>
                                <w:sz w:val="22"/>
                              </w:rPr>
                            </w:pPr>
                          </w:p>
                          <w:p w14:paraId="77A450DC" w14:textId="77777777" w:rsidR="00ED1492" w:rsidRPr="00ED1492" w:rsidRDefault="00ED1492" w:rsidP="00ED1492">
                            <w:pPr>
                              <w:spacing w:line="276" w:lineRule="auto"/>
                              <w:jc w:val="both"/>
                              <w:rPr>
                                <w:rFonts w:ascii="Garamond" w:hAnsi="Garamond" w:cs="Tahoma"/>
                                <w:color w:val="808080" w:themeColor="background1" w:themeShade="80"/>
                                <w:sz w:val="22"/>
                              </w:rPr>
                            </w:pPr>
                            <w:r w:rsidRPr="00ED1492">
                              <w:rPr>
                                <w:rFonts w:ascii="Garamond" w:hAnsi="Garamond" w:cs="Tahoma"/>
                                <w:b/>
                                <w:color w:val="808080" w:themeColor="background1" w:themeShade="80"/>
                                <w:sz w:val="22"/>
                              </w:rPr>
                              <w:t>Orientación sexual</w:t>
                            </w:r>
                            <w:r w:rsidRPr="00ED1492">
                              <w:rPr>
                                <w:rFonts w:ascii="Garamond" w:hAnsi="Garamond" w:cs="Tahoma"/>
                                <w:color w:val="808080" w:themeColor="background1" w:themeShade="80"/>
                                <w:sz w:val="22"/>
                              </w:rPr>
                              <w:t>: Dirección del deseo erótico y afectivo entre las personas.</w:t>
                            </w:r>
                          </w:p>
                          <w:p w14:paraId="75BF05BA" w14:textId="77777777" w:rsidR="00ED1492" w:rsidRPr="00ED1492" w:rsidRDefault="00ED1492" w:rsidP="00ED1492">
                            <w:pPr>
                              <w:spacing w:line="276" w:lineRule="auto"/>
                              <w:jc w:val="both"/>
                              <w:rPr>
                                <w:rFonts w:ascii="Garamond" w:hAnsi="Garamond" w:cs="Tahoma"/>
                                <w:color w:val="808080" w:themeColor="background1" w:themeShade="80"/>
                                <w:sz w:val="22"/>
                              </w:rPr>
                            </w:pPr>
                          </w:p>
                          <w:p w14:paraId="3C4B950D" w14:textId="1C9A55E8" w:rsidR="00ED1492" w:rsidRPr="00ED1492" w:rsidRDefault="00ED1492" w:rsidP="00ED1492">
                            <w:pPr>
                              <w:spacing w:line="276" w:lineRule="auto"/>
                              <w:jc w:val="both"/>
                              <w:rPr>
                                <w:rFonts w:ascii="Garamond" w:hAnsi="Garamond" w:cs="Tahoma"/>
                                <w:color w:val="808080" w:themeColor="background1" w:themeShade="80"/>
                                <w:sz w:val="22"/>
                              </w:rPr>
                            </w:pPr>
                            <w:r w:rsidRPr="00ED1492">
                              <w:rPr>
                                <w:rFonts w:ascii="Garamond" w:hAnsi="Garamond" w:cs="Tahoma"/>
                                <w:b/>
                                <w:color w:val="808080" w:themeColor="background1" w:themeShade="80"/>
                                <w:sz w:val="22"/>
                              </w:rPr>
                              <w:t xml:space="preserve">Identidad </w:t>
                            </w:r>
                            <w:r w:rsidR="00C7118B">
                              <w:rPr>
                                <w:rFonts w:ascii="Garamond" w:hAnsi="Garamond" w:cs="Tahoma"/>
                                <w:b/>
                                <w:color w:val="808080" w:themeColor="background1" w:themeShade="80"/>
                                <w:sz w:val="22"/>
                              </w:rPr>
                              <w:t>de género</w:t>
                            </w:r>
                            <w:r w:rsidRPr="00ED1492">
                              <w:rPr>
                                <w:rFonts w:ascii="Garamond" w:hAnsi="Garamond" w:cs="Tahoma"/>
                                <w:b/>
                                <w:color w:val="808080" w:themeColor="background1" w:themeShade="80"/>
                                <w:sz w:val="22"/>
                              </w:rPr>
                              <w:t>:</w:t>
                            </w:r>
                            <w:r w:rsidRPr="00ED1492">
                              <w:rPr>
                                <w:rFonts w:ascii="Garamond" w:hAnsi="Garamond" w:cs="Tahoma"/>
                                <w:color w:val="808080" w:themeColor="background1" w:themeShade="80"/>
                                <w:sz w:val="22"/>
                              </w:rPr>
                              <w:t xml:space="preserve"> Construcción cultural alrededor del sexo biológico: masculino o femenino. La identidad de género no determina la orientación sexual.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BC5AA8" id="Text Box 21" o:spid="_x0000_s1028" type="#_x0000_t202" style="width:213.75pt;height:1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E5+QIAAOcGAAAOAAAAZHJzL2Uyb0RvYy54bWysVUlPGzEUvlfqf7B8L7MQEoiYoDRVqkoU&#13;&#10;EFBxdjx2YsljT+2Xrb++z/ZMiGjVFtTL5Pnt65fLq12jyUY4r6ypaHGSUyIMt7Uyy4p+e5x/OKfE&#13;&#10;AzM109aIiu6Fp1eT9+8ut+1YlHZldS0cQSfGj7dtRVcA7TjLPF+JhvkT2wqDQmldwwCfbpnVjm3R&#13;&#10;e6OzMs+H2da6unWWC++R+ykJ6ST6l1JwuJXSCyC6opgbxK+L30X4ZpNLNl461q4U79Jgb8iiYcpg&#13;&#10;0IOrTwwYWTv1i6tGcWe9lXDCbZNZKRUXsQaspshfVPOwYq2ItWBzfHtok/9/bvnN5s4RVVe0LCgx&#13;&#10;rMEZPYodkI92R5CF/dm2foxqDy0qwg75OOee75EZyt5J14RfLIigHDu9P3Q3eOPILEfFYFieUcJR&#13;&#10;VlwM8qI4D36yZ/PWefgsbEMCUVGH44tdZZtrD0m1V+maXc+V1kRqhbtjcMMocRaeFKxi70KmUdGj&#13;&#10;fSJIa7F9eWR7t1zMtCMbhtsxG03np2XkgzKQmMNhnndL4hl8tXViF4Ed+Zh85yUWsvTHUc6iVuD8&#13;&#10;PdJggNppHd8QqQiR/rWo8vT1obDOZd9ErQxh4b7LUQpLPGda4A7FvWBjUFrc4+zSxPC64pRCH7QJ&#13;&#10;vLBRaXMiBXstkvBeSNxF3JXTNJ+AAuIwIQ3RP6aiDWoGE4nTPxilWUfoeDZinAsDZbdonX4wFREd&#13;&#10;XmN8sIiRrYGDcaOMdX9OWSb9vvpUcygfdotdOsD+qBa23uOt4SLHS/Itnyu8h2vm4Y45hCc8L4Rc&#13;&#10;uMWP1HZbUdtRlKys+/E7ftBH1EApJVuEu4r672vm8F70F4MHcVEMBgEf42NwNirx4Y4li2OJWTcz&#13;&#10;izeDkIHZRTLog+5J6WzzhMg8DVFRxAzH2BWFnpxBAmFEdi6m06iEiNgyuDYPLe8PN1z74+6JubaD&#13;&#10;BEA0ubE9MLLxC2RIumE+xk7XYKWKSxj6nLra9R/RNN1rQv4A18fvqPX8/zT5CQAA//8DAFBLAwQU&#13;&#10;AAYACAAAACEANS6VoOAAAAAKAQAADwAAAGRycy9kb3ducmV2LnhtbEyPwU7DMBBE70j8g7VIXFBr&#13;&#10;U0iK0jgVUDj0AKilH7CN3STCXlux2yZ/j+ECl5FWo5mdVy4Ha9hJ96FzJOF2KoBpqp3qqJGw+3yd&#13;&#10;PAALEUmhcaQljDrAsrq8KLFQ7kwbfdrGhqUSCgVKaGP0BeehbrXFMHVeU/IOrrcY09k3XPV4TuXW&#13;&#10;8JkQObfYUfrQotfPra6/tkcrYSXyd2+ecN3t6JC/fNyMb34+Snl9NawWSR4XwKIe4l8CfhjSfqjS&#13;&#10;sL07kgrMSEg08VeTdz+bZ8D2Eu5ElgGvSv4fofoGAAD//wMAUEsBAi0AFAAGAAgAAAAhALaDOJL+&#13;&#10;AAAA4QEAABMAAAAAAAAAAAAAAAAAAAAAAFtDb250ZW50X1R5cGVzXS54bWxQSwECLQAUAAYACAAA&#13;&#10;ACEAOP0h/9YAAACUAQAACwAAAAAAAAAAAAAAAAAvAQAAX3JlbHMvLnJlbHNQSwECLQAUAAYACAAA&#13;&#10;ACEAfnChOfkCAADnBgAADgAAAAAAAAAAAAAAAAAuAgAAZHJzL2Uyb0RvYy54bWxQSwECLQAUAAYA&#13;&#10;CAAAACEANS6VoOAAAAAKAQAADwAAAAAAAAAAAAAAAABTBQAAZHJzL2Rvd25yZXYueG1sUEsFBgAA&#13;&#10;AAAEAAQA8wAAAGAGAAAAAA==&#13;&#10;" fillcolor="#eed890" strokecolor="white [3201]" strokeweight="1.5pt">
                <v:fill color2="#f8f2df" rotate="t" angle="45" colors="0 #eed890;.5 #f2e5bd;1 #f8f2df" focus="100%" type="gradient"/>
                <v:textbox>
                  <w:txbxContent>
                    <w:p w14:paraId="4E67D664" w14:textId="40DD53C7" w:rsidR="00ED1492" w:rsidRPr="00ED1492" w:rsidRDefault="00ED1492" w:rsidP="00ED1492">
                      <w:pPr>
                        <w:spacing w:line="276" w:lineRule="auto"/>
                        <w:jc w:val="both"/>
                        <w:rPr>
                          <w:rFonts w:ascii="Garamond" w:hAnsi="Garamond" w:cs="Tahoma"/>
                          <w:b/>
                          <w:color w:val="595959" w:themeColor="text1" w:themeTint="A6"/>
                          <w:sz w:val="22"/>
                          <w14:textOutline w14:w="0" w14:cap="flat" w14:cmpd="sng" w14:algn="ctr">
                            <w14:noFill/>
                            <w14:prstDash w14:val="solid"/>
                            <w14:round/>
                          </w14:textOutline>
                          <w14:props3d w14:extrusionH="57150" w14:contourW="0" w14:prstMaterial="softEdge">
                            <w14:bevelT w14:w="25400" w14:h="38100" w14:prst="circle"/>
                          </w14:props3d>
                        </w:rPr>
                      </w:pPr>
                      <w:r w:rsidRPr="00ED1492">
                        <w:rPr>
                          <w:rFonts w:ascii="Garamond" w:hAnsi="Garamond" w:cs="Tahoma"/>
                          <w:b/>
                          <w:color w:val="595959" w:themeColor="text1" w:themeTint="A6"/>
                          <w:sz w:val="22"/>
                          <w14:textOutline w14:w="0" w14:cap="flat" w14:cmpd="sng" w14:algn="ctr">
                            <w14:noFill/>
                            <w14:prstDash w14:val="solid"/>
                            <w14:round/>
                          </w14:textOutline>
                          <w14:props3d w14:extrusionH="57150" w14:contourW="0" w14:prstMaterial="softEdge">
                            <w14:bevelT w14:w="25400" w14:h="38100" w14:prst="circle"/>
                          </w14:props3d>
                        </w:rPr>
                        <w:t>¿Qué es orientación sexual e identidad de género?</w:t>
                      </w:r>
                    </w:p>
                    <w:p w14:paraId="00988EA0" w14:textId="77777777" w:rsidR="00ED1492" w:rsidRPr="00ED1492" w:rsidRDefault="00ED1492" w:rsidP="00ED1492">
                      <w:pPr>
                        <w:spacing w:line="276" w:lineRule="auto"/>
                        <w:jc w:val="both"/>
                        <w:rPr>
                          <w:rFonts w:ascii="Garamond" w:hAnsi="Garamond" w:cs="Tahoma"/>
                          <w:color w:val="FFFFFF" w:themeColor="background1"/>
                          <w:sz w:val="22"/>
                        </w:rPr>
                      </w:pPr>
                    </w:p>
                    <w:p w14:paraId="77A450DC" w14:textId="77777777" w:rsidR="00ED1492" w:rsidRPr="00ED1492" w:rsidRDefault="00ED1492" w:rsidP="00ED1492">
                      <w:pPr>
                        <w:spacing w:line="276" w:lineRule="auto"/>
                        <w:jc w:val="both"/>
                        <w:rPr>
                          <w:rFonts w:ascii="Garamond" w:hAnsi="Garamond" w:cs="Tahoma"/>
                          <w:color w:val="808080" w:themeColor="background1" w:themeShade="80"/>
                          <w:sz w:val="22"/>
                        </w:rPr>
                      </w:pPr>
                      <w:r w:rsidRPr="00ED1492">
                        <w:rPr>
                          <w:rFonts w:ascii="Garamond" w:hAnsi="Garamond" w:cs="Tahoma"/>
                          <w:b/>
                          <w:color w:val="808080" w:themeColor="background1" w:themeShade="80"/>
                          <w:sz w:val="22"/>
                        </w:rPr>
                        <w:t>Orientación sexual</w:t>
                      </w:r>
                      <w:r w:rsidRPr="00ED1492">
                        <w:rPr>
                          <w:rFonts w:ascii="Garamond" w:hAnsi="Garamond" w:cs="Tahoma"/>
                          <w:color w:val="808080" w:themeColor="background1" w:themeShade="80"/>
                          <w:sz w:val="22"/>
                        </w:rPr>
                        <w:t>: Dirección del deseo erótico y afectivo entre las personas.</w:t>
                      </w:r>
                    </w:p>
                    <w:p w14:paraId="75BF05BA" w14:textId="77777777" w:rsidR="00ED1492" w:rsidRPr="00ED1492" w:rsidRDefault="00ED1492" w:rsidP="00ED1492">
                      <w:pPr>
                        <w:spacing w:line="276" w:lineRule="auto"/>
                        <w:jc w:val="both"/>
                        <w:rPr>
                          <w:rFonts w:ascii="Garamond" w:hAnsi="Garamond" w:cs="Tahoma"/>
                          <w:color w:val="808080" w:themeColor="background1" w:themeShade="80"/>
                          <w:sz w:val="22"/>
                        </w:rPr>
                      </w:pPr>
                    </w:p>
                    <w:p w14:paraId="3C4B950D" w14:textId="1C9A55E8" w:rsidR="00ED1492" w:rsidRPr="00ED1492" w:rsidRDefault="00ED1492" w:rsidP="00ED1492">
                      <w:pPr>
                        <w:spacing w:line="276" w:lineRule="auto"/>
                        <w:jc w:val="both"/>
                        <w:rPr>
                          <w:rFonts w:ascii="Garamond" w:hAnsi="Garamond" w:cs="Tahoma"/>
                          <w:color w:val="808080" w:themeColor="background1" w:themeShade="80"/>
                          <w:sz w:val="22"/>
                        </w:rPr>
                      </w:pPr>
                      <w:r w:rsidRPr="00ED1492">
                        <w:rPr>
                          <w:rFonts w:ascii="Garamond" w:hAnsi="Garamond" w:cs="Tahoma"/>
                          <w:b/>
                          <w:color w:val="808080" w:themeColor="background1" w:themeShade="80"/>
                          <w:sz w:val="22"/>
                        </w:rPr>
                        <w:t xml:space="preserve">Identidad </w:t>
                      </w:r>
                      <w:r w:rsidR="00C7118B">
                        <w:rPr>
                          <w:rFonts w:ascii="Garamond" w:hAnsi="Garamond" w:cs="Tahoma"/>
                          <w:b/>
                          <w:color w:val="808080" w:themeColor="background1" w:themeShade="80"/>
                          <w:sz w:val="22"/>
                        </w:rPr>
                        <w:t>de género</w:t>
                      </w:r>
                      <w:r w:rsidRPr="00ED1492">
                        <w:rPr>
                          <w:rFonts w:ascii="Garamond" w:hAnsi="Garamond" w:cs="Tahoma"/>
                          <w:b/>
                          <w:color w:val="808080" w:themeColor="background1" w:themeShade="80"/>
                          <w:sz w:val="22"/>
                        </w:rPr>
                        <w:t>:</w:t>
                      </w:r>
                      <w:r w:rsidRPr="00ED1492">
                        <w:rPr>
                          <w:rFonts w:ascii="Garamond" w:hAnsi="Garamond" w:cs="Tahoma"/>
                          <w:color w:val="808080" w:themeColor="background1" w:themeShade="80"/>
                          <w:sz w:val="22"/>
                        </w:rPr>
                        <w:t xml:space="preserve"> Construcción cultural alrededor del sexo biológico: masculino o femenino. La identidad de género no determina la orientación sexual.</w:t>
                      </w:r>
                    </w:p>
                  </w:txbxContent>
                </v:textbox>
                <w10:anchorlock/>
              </v:shape>
            </w:pict>
          </mc:Fallback>
        </mc:AlternateContent>
      </w:r>
    </w:p>
    <w:p w14:paraId="3DB2E11A" w14:textId="1804C3E6" w:rsidR="00402E19" w:rsidRPr="00DC105E" w:rsidRDefault="00FE5600" w:rsidP="001038EC">
      <w:pPr>
        <w:spacing w:line="360" w:lineRule="auto"/>
        <w:jc w:val="both"/>
        <w:rPr>
          <w:rFonts w:ascii="Garamond" w:hAnsi="Garamond"/>
          <w:color w:val="000000" w:themeColor="text1"/>
          <w:sz w:val="20"/>
          <w:szCs w:val="20"/>
          <w:lang w:val="es-MX"/>
        </w:rPr>
      </w:pPr>
      <w:r>
        <w:rPr>
          <w:rFonts w:ascii="Garamond" w:hAnsi="Garamond"/>
          <w:color w:val="000000" w:themeColor="text1"/>
          <w:sz w:val="20"/>
          <w:szCs w:val="20"/>
          <w:lang w:val="es-MX"/>
        </w:rPr>
        <w:t>Esta vulneración es más acentuada hacia las</w:t>
      </w:r>
      <w:r w:rsidR="001038EC" w:rsidRPr="00DC105E">
        <w:rPr>
          <w:rFonts w:ascii="Garamond" w:hAnsi="Garamond"/>
          <w:color w:val="000000" w:themeColor="text1"/>
          <w:sz w:val="20"/>
          <w:szCs w:val="20"/>
          <w:lang w:val="es-MX"/>
        </w:rPr>
        <w:t xml:space="preserve"> personas trans con un</w:t>
      </w:r>
      <w:r w:rsidR="00150CA7" w:rsidRPr="00DC105E">
        <w:rPr>
          <w:rFonts w:ascii="Garamond" w:hAnsi="Garamond"/>
          <w:color w:val="000000" w:themeColor="text1"/>
          <w:sz w:val="20"/>
          <w:szCs w:val="20"/>
          <w:lang w:val="es-MX"/>
        </w:rPr>
        <w:t xml:space="preserve"> </w:t>
      </w:r>
      <w:r w:rsidR="001038EC" w:rsidRPr="00DC105E">
        <w:rPr>
          <w:rFonts w:ascii="Garamond" w:hAnsi="Garamond"/>
          <w:color w:val="000000" w:themeColor="text1"/>
          <w:sz w:val="20"/>
          <w:szCs w:val="20"/>
          <w:lang w:val="es-MX"/>
        </w:rPr>
        <w:t>43</w:t>
      </w:r>
      <w:r w:rsidR="0074308B">
        <w:rPr>
          <w:rFonts w:ascii="Garamond" w:hAnsi="Garamond"/>
          <w:color w:val="000000" w:themeColor="text1"/>
          <w:sz w:val="20"/>
          <w:szCs w:val="20"/>
          <w:lang w:val="es-MX"/>
        </w:rPr>
        <w:t>,</w:t>
      </w:r>
      <w:r w:rsidR="001038EC" w:rsidRPr="00DC105E">
        <w:rPr>
          <w:rFonts w:ascii="Garamond" w:hAnsi="Garamond"/>
          <w:color w:val="000000" w:themeColor="text1"/>
          <w:sz w:val="20"/>
          <w:szCs w:val="20"/>
          <w:lang w:val="es-MX"/>
        </w:rPr>
        <w:t>84</w:t>
      </w:r>
      <w:r w:rsidR="00150CA7" w:rsidRPr="00DC105E">
        <w:rPr>
          <w:rFonts w:ascii="Garamond" w:hAnsi="Garamond"/>
          <w:color w:val="000000" w:themeColor="text1"/>
          <w:sz w:val="20"/>
          <w:szCs w:val="20"/>
          <w:lang w:val="es-MX"/>
        </w:rPr>
        <w:t>%</w:t>
      </w:r>
      <w:r w:rsidR="001038EC" w:rsidRPr="00DC105E">
        <w:rPr>
          <w:rFonts w:ascii="Garamond" w:hAnsi="Garamond"/>
          <w:color w:val="000000" w:themeColor="text1"/>
          <w:sz w:val="20"/>
          <w:szCs w:val="20"/>
          <w:lang w:val="es-MX"/>
        </w:rPr>
        <w:t xml:space="preserve"> que </w:t>
      </w:r>
      <w:r w:rsidR="00150CA7" w:rsidRPr="00DC105E">
        <w:rPr>
          <w:rFonts w:ascii="Garamond" w:hAnsi="Garamond"/>
          <w:color w:val="000000" w:themeColor="text1"/>
          <w:sz w:val="20"/>
          <w:szCs w:val="20"/>
          <w:lang w:val="es-MX"/>
        </w:rPr>
        <w:t xml:space="preserve">señalaron que la negación del servicio fue debida a su orientación sexual o su identidad de género. </w:t>
      </w:r>
    </w:p>
    <w:p w14:paraId="6251090E" w14:textId="6C8F95C0" w:rsidR="0074308B" w:rsidRDefault="0074308B" w:rsidP="00ED1492">
      <w:pPr>
        <w:spacing w:line="360" w:lineRule="auto"/>
        <w:rPr>
          <w:rFonts w:ascii="Garamond" w:hAnsi="Garamond"/>
          <w:b/>
          <w:sz w:val="20"/>
          <w:szCs w:val="20"/>
          <w:lang w:val="es-MX"/>
        </w:rPr>
      </w:pPr>
    </w:p>
    <w:p w14:paraId="2C8C29F0" w14:textId="4E8D0794" w:rsidR="00623676" w:rsidRPr="00DC105E" w:rsidRDefault="008A1DFB" w:rsidP="00F05579">
      <w:pPr>
        <w:spacing w:line="360" w:lineRule="auto"/>
        <w:jc w:val="center"/>
        <w:rPr>
          <w:rFonts w:ascii="Times New Roman" w:eastAsia="Times New Roman" w:hAnsi="Times New Roman" w:cs="Times New Roman"/>
          <w:color w:val="FF0000"/>
        </w:rPr>
      </w:pPr>
      <w:r>
        <w:rPr>
          <w:rFonts w:ascii="Garamond" w:hAnsi="Garamond"/>
          <w:b/>
          <w:sz w:val="20"/>
          <w:szCs w:val="20"/>
          <w:lang w:val="es-MX"/>
        </w:rPr>
        <w:t>Gráfico 9</w:t>
      </w:r>
      <w:r w:rsidR="00DC105E" w:rsidRPr="00DC105E">
        <w:rPr>
          <w:rFonts w:ascii="Garamond" w:hAnsi="Garamond"/>
          <w:b/>
          <w:sz w:val="20"/>
          <w:szCs w:val="20"/>
          <w:lang w:val="es-MX"/>
        </w:rPr>
        <w:t>:  Sit</w:t>
      </w:r>
      <w:r w:rsidR="00CC6DFE" w:rsidRPr="00DC105E">
        <w:rPr>
          <w:rFonts w:ascii="Garamond" w:hAnsi="Garamond"/>
          <w:b/>
          <w:sz w:val="20"/>
          <w:szCs w:val="20"/>
          <w:lang w:val="es-MX"/>
        </w:rPr>
        <w:t>uación de la</w:t>
      </w:r>
      <w:r w:rsidR="00623676" w:rsidRPr="00DC105E">
        <w:rPr>
          <w:rFonts w:ascii="Garamond" w:hAnsi="Garamond"/>
          <w:b/>
          <w:sz w:val="20"/>
          <w:szCs w:val="20"/>
          <w:lang w:val="es-MX"/>
        </w:rPr>
        <w:t xml:space="preserve"> </w:t>
      </w:r>
      <w:r w:rsidR="00CC6DFE" w:rsidRPr="00DC105E">
        <w:rPr>
          <w:rFonts w:ascii="Garamond" w:hAnsi="Garamond"/>
          <w:b/>
          <w:sz w:val="20"/>
          <w:szCs w:val="20"/>
          <w:lang w:val="es-MX"/>
        </w:rPr>
        <w:t>Seguridad Social de la</w:t>
      </w:r>
      <w:r w:rsidR="00C7118B">
        <w:rPr>
          <w:rFonts w:ascii="Garamond" w:hAnsi="Garamond"/>
          <w:b/>
          <w:sz w:val="20"/>
          <w:szCs w:val="20"/>
          <w:lang w:val="es-MX"/>
        </w:rPr>
        <w:t xml:space="preserve">s personas </w:t>
      </w:r>
      <w:r w:rsidR="00115441">
        <w:rPr>
          <w:rFonts w:ascii="Garamond" w:hAnsi="Garamond"/>
          <w:b/>
          <w:sz w:val="20"/>
          <w:szCs w:val="20"/>
          <w:lang w:val="es-MX"/>
        </w:rPr>
        <w:t>de los sectores LGBTI</w:t>
      </w:r>
    </w:p>
    <w:p w14:paraId="4159A5C5" w14:textId="7FBB612B" w:rsidR="008B7B15" w:rsidRDefault="00AB6156" w:rsidP="008D6FF3">
      <w:pPr>
        <w:spacing w:line="360" w:lineRule="auto"/>
        <w:jc w:val="both"/>
        <w:rPr>
          <w:rFonts w:ascii="Garamond" w:hAnsi="Garamond"/>
          <w:sz w:val="20"/>
          <w:szCs w:val="20"/>
          <w:lang w:val="es-MX"/>
        </w:rPr>
      </w:pPr>
      <w:r>
        <w:rPr>
          <w:noProof/>
          <w:lang w:val="es-CO" w:eastAsia="es-CO"/>
        </w:rPr>
        <w:drawing>
          <wp:inline distT="0" distB="0" distL="0" distR="0" wp14:anchorId="3984D433" wp14:editId="047FFFC7">
            <wp:extent cx="2747010" cy="2068195"/>
            <wp:effectExtent l="0" t="0" r="0" b="0"/>
            <wp:docPr id="30" name="Chart 30">
              <a:extLst xmlns:a="http://schemas.openxmlformats.org/drawingml/2006/main">
                <a:ext uri="{FF2B5EF4-FFF2-40B4-BE49-F238E27FC236}">
                  <a16:creationId xmlns:a16="http://schemas.microsoft.com/office/drawing/2014/main" id="{FC2580A6-9788-A447-AD86-C1785C895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A4A9D" w:rsidRPr="00DC105E">
        <w:rPr>
          <w:rFonts w:ascii="Garamond" w:hAnsi="Garamond"/>
          <w:sz w:val="20"/>
          <w:szCs w:val="20"/>
          <w:lang w:val="es-MX"/>
        </w:rPr>
        <w:t>Como se mencionó anteriormente</w:t>
      </w:r>
      <w:r w:rsidR="00B869FB" w:rsidRPr="00DC105E">
        <w:rPr>
          <w:rFonts w:ascii="Garamond" w:hAnsi="Garamond"/>
          <w:sz w:val="20"/>
          <w:szCs w:val="20"/>
          <w:lang w:val="es-MX"/>
        </w:rPr>
        <w:t>,</w:t>
      </w:r>
      <w:r w:rsidR="009A4A9D" w:rsidRPr="00DC105E">
        <w:rPr>
          <w:rFonts w:ascii="Garamond" w:hAnsi="Garamond"/>
          <w:sz w:val="20"/>
          <w:szCs w:val="20"/>
          <w:lang w:val="es-MX"/>
        </w:rPr>
        <w:t xml:space="preserve"> </w:t>
      </w:r>
      <w:r w:rsidR="00020B0B" w:rsidRPr="00DC105E">
        <w:rPr>
          <w:rFonts w:ascii="Garamond" w:hAnsi="Garamond"/>
          <w:sz w:val="20"/>
          <w:szCs w:val="20"/>
          <w:lang w:val="es-MX"/>
        </w:rPr>
        <w:t xml:space="preserve">la mayoría de </w:t>
      </w:r>
      <w:r w:rsidR="00C7118B">
        <w:rPr>
          <w:rFonts w:ascii="Garamond" w:hAnsi="Garamond"/>
          <w:sz w:val="20"/>
          <w:szCs w:val="20"/>
          <w:lang w:val="es-MX"/>
        </w:rPr>
        <w:t xml:space="preserve">las personas </w:t>
      </w:r>
      <w:r w:rsidR="00115441">
        <w:rPr>
          <w:rFonts w:ascii="Garamond" w:hAnsi="Garamond"/>
          <w:sz w:val="20"/>
          <w:szCs w:val="20"/>
          <w:lang w:val="es-MX"/>
        </w:rPr>
        <w:t>de los sectores LGBTI</w:t>
      </w:r>
      <w:r w:rsidR="00020B0B" w:rsidRPr="00DC105E">
        <w:rPr>
          <w:rFonts w:ascii="Garamond" w:hAnsi="Garamond"/>
          <w:sz w:val="20"/>
          <w:szCs w:val="20"/>
          <w:lang w:val="es-MX"/>
        </w:rPr>
        <w:t xml:space="preserve"> se encuentra afiliada a la seguridad social</w:t>
      </w:r>
      <w:r w:rsidR="006B10DB" w:rsidRPr="00DC105E">
        <w:rPr>
          <w:rFonts w:ascii="Garamond" w:hAnsi="Garamond"/>
          <w:sz w:val="20"/>
          <w:szCs w:val="20"/>
          <w:lang w:val="es-MX"/>
        </w:rPr>
        <w:t>.</w:t>
      </w:r>
      <w:r w:rsidR="00020B0B" w:rsidRPr="00DC105E">
        <w:rPr>
          <w:rFonts w:ascii="Garamond" w:hAnsi="Garamond"/>
          <w:sz w:val="20"/>
          <w:szCs w:val="20"/>
          <w:lang w:val="es-MX"/>
        </w:rPr>
        <w:t xml:space="preserve"> </w:t>
      </w:r>
      <w:r w:rsidR="006B10DB" w:rsidRPr="00DC105E">
        <w:rPr>
          <w:rFonts w:ascii="Garamond" w:hAnsi="Garamond"/>
          <w:sz w:val="20"/>
          <w:szCs w:val="20"/>
          <w:lang w:val="es-MX"/>
        </w:rPr>
        <w:t>S</w:t>
      </w:r>
      <w:r w:rsidR="00020B0B" w:rsidRPr="00DC105E">
        <w:rPr>
          <w:rFonts w:ascii="Garamond" w:hAnsi="Garamond"/>
          <w:sz w:val="20"/>
          <w:szCs w:val="20"/>
          <w:lang w:val="es-MX"/>
        </w:rPr>
        <w:t xml:space="preserve">in embargo, </w:t>
      </w:r>
      <w:r w:rsidR="006B10DB" w:rsidRPr="00DC105E">
        <w:rPr>
          <w:rFonts w:ascii="Garamond" w:hAnsi="Garamond"/>
          <w:sz w:val="20"/>
          <w:szCs w:val="20"/>
          <w:lang w:val="es-MX"/>
        </w:rPr>
        <w:t>existen variaciones considerables dentro de la población en función de su identidad de género. De tal manera que las personas Cis género</w:t>
      </w:r>
      <w:r w:rsidR="00C7118B">
        <w:rPr>
          <w:rFonts w:ascii="Garamond" w:hAnsi="Garamond"/>
          <w:sz w:val="20"/>
          <w:szCs w:val="20"/>
          <w:lang w:val="es-MX"/>
        </w:rPr>
        <w:t xml:space="preserve"> de este sector</w:t>
      </w:r>
      <w:r w:rsidR="006B10DB" w:rsidRPr="00DC105E">
        <w:rPr>
          <w:rFonts w:ascii="Garamond" w:hAnsi="Garamond"/>
          <w:sz w:val="20"/>
          <w:szCs w:val="20"/>
          <w:lang w:val="es-MX"/>
        </w:rPr>
        <w:t xml:space="preserve"> tienen un nivel de afiliación más alto que las personas trans</w:t>
      </w:r>
      <w:r w:rsidR="0074308B">
        <w:rPr>
          <w:rFonts w:ascii="Garamond" w:hAnsi="Garamond"/>
          <w:sz w:val="20"/>
          <w:szCs w:val="20"/>
          <w:lang w:val="es-MX"/>
        </w:rPr>
        <w:t>, con una brecha de más de 12 puntos porcentuales.</w:t>
      </w:r>
    </w:p>
    <w:p w14:paraId="6C8E688C" w14:textId="2E4DBD25" w:rsidR="00304DEB" w:rsidRDefault="00304DEB" w:rsidP="008D6FF3">
      <w:pPr>
        <w:spacing w:line="360" w:lineRule="auto"/>
        <w:jc w:val="both"/>
        <w:rPr>
          <w:rFonts w:ascii="Garamond" w:hAnsi="Garamond"/>
          <w:sz w:val="20"/>
          <w:szCs w:val="20"/>
          <w:lang w:val="es-MX"/>
        </w:rPr>
      </w:pPr>
    </w:p>
    <w:p w14:paraId="775DF8B3" w14:textId="128129A1" w:rsidR="00304DEB" w:rsidRPr="00DC105E" w:rsidRDefault="00304DEB" w:rsidP="008D6FF3">
      <w:pPr>
        <w:spacing w:line="360" w:lineRule="auto"/>
        <w:jc w:val="both"/>
        <w:rPr>
          <w:rFonts w:ascii="Garamond" w:hAnsi="Garamond"/>
          <w:sz w:val="20"/>
          <w:szCs w:val="20"/>
          <w:lang w:val="es-MX"/>
        </w:rPr>
      </w:pPr>
      <w:r w:rsidRPr="00DC105E">
        <w:rPr>
          <w:rFonts w:ascii="Garamond" w:hAnsi="Garamond"/>
          <w:noProof/>
          <w:sz w:val="20"/>
          <w:szCs w:val="20"/>
          <w:lang w:val="es-CO" w:eastAsia="es-CO"/>
        </w:rPr>
        <mc:AlternateContent>
          <mc:Choice Requires="wps">
            <w:drawing>
              <wp:inline distT="0" distB="0" distL="0" distR="0" wp14:anchorId="0026C076" wp14:editId="44571629">
                <wp:extent cx="2714625" cy="1963972"/>
                <wp:effectExtent l="0" t="0" r="28575" b="17780"/>
                <wp:docPr id="22" name="Text Box 22"/>
                <wp:cNvGraphicFramePr/>
                <a:graphic xmlns:a="http://schemas.openxmlformats.org/drawingml/2006/main">
                  <a:graphicData uri="http://schemas.microsoft.com/office/word/2010/wordprocessingShape">
                    <wps:wsp>
                      <wps:cNvSpPr txBox="1"/>
                      <wps:spPr>
                        <a:xfrm>
                          <a:off x="0" y="0"/>
                          <a:ext cx="2714625" cy="1963972"/>
                        </a:xfrm>
                        <a:prstGeom prst="rect">
                          <a:avLst/>
                        </a:prstGeom>
                        <a:gradFill flip="none" rotWithShape="1">
                          <a:gsLst>
                            <a:gs pos="0">
                              <a:srgbClr val="C7AF32">
                                <a:tint val="66000"/>
                                <a:satMod val="160000"/>
                              </a:srgbClr>
                            </a:gs>
                            <a:gs pos="50000">
                              <a:srgbClr val="C7AF32">
                                <a:tint val="44500"/>
                                <a:satMod val="160000"/>
                              </a:srgbClr>
                            </a:gs>
                            <a:gs pos="100000">
                              <a:srgbClr val="C7AF32">
                                <a:tint val="23500"/>
                                <a:satMod val="160000"/>
                              </a:srgbClr>
                            </a:gs>
                          </a:gsLst>
                          <a:lin ang="2700000" scaled="1"/>
                          <a:tileRect/>
                        </a:gradFill>
                        <a:ln/>
                      </wps:spPr>
                      <wps:style>
                        <a:lnRef idx="3">
                          <a:schemeClr val="lt1"/>
                        </a:lnRef>
                        <a:fillRef idx="1">
                          <a:schemeClr val="accent2"/>
                        </a:fillRef>
                        <a:effectRef idx="1">
                          <a:schemeClr val="accent2"/>
                        </a:effectRef>
                        <a:fontRef idx="minor">
                          <a:schemeClr val="lt1"/>
                        </a:fontRef>
                      </wps:style>
                      <wps:txbx>
                        <w:txbxContent>
                          <w:p w14:paraId="6B1AD712" w14:textId="68120828" w:rsidR="00304DEB" w:rsidRPr="00ED1492" w:rsidRDefault="00304DEB" w:rsidP="00304DEB">
                            <w:pPr>
                              <w:jc w:val="both"/>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pPr>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¿Qué es </w:t>
                            </w:r>
                            <w:proofErr w:type="spellStart"/>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cisgénero</w:t>
                            </w:r>
                            <w:proofErr w:type="spellEnd"/>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 y qué es </w:t>
                            </w:r>
                            <w:proofErr w:type="spellStart"/>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trans</w:t>
                            </w:r>
                            <w:proofErr w:type="spellEnd"/>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w:t>
                            </w:r>
                          </w:p>
                          <w:p w14:paraId="7FB9CB0A" w14:textId="77777777" w:rsidR="00304DEB" w:rsidRPr="00ED1492" w:rsidRDefault="00304DEB" w:rsidP="00304DEB">
                            <w:pPr>
                              <w:jc w:val="both"/>
                              <w:rPr>
                                <w:rFonts w:ascii="Garamond" w:hAnsi="Garamond" w:cs="Tahoma"/>
                                <w:color w:val="FFFFFF" w:themeColor="background1"/>
                                <w:sz w:val="22"/>
                                <w:szCs w:val="22"/>
                              </w:rPr>
                            </w:pPr>
                          </w:p>
                          <w:p w14:paraId="15AF486E" w14:textId="77777777" w:rsidR="00304DEB" w:rsidRPr="00ED1492" w:rsidRDefault="00304DEB" w:rsidP="00304DEB">
                            <w:pPr>
                              <w:jc w:val="both"/>
                              <w:rPr>
                                <w:rFonts w:ascii="Garamond" w:hAnsi="Garamond" w:cs="Tahoma"/>
                                <w:color w:val="808080" w:themeColor="background1" w:themeShade="80"/>
                                <w:sz w:val="22"/>
                                <w:szCs w:val="22"/>
                              </w:rPr>
                            </w:pPr>
                            <w:proofErr w:type="spellStart"/>
                            <w:r w:rsidRPr="00ED1492">
                              <w:rPr>
                                <w:rFonts w:ascii="Garamond" w:hAnsi="Garamond" w:cs="Tahoma"/>
                                <w:color w:val="808080" w:themeColor="background1" w:themeShade="80"/>
                                <w:sz w:val="22"/>
                                <w:szCs w:val="22"/>
                              </w:rPr>
                              <w:t>Cisgénero</w:t>
                            </w:r>
                            <w:proofErr w:type="spellEnd"/>
                            <w:r w:rsidRPr="00ED1492">
                              <w:rPr>
                                <w:rFonts w:ascii="Garamond" w:hAnsi="Garamond" w:cs="Tahoma"/>
                                <w:color w:val="808080" w:themeColor="background1" w:themeShade="80"/>
                                <w:sz w:val="22"/>
                                <w:szCs w:val="22"/>
                              </w:rPr>
                              <w:t>: Cuando la identidad de género de la persona corresponde con el sexo asignado al nacer. El prefijo CIS es antónimo de prefijo TRANS</w:t>
                            </w:r>
                          </w:p>
                          <w:p w14:paraId="007A58F0" w14:textId="77777777" w:rsidR="00304DEB" w:rsidRPr="00ED1492" w:rsidRDefault="00304DEB" w:rsidP="00304DEB">
                            <w:pPr>
                              <w:jc w:val="both"/>
                              <w:rPr>
                                <w:rFonts w:ascii="Garamond" w:hAnsi="Garamond" w:cs="Tahoma"/>
                                <w:color w:val="808080" w:themeColor="background1" w:themeShade="80"/>
                                <w:sz w:val="22"/>
                                <w:szCs w:val="22"/>
                              </w:rPr>
                            </w:pPr>
                          </w:p>
                          <w:p w14:paraId="70B2B2C5" w14:textId="641271CE" w:rsidR="00304DEB" w:rsidRPr="00ED1492" w:rsidRDefault="00304DEB" w:rsidP="00304DEB">
                            <w:pPr>
                              <w:jc w:val="both"/>
                              <w:rPr>
                                <w:rFonts w:ascii="Garamond" w:hAnsi="Garamond" w:cs="Tahoma"/>
                                <w:color w:val="808080" w:themeColor="background1" w:themeShade="80"/>
                                <w:sz w:val="22"/>
                                <w:szCs w:val="22"/>
                              </w:rPr>
                            </w:pPr>
                            <w:proofErr w:type="spellStart"/>
                            <w:r w:rsidRPr="00ED1492">
                              <w:rPr>
                                <w:rFonts w:ascii="Garamond" w:hAnsi="Garamond" w:cs="Tahoma"/>
                                <w:color w:val="808080" w:themeColor="background1" w:themeShade="80"/>
                                <w:sz w:val="22"/>
                                <w:szCs w:val="22"/>
                              </w:rPr>
                              <w:t>Trans</w:t>
                            </w:r>
                            <w:proofErr w:type="spellEnd"/>
                            <w:r w:rsidRPr="00ED1492">
                              <w:rPr>
                                <w:rFonts w:ascii="Garamond" w:hAnsi="Garamond" w:cs="Tahoma"/>
                                <w:color w:val="808080" w:themeColor="background1" w:themeShade="80"/>
                                <w:sz w:val="22"/>
                                <w:szCs w:val="22"/>
                              </w:rPr>
                              <w:t>: Apuesta política donde las personas se auto-determinan para hablar de su experiencia de tránsito sexo–género</w:t>
                            </w:r>
                            <w:r w:rsidR="003636C9">
                              <w:rPr>
                                <w:rFonts w:ascii="Garamond" w:hAnsi="Garamond" w:cs="Tahoma"/>
                                <w:color w:val="808080" w:themeColor="background1" w:themeShade="8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26C076" id="Text Box 22" o:spid="_x0000_s1029" type="#_x0000_t202" style="width:213.75pt;height:1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jRg+wIAAOcGAAAOAAAAZHJzL2Uyb0RvYy54bWysVVtv2jAUfp+0/2D5fQ0JFFbUUDEqpkld&#13;&#10;W7Wd+mwcByw5tmcfIN2v37GdUNRN21rtJRyf+/Xj/KJtFNkJ56XRJc1PBpQIzU0l9bqk3x6WHz5S&#13;&#10;4oHpiimjRUmfhKcXs/fvzvd2KgqzMaoSjqAT7ad7W9INgJ1mmecb0TB/YqzQKKyNaxjg062zyrE9&#13;&#10;em9UVgwG42xvXGWd4cJ75F4mIZ1F/3UtONzUtRdAVEkxN4hfF7+r8M1m52y6dsxuJO/SYG/IomFS&#13;&#10;Y9CDq0sGjGyd/MVVI7kz3tRwwk2TmbqWXMQasJp88KKa+w2zItaCzfH20Cb//9zy692tI7IqaVFQ&#13;&#10;olmDM3oQLZBPpiXIwv7srZ+i2r1FRWiRj3Pu+R6Zoey2dk34xYIIyrHTT4fuBm8cmcUkH42LU0o4&#13;&#10;yvKz8fBsEv1nz+bWefgsTEMCUVKH44tdZbsrD5gKqvYqXbOrpVSK1Eri7mjcMEqcgUcJm9i7kGlU&#13;&#10;9GifCGINtm8Q2d6tVwvlyI7hdiwm8+WwiHyQGhJzPB4MuiXxDL6aKrHzwI58zKjzErNb++Mop1Er&#13;&#10;cP4eaTRC7bSOb4iUh0j/WlQxfH0orHPdN1FJTVi472KSwhLPmRK4Q3Ev2BSkEnc4uzQxvK44pdAH&#13;&#10;pQMvbFTanEjBkxJJeCdq3EXclWGaT0ABcZiQgugfU1EaNYNJjdM/GKVZR+h4NmKcCw39onX6wVRE&#13;&#10;dHiN8cEiRjYaDsaN1Mb9OeU66ffVp5pD+dCu2niAw/6oVqZ6wlvDRY6X5C1fSryHK+bhljmEJzwv&#13;&#10;hFy4wU+tzL6kpqMo2Rj343f8oI+ogVJK9gh3JfXft8zhvagvGg/iLB+NAj7Gx+h0UuDDHUtWxxK9&#13;&#10;bRYGbyZHcLc8kkEfVE/WzjSPiMzzEBVFTHOMXVLoyQUkEEZk52I+j0qIiJbBlb63vD/ccO0P7SNz&#13;&#10;toMEQDS5Nj0wsukLZEi6YT7azLdgahmXMPQ5dbXrP6JputeE/AGuj99R6/n/afYTAAD//wMAUEsD&#13;&#10;BBQABgAIAAAAIQDNGH/u4AAAAAoBAAAPAAAAZHJzL2Rvd25yZXYueG1sTI/BTsMwEETvSPyDtUhc&#13;&#10;ELVpIYU0TgUUDhwAUfoB23ibRNjrKHbb5O8xXOAy0mo0s/OK5eCsOFAfWs8ariYKBHHlTcu1hs3n&#13;&#10;8+UtiBCRDVrPpGGkAMvy9KTA3Pgjf9BhHWuRSjjkqKGJsculDFVDDsPEd8TJ2/neYUxnX0vT4zGV&#13;&#10;OyunSmXSYcvpQ4MdPTZUfa33TsNKZW+dfcCXdsO77On9Ynzt5qPW52fDapHkfgEi0hD/EvDDkPZD&#13;&#10;mYZt/Z5NEFZDoom/mrzr6fwGxFbDTN3NQJaF/I9QfgMAAP//AwBQSwECLQAUAAYACAAAACEAtoM4&#13;&#10;kv4AAADhAQAAEwAAAAAAAAAAAAAAAAAAAAAAW0NvbnRlbnRfVHlwZXNdLnhtbFBLAQItABQABgAI&#13;&#10;AAAAIQA4/SH/1gAAAJQBAAALAAAAAAAAAAAAAAAAAC8BAABfcmVscy8ucmVsc1BLAQItABQABgAI&#13;&#10;AAAAIQAMqjRg+wIAAOcGAAAOAAAAAAAAAAAAAAAAAC4CAABkcnMvZTJvRG9jLnhtbFBLAQItABQA&#13;&#10;BgAIAAAAIQDNGH/u4AAAAAoBAAAPAAAAAAAAAAAAAAAAAFUFAABkcnMvZG93bnJldi54bWxQSwUG&#13;&#10;AAAAAAQABADzAAAAYgYAAAAA&#13;&#10;" fillcolor="#eed890" strokecolor="white [3201]" strokeweight="1.5pt">
                <v:fill color2="#f8f2df" rotate="t" angle="45" colors="0 #eed890;.5 #f2e5bd;1 #f8f2df" focus="100%" type="gradient"/>
                <v:textbox>
                  <w:txbxContent>
                    <w:p w14:paraId="6B1AD712" w14:textId="68120828" w:rsidR="00304DEB" w:rsidRPr="00ED1492" w:rsidRDefault="00304DEB" w:rsidP="00304DEB">
                      <w:pPr>
                        <w:jc w:val="both"/>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pPr>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¿Qué es </w:t>
                      </w:r>
                      <w:proofErr w:type="spellStart"/>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cisgénero</w:t>
                      </w:r>
                      <w:proofErr w:type="spellEnd"/>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 xml:space="preserve"> y qué es </w:t>
                      </w:r>
                      <w:proofErr w:type="spellStart"/>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trans</w:t>
                      </w:r>
                      <w:proofErr w:type="spellEnd"/>
                      <w:r w:rsidRPr="00ED1492">
                        <w:rPr>
                          <w:rFonts w:ascii="Garamond" w:hAnsi="Garamond" w:cs="Tahoma"/>
                          <w:b/>
                          <w:color w:val="595959" w:themeColor="text1" w:themeTint="A6"/>
                          <w:sz w:val="22"/>
                          <w:szCs w:val="22"/>
                          <w14:textOutline w14:w="0" w14:cap="flat" w14:cmpd="sng" w14:algn="ctr">
                            <w14:noFill/>
                            <w14:prstDash w14:val="solid"/>
                            <w14:round/>
                          </w14:textOutline>
                          <w14:props3d w14:extrusionH="57150" w14:contourW="0" w14:prstMaterial="softEdge">
                            <w14:bevelT w14:w="25400" w14:h="38100" w14:prst="circle"/>
                          </w14:props3d>
                        </w:rPr>
                        <w:t>?</w:t>
                      </w:r>
                    </w:p>
                    <w:p w14:paraId="7FB9CB0A" w14:textId="77777777" w:rsidR="00304DEB" w:rsidRPr="00ED1492" w:rsidRDefault="00304DEB" w:rsidP="00304DEB">
                      <w:pPr>
                        <w:jc w:val="both"/>
                        <w:rPr>
                          <w:rFonts w:ascii="Garamond" w:hAnsi="Garamond" w:cs="Tahoma"/>
                          <w:color w:val="FFFFFF" w:themeColor="background1"/>
                          <w:sz w:val="22"/>
                          <w:szCs w:val="22"/>
                        </w:rPr>
                      </w:pPr>
                    </w:p>
                    <w:p w14:paraId="15AF486E" w14:textId="77777777" w:rsidR="00304DEB" w:rsidRPr="00ED1492" w:rsidRDefault="00304DEB" w:rsidP="00304DEB">
                      <w:pPr>
                        <w:jc w:val="both"/>
                        <w:rPr>
                          <w:rFonts w:ascii="Garamond" w:hAnsi="Garamond" w:cs="Tahoma"/>
                          <w:color w:val="808080" w:themeColor="background1" w:themeShade="80"/>
                          <w:sz w:val="22"/>
                          <w:szCs w:val="22"/>
                        </w:rPr>
                      </w:pPr>
                      <w:proofErr w:type="spellStart"/>
                      <w:r w:rsidRPr="00ED1492">
                        <w:rPr>
                          <w:rFonts w:ascii="Garamond" w:hAnsi="Garamond" w:cs="Tahoma"/>
                          <w:color w:val="808080" w:themeColor="background1" w:themeShade="80"/>
                          <w:sz w:val="22"/>
                          <w:szCs w:val="22"/>
                        </w:rPr>
                        <w:t>Cisgénero</w:t>
                      </w:r>
                      <w:proofErr w:type="spellEnd"/>
                      <w:r w:rsidRPr="00ED1492">
                        <w:rPr>
                          <w:rFonts w:ascii="Garamond" w:hAnsi="Garamond" w:cs="Tahoma"/>
                          <w:color w:val="808080" w:themeColor="background1" w:themeShade="80"/>
                          <w:sz w:val="22"/>
                          <w:szCs w:val="22"/>
                        </w:rPr>
                        <w:t>: Cuando la identidad de género de la persona corresponde con el sexo asignado al nacer. El prefijo CIS es antónimo de prefijo TRANS</w:t>
                      </w:r>
                    </w:p>
                    <w:p w14:paraId="007A58F0" w14:textId="77777777" w:rsidR="00304DEB" w:rsidRPr="00ED1492" w:rsidRDefault="00304DEB" w:rsidP="00304DEB">
                      <w:pPr>
                        <w:jc w:val="both"/>
                        <w:rPr>
                          <w:rFonts w:ascii="Garamond" w:hAnsi="Garamond" w:cs="Tahoma"/>
                          <w:color w:val="808080" w:themeColor="background1" w:themeShade="80"/>
                          <w:sz w:val="22"/>
                          <w:szCs w:val="22"/>
                        </w:rPr>
                      </w:pPr>
                    </w:p>
                    <w:p w14:paraId="70B2B2C5" w14:textId="641271CE" w:rsidR="00304DEB" w:rsidRPr="00ED1492" w:rsidRDefault="00304DEB" w:rsidP="00304DEB">
                      <w:pPr>
                        <w:jc w:val="both"/>
                        <w:rPr>
                          <w:rFonts w:ascii="Garamond" w:hAnsi="Garamond" w:cs="Tahoma"/>
                          <w:color w:val="808080" w:themeColor="background1" w:themeShade="80"/>
                          <w:sz w:val="22"/>
                          <w:szCs w:val="22"/>
                        </w:rPr>
                      </w:pPr>
                      <w:proofErr w:type="spellStart"/>
                      <w:r w:rsidRPr="00ED1492">
                        <w:rPr>
                          <w:rFonts w:ascii="Garamond" w:hAnsi="Garamond" w:cs="Tahoma"/>
                          <w:color w:val="808080" w:themeColor="background1" w:themeShade="80"/>
                          <w:sz w:val="22"/>
                          <w:szCs w:val="22"/>
                        </w:rPr>
                        <w:t>Trans</w:t>
                      </w:r>
                      <w:proofErr w:type="spellEnd"/>
                      <w:r w:rsidRPr="00ED1492">
                        <w:rPr>
                          <w:rFonts w:ascii="Garamond" w:hAnsi="Garamond" w:cs="Tahoma"/>
                          <w:color w:val="808080" w:themeColor="background1" w:themeShade="80"/>
                          <w:sz w:val="22"/>
                          <w:szCs w:val="22"/>
                        </w:rPr>
                        <w:t>: Apuesta política donde las personas se auto-determinan para hablar de su experiencia de tránsito sexo–género</w:t>
                      </w:r>
                      <w:r w:rsidR="003636C9">
                        <w:rPr>
                          <w:rFonts w:ascii="Garamond" w:hAnsi="Garamond" w:cs="Tahoma"/>
                          <w:color w:val="808080" w:themeColor="background1" w:themeShade="80"/>
                          <w:sz w:val="22"/>
                          <w:szCs w:val="22"/>
                        </w:rPr>
                        <w:t>.</w:t>
                      </w:r>
                    </w:p>
                  </w:txbxContent>
                </v:textbox>
                <w10:anchorlock/>
              </v:shape>
            </w:pict>
          </mc:Fallback>
        </mc:AlternateContent>
      </w:r>
    </w:p>
    <w:p w14:paraId="6CBBD48F" w14:textId="16504BB7" w:rsidR="00B403B1" w:rsidRPr="00DC105E" w:rsidRDefault="00B403B1" w:rsidP="008D6FF3">
      <w:pPr>
        <w:spacing w:line="360" w:lineRule="auto"/>
        <w:jc w:val="both"/>
        <w:rPr>
          <w:rFonts w:ascii="Garamond" w:hAnsi="Garamond"/>
          <w:sz w:val="20"/>
          <w:szCs w:val="20"/>
          <w:lang w:val="es-MX"/>
        </w:rPr>
      </w:pPr>
    </w:p>
    <w:p w14:paraId="5D137459" w14:textId="77777777" w:rsidR="008B7B15" w:rsidRPr="00DC105E" w:rsidRDefault="008B7B15" w:rsidP="008D6FF3">
      <w:pPr>
        <w:spacing w:line="360" w:lineRule="auto"/>
        <w:rPr>
          <w:rFonts w:ascii="Garamond" w:hAnsi="Garamond"/>
          <w:b/>
          <w:sz w:val="20"/>
          <w:szCs w:val="20"/>
          <w:lang w:val="es-MX"/>
        </w:rPr>
      </w:pPr>
    </w:p>
    <w:p w14:paraId="691C3247" w14:textId="1368A976" w:rsidR="009C7A5B" w:rsidRPr="00DC105E" w:rsidRDefault="008A1DFB" w:rsidP="00F05579">
      <w:pPr>
        <w:spacing w:line="360" w:lineRule="auto"/>
        <w:jc w:val="center"/>
        <w:rPr>
          <w:rFonts w:ascii="Times New Roman" w:eastAsia="Times New Roman" w:hAnsi="Times New Roman" w:cs="Times New Roman"/>
          <w:color w:val="FF0000"/>
        </w:rPr>
      </w:pPr>
      <w:r>
        <w:rPr>
          <w:rFonts w:ascii="Garamond" w:hAnsi="Garamond"/>
          <w:b/>
          <w:sz w:val="20"/>
          <w:szCs w:val="20"/>
          <w:lang w:val="es-MX"/>
        </w:rPr>
        <w:t>Gráfico 10</w:t>
      </w:r>
      <w:r w:rsidR="009C7A5B" w:rsidRPr="00DC105E">
        <w:rPr>
          <w:rFonts w:ascii="Garamond" w:hAnsi="Garamond"/>
          <w:b/>
          <w:sz w:val="20"/>
          <w:szCs w:val="20"/>
          <w:lang w:val="es-MX"/>
        </w:rPr>
        <w:t>:  Situación de la Seguridad Social de la</w:t>
      </w:r>
      <w:r w:rsidR="00C7118B">
        <w:rPr>
          <w:rFonts w:ascii="Garamond" w:hAnsi="Garamond"/>
          <w:b/>
          <w:sz w:val="20"/>
          <w:szCs w:val="20"/>
          <w:lang w:val="es-MX"/>
        </w:rPr>
        <w:t xml:space="preserve">s personas </w:t>
      </w:r>
      <w:r w:rsidR="00115441">
        <w:rPr>
          <w:rFonts w:ascii="Garamond" w:hAnsi="Garamond"/>
          <w:b/>
          <w:sz w:val="20"/>
          <w:szCs w:val="20"/>
          <w:lang w:val="es-MX"/>
        </w:rPr>
        <w:t>de los sectores LGBTI</w:t>
      </w:r>
      <w:r w:rsidR="009C7A5B" w:rsidRPr="00DC105E">
        <w:rPr>
          <w:rFonts w:ascii="Garamond" w:hAnsi="Garamond"/>
          <w:b/>
          <w:sz w:val="20"/>
          <w:szCs w:val="20"/>
          <w:lang w:val="es-MX"/>
        </w:rPr>
        <w:t xml:space="preserve"> </w:t>
      </w:r>
      <w:r w:rsidR="006E6724" w:rsidRPr="00DC105E">
        <w:rPr>
          <w:rFonts w:ascii="Garamond" w:hAnsi="Garamond"/>
          <w:b/>
          <w:sz w:val="20"/>
          <w:szCs w:val="20"/>
          <w:lang w:val="es-MX"/>
        </w:rPr>
        <w:t>por distribución</w:t>
      </w:r>
      <w:r w:rsidR="00380327" w:rsidRPr="00DC105E">
        <w:rPr>
          <w:rFonts w:ascii="Garamond" w:hAnsi="Garamond"/>
          <w:b/>
          <w:sz w:val="20"/>
          <w:szCs w:val="20"/>
          <w:lang w:val="es-MX"/>
        </w:rPr>
        <w:t xml:space="preserve"> de</w:t>
      </w:r>
      <w:r w:rsidR="006E6724" w:rsidRPr="00DC105E">
        <w:rPr>
          <w:rFonts w:ascii="Garamond" w:hAnsi="Garamond"/>
          <w:b/>
          <w:sz w:val="20"/>
          <w:szCs w:val="20"/>
          <w:lang w:val="es-MX"/>
        </w:rPr>
        <w:t xml:space="preserve"> Identidad de género</w:t>
      </w:r>
    </w:p>
    <w:p w14:paraId="596E81D1" w14:textId="21BF8C4B" w:rsidR="00EE428E" w:rsidRPr="00DC105E" w:rsidRDefault="00613EF6" w:rsidP="008D6FF3">
      <w:pPr>
        <w:spacing w:line="360" w:lineRule="auto"/>
        <w:rPr>
          <w:b/>
        </w:rPr>
      </w:pPr>
      <w:r w:rsidRPr="00DC105E">
        <w:rPr>
          <w:noProof/>
          <w:lang w:val="es-CO" w:eastAsia="es-CO"/>
        </w:rPr>
        <w:drawing>
          <wp:inline distT="0" distB="0" distL="0" distR="0" wp14:anchorId="4C75E573" wp14:editId="586DEF0E">
            <wp:extent cx="2726690" cy="3530379"/>
            <wp:effectExtent l="0" t="0" r="0" b="0"/>
            <wp:docPr id="16" name="Chart 16">
              <a:extLst xmlns:a="http://schemas.openxmlformats.org/drawingml/2006/main">
                <a:ext uri="{FF2B5EF4-FFF2-40B4-BE49-F238E27FC236}">
                  <a16:creationId xmlns:a16="http://schemas.microsoft.com/office/drawing/2014/main" id="{07BC193A-6D7E-9649-B5B7-9B84F3F9B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B069EE" w14:textId="77777777" w:rsidR="007F768C" w:rsidRDefault="007F768C" w:rsidP="00A96D73">
      <w:pPr>
        <w:spacing w:line="360" w:lineRule="auto"/>
        <w:jc w:val="both"/>
        <w:rPr>
          <w:rFonts w:ascii="Garamond" w:hAnsi="Garamond"/>
          <w:sz w:val="20"/>
          <w:szCs w:val="20"/>
          <w:lang w:val="es-MX"/>
        </w:rPr>
      </w:pPr>
    </w:p>
    <w:p w14:paraId="3863E074" w14:textId="21B53A2D" w:rsidR="008A1DFB" w:rsidRPr="00F05579" w:rsidRDefault="00F05579" w:rsidP="00A96D73">
      <w:pPr>
        <w:spacing w:line="360" w:lineRule="auto"/>
        <w:jc w:val="both"/>
        <w:rPr>
          <w:rFonts w:ascii="Garamond" w:hAnsi="Garamond"/>
          <w:sz w:val="20"/>
          <w:szCs w:val="20"/>
          <w:lang w:val="es-MX"/>
        </w:rPr>
      </w:pPr>
      <w:r>
        <w:rPr>
          <w:rFonts w:ascii="Garamond" w:hAnsi="Garamond"/>
          <w:sz w:val="20"/>
          <w:szCs w:val="20"/>
          <w:lang w:val="es-MX"/>
        </w:rPr>
        <w:t>Los sectores</w:t>
      </w:r>
      <w:r w:rsidR="008E4656" w:rsidRPr="00DC105E">
        <w:rPr>
          <w:rFonts w:ascii="Garamond" w:hAnsi="Garamond"/>
          <w:sz w:val="20"/>
          <w:szCs w:val="20"/>
          <w:lang w:val="es-MX"/>
        </w:rPr>
        <w:t xml:space="preserve"> LGBTI </w:t>
      </w:r>
      <w:r w:rsidR="00CF5E61" w:rsidRPr="00DC105E">
        <w:rPr>
          <w:rFonts w:ascii="Garamond" w:hAnsi="Garamond"/>
          <w:sz w:val="20"/>
          <w:szCs w:val="20"/>
          <w:lang w:val="es-MX"/>
        </w:rPr>
        <w:t>de Bogotá</w:t>
      </w:r>
      <w:r w:rsidR="005935F2" w:rsidRPr="00DC105E">
        <w:rPr>
          <w:rFonts w:ascii="Garamond" w:hAnsi="Garamond"/>
          <w:sz w:val="20"/>
          <w:szCs w:val="20"/>
          <w:lang w:val="es-MX"/>
        </w:rPr>
        <w:t>,</w:t>
      </w:r>
      <w:r w:rsidR="00CF5E61" w:rsidRPr="00DC105E">
        <w:rPr>
          <w:rFonts w:ascii="Garamond" w:hAnsi="Garamond"/>
          <w:sz w:val="20"/>
          <w:szCs w:val="20"/>
          <w:lang w:val="es-MX"/>
        </w:rPr>
        <w:t xml:space="preserve"> report</w:t>
      </w:r>
      <w:r>
        <w:rPr>
          <w:rFonts w:ascii="Garamond" w:hAnsi="Garamond"/>
          <w:sz w:val="20"/>
          <w:szCs w:val="20"/>
          <w:lang w:val="es-MX"/>
        </w:rPr>
        <w:t>aron</w:t>
      </w:r>
      <w:r w:rsidR="00CF5E61" w:rsidRPr="00DC105E">
        <w:rPr>
          <w:rFonts w:ascii="Garamond" w:hAnsi="Garamond"/>
          <w:sz w:val="20"/>
          <w:szCs w:val="20"/>
          <w:lang w:val="es-MX"/>
        </w:rPr>
        <w:t xml:space="preserve"> tener algún tipo de </w:t>
      </w:r>
      <w:r w:rsidR="005935F2" w:rsidRPr="00DC105E">
        <w:rPr>
          <w:rFonts w:ascii="Garamond" w:hAnsi="Garamond"/>
          <w:sz w:val="20"/>
          <w:szCs w:val="20"/>
          <w:lang w:val="es-MX"/>
        </w:rPr>
        <w:t>limitación</w:t>
      </w:r>
      <w:r w:rsidR="00ED1492">
        <w:rPr>
          <w:rFonts w:ascii="Garamond" w:hAnsi="Garamond"/>
          <w:sz w:val="20"/>
          <w:szCs w:val="20"/>
          <w:lang w:val="es-MX"/>
        </w:rPr>
        <w:t>, de quienes</w:t>
      </w:r>
      <w:r w:rsidR="007F1D66" w:rsidRPr="00DC105E">
        <w:rPr>
          <w:rFonts w:ascii="Garamond" w:hAnsi="Garamond"/>
          <w:sz w:val="20"/>
          <w:szCs w:val="20"/>
          <w:lang w:val="es-MX"/>
        </w:rPr>
        <w:t xml:space="preserve"> un 1,57% </w:t>
      </w:r>
      <w:r w:rsidR="008A1DFB">
        <w:rPr>
          <w:rFonts w:ascii="Garamond" w:hAnsi="Garamond"/>
          <w:sz w:val="20"/>
          <w:szCs w:val="20"/>
          <w:lang w:val="es-MX"/>
        </w:rPr>
        <w:t xml:space="preserve">mencionaron </w:t>
      </w:r>
      <w:r w:rsidR="003556A5" w:rsidRPr="00DC105E">
        <w:rPr>
          <w:rFonts w:ascii="Garamond" w:hAnsi="Garamond"/>
          <w:sz w:val="20"/>
          <w:szCs w:val="20"/>
          <w:lang w:val="es-MX"/>
        </w:rPr>
        <w:t xml:space="preserve">limitaciones al caminar, un 1,43% limitación al ver y un </w:t>
      </w:r>
      <w:r w:rsidR="00DD6342" w:rsidRPr="00DC105E">
        <w:rPr>
          <w:rFonts w:ascii="Garamond" w:hAnsi="Garamond"/>
          <w:sz w:val="20"/>
          <w:szCs w:val="20"/>
          <w:lang w:val="es-MX"/>
        </w:rPr>
        <w:t>0,81% limitación al usar los brazos</w:t>
      </w:r>
      <w:r w:rsidR="00F010B4" w:rsidRPr="00DC105E">
        <w:rPr>
          <w:rFonts w:ascii="Garamond" w:hAnsi="Garamond"/>
          <w:sz w:val="20"/>
          <w:szCs w:val="20"/>
          <w:lang w:val="es-MX"/>
        </w:rPr>
        <w:t>. Ahora bien, las limitaciones relacionadas con entender</w:t>
      </w:r>
      <w:r w:rsidR="00DC7988" w:rsidRPr="00DC105E">
        <w:rPr>
          <w:rFonts w:ascii="Garamond" w:hAnsi="Garamond"/>
          <w:sz w:val="20"/>
          <w:szCs w:val="20"/>
          <w:lang w:val="es-MX"/>
        </w:rPr>
        <w:t xml:space="preserve"> (0,33%) y hablar (0,39%), fueron las menos reportadas</w:t>
      </w:r>
      <w:r w:rsidR="008E4E8B">
        <w:rPr>
          <w:rFonts w:ascii="Garamond" w:hAnsi="Garamond"/>
          <w:sz w:val="20"/>
          <w:szCs w:val="20"/>
          <w:lang w:val="es-MX"/>
        </w:rPr>
        <w:t xml:space="preserve"> por </w:t>
      </w:r>
      <w:r w:rsidR="00C7118B">
        <w:rPr>
          <w:rFonts w:ascii="Garamond" w:hAnsi="Garamond"/>
          <w:sz w:val="20"/>
          <w:szCs w:val="20"/>
          <w:lang w:val="es-MX"/>
        </w:rPr>
        <w:t>este sector</w:t>
      </w:r>
      <w:r w:rsidR="00DC7988" w:rsidRPr="00DC105E">
        <w:rPr>
          <w:rFonts w:ascii="Garamond" w:hAnsi="Garamond"/>
          <w:sz w:val="20"/>
          <w:szCs w:val="20"/>
          <w:lang w:val="es-MX"/>
        </w:rPr>
        <w:t xml:space="preserve">. </w:t>
      </w:r>
      <w:r w:rsidR="00DD6342" w:rsidRPr="00DC105E">
        <w:rPr>
          <w:rFonts w:ascii="Garamond" w:hAnsi="Garamond"/>
          <w:sz w:val="20"/>
          <w:szCs w:val="20"/>
          <w:lang w:val="es-MX"/>
        </w:rPr>
        <w:t xml:space="preserve"> </w:t>
      </w:r>
    </w:p>
    <w:p w14:paraId="1287059E" w14:textId="409BF950" w:rsidR="00380327" w:rsidRPr="00DC105E" w:rsidRDefault="008A1DFB" w:rsidP="00F05579">
      <w:pPr>
        <w:spacing w:line="360" w:lineRule="auto"/>
        <w:jc w:val="center"/>
        <w:rPr>
          <w:rFonts w:ascii="Garamond" w:hAnsi="Garamond"/>
          <w:b/>
          <w:sz w:val="20"/>
          <w:szCs w:val="20"/>
          <w:lang w:val="es-MX"/>
        </w:rPr>
      </w:pPr>
      <w:r>
        <w:rPr>
          <w:rFonts w:ascii="Garamond" w:hAnsi="Garamond"/>
          <w:b/>
          <w:sz w:val="20"/>
          <w:szCs w:val="20"/>
          <w:lang w:val="es-MX"/>
        </w:rPr>
        <w:lastRenderedPageBreak/>
        <w:t>Gráfico 11</w:t>
      </w:r>
      <w:r w:rsidR="007F6132" w:rsidRPr="00DC105E">
        <w:rPr>
          <w:rFonts w:ascii="Garamond" w:hAnsi="Garamond"/>
          <w:b/>
          <w:sz w:val="20"/>
          <w:szCs w:val="20"/>
          <w:lang w:val="es-MX"/>
        </w:rPr>
        <w:t xml:space="preserve">:  </w:t>
      </w:r>
      <w:r w:rsidR="004C7ECB" w:rsidRPr="00DC105E">
        <w:rPr>
          <w:rFonts w:ascii="Garamond" w:hAnsi="Garamond"/>
          <w:b/>
          <w:sz w:val="20"/>
          <w:szCs w:val="20"/>
          <w:lang w:val="es-MX"/>
        </w:rPr>
        <w:t xml:space="preserve">Porcentaje de </w:t>
      </w:r>
      <w:r w:rsidR="00C7118B">
        <w:rPr>
          <w:rFonts w:ascii="Garamond" w:hAnsi="Garamond"/>
          <w:b/>
          <w:sz w:val="20"/>
          <w:szCs w:val="20"/>
          <w:lang w:val="es-MX"/>
        </w:rPr>
        <w:t xml:space="preserve">personas </w:t>
      </w:r>
      <w:r w:rsidR="00115441">
        <w:rPr>
          <w:rFonts w:ascii="Garamond" w:hAnsi="Garamond"/>
          <w:b/>
          <w:sz w:val="20"/>
          <w:szCs w:val="20"/>
          <w:lang w:val="es-MX"/>
        </w:rPr>
        <w:t>de los sectores LGBTI</w:t>
      </w:r>
      <w:r w:rsidR="004C7ECB" w:rsidRPr="00DC105E">
        <w:rPr>
          <w:rFonts w:ascii="Garamond" w:hAnsi="Garamond"/>
          <w:b/>
          <w:sz w:val="20"/>
          <w:szCs w:val="20"/>
          <w:lang w:val="es-MX"/>
        </w:rPr>
        <w:t xml:space="preserve"> distribuido por limitaciones.</w:t>
      </w:r>
    </w:p>
    <w:p w14:paraId="4E12FEEC" w14:textId="207B727A" w:rsidR="00FE4CBC" w:rsidRPr="00DC105E" w:rsidRDefault="001E6853" w:rsidP="008A1DFB">
      <w:pPr>
        <w:spacing w:line="360" w:lineRule="auto"/>
        <w:rPr>
          <w:rFonts w:ascii="Garamond" w:hAnsi="Garamond"/>
          <w:b/>
          <w:sz w:val="20"/>
          <w:szCs w:val="20"/>
          <w:lang w:val="es-MX"/>
        </w:rPr>
      </w:pPr>
      <w:r>
        <w:rPr>
          <w:noProof/>
          <w:lang w:val="es-CO" w:eastAsia="es-CO"/>
        </w:rPr>
        <w:drawing>
          <wp:inline distT="0" distB="0" distL="0" distR="0" wp14:anchorId="2975DB54" wp14:editId="23E9AC87">
            <wp:extent cx="2747010" cy="3546282"/>
            <wp:effectExtent l="0" t="0" r="0" b="0"/>
            <wp:docPr id="25" name="Chart 25">
              <a:extLst xmlns:a="http://schemas.openxmlformats.org/drawingml/2006/main">
                <a:ext uri="{FF2B5EF4-FFF2-40B4-BE49-F238E27FC236}">
                  <a16:creationId xmlns:a16="http://schemas.microsoft.com/office/drawing/2014/main" id="{9ED804B4-5A49-E24B-9890-DC0202678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C8E639" w14:textId="2F869F94" w:rsidR="00257116" w:rsidRPr="006B5D97" w:rsidRDefault="00F83CB7" w:rsidP="009B0307">
      <w:pPr>
        <w:pStyle w:val="Ttulo2"/>
      </w:pPr>
      <w:r w:rsidRPr="00DC105E">
        <w:t>Educación general</w:t>
      </w:r>
    </w:p>
    <w:p w14:paraId="3A7B99D7" w14:textId="4BBEBCD3" w:rsidR="008A1DFB" w:rsidRDefault="00647E22" w:rsidP="00961D70">
      <w:pPr>
        <w:spacing w:line="360" w:lineRule="auto"/>
        <w:jc w:val="both"/>
        <w:rPr>
          <w:rFonts w:ascii="Garamond" w:hAnsi="Garamond"/>
          <w:sz w:val="20"/>
          <w:szCs w:val="20"/>
          <w:lang w:val="es-MX"/>
        </w:rPr>
      </w:pPr>
      <w:r w:rsidRPr="0001290F">
        <w:rPr>
          <w:rFonts w:ascii="Garamond" w:hAnsi="Garamond"/>
          <w:sz w:val="20"/>
          <w:szCs w:val="20"/>
          <w:lang w:val="es-MX"/>
        </w:rPr>
        <w:t>La distribución de</w:t>
      </w:r>
      <w:r w:rsidR="00B809CC" w:rsidRPr="0001290F">
        <w:rPr>
          <w:rFonts w:ascii="Garamond" w:hAnsi="Garamond"/>
          <w:sz w:val="20"/>
          <w:szCs w:val="20"/>
          <w:lang w:val="es-MX"/>
        </w:rPr>
        <w:t>l grado de</w:t>
      </w:r>
      <w:r w:rsidRPr="0001290F">
        <w:rPr>
          <w:rFonts w:ascii="Garamond" w:hAnsi="Garamond"/>
          <w:sz w:val="20"/>
          <w:szCs w:val="20"/>
          <w:lang w:val="es-MX"/>
        </w:rPr>
        <w:t xml:space="preserve"> escolaridad</w:t>
      </w:r>
      <w:r w:rsidR="00B809CC" w:rsidRPr="0001290F">
        <w:rPr>
          <w:rFonts w:ascii="Garamond" w:hAnsi="Garamond"/>
          <w:sz w:val="20"/>
          <w:szCs w:val="20"/>
          <w:lang w:val="es-MX"/>
        </w:rPr>
        <w:t xml:space="preserve"> evidencia que un </w:t>
      </w:r>
      <w:r w:rsidR="00016908" w:rsidRPr="0001290F">
        <w:rPr>
          <w:rFonts w:ascii="Garamond" w:hAnsi="Garamond"/>
          <w:sz w:val="20"/>
          <w:szCs w:val="20"/>
          <w:lang w:val="es-MX"/>
        </w:rPr>
        <w:t>19,</w:t>
      </w:r>
      <w:r w:rsidR="0001290F" w:rsidRPr="0001290F">
        <w:rPr>
          <w:rFonts w:ascii="Garamond" w:hAnsi="Garamond"/>
          <w:sz w:val="20"/>
          <w:szCs w:val="20"/>
          <w:lang w:val="es-MX"/>
        </w:rPr>
        <w:t>8</w:t>
      </w:r>
      <w:r w:rsidR="00016908" w:rsidRPr="0001290F">
        <w:rPr>
          <w:rFonts w:ascii="Garamond" w:hAnsi="Garamond"/>
          <w:sz w:val="20"/>
          <w:szCs w:val="20"/>
          <w:lang w:val="es-MX"/>
        </w:rPr>
        <w:t>2%</w:t>
      </w:r>
      <w:r w:rsidR="00B809CC" w:rsidRPr="0001290F">
        <w:rPr>
          <w:rFonts w:ascii="Garamond" w:hAnsi="Garamond"/>
          <w:sz w:val="20"/>
          <w:szCs w:val="20"/>
          <w:lang w:val="es-MX"/>
        </w:rPr>
        <w:t xml:space="preserve"> de</w:t>
      </w:r>
      <w:r w:rsidRPr="0001290F">
        <w:rPr>
          <w:rFonts w:ascii="Garamond" w:hAnsi="Garamond"/>
          <w:sz w:val="20"/>
          <w:szCs w:val="20"/>
          <w:lang w:val="es-MX"/>
        </w:rPr>
        <w:t xml:space="preserve"> </w:t>
      </w:r>
      <w:r w:rsidR="00C7118B">
        <w:rPr>
          <w:rFonts w:ascii="Garamond" w:hAnsi="Garamond"/>
          <w:sz w:val="20"/>
          <w:szCs w:val="20"/>
          <w:lang w:val="es-MX"/>
        </w:rPr>
        <w:t xml:space="preserve">personas </w:t>
      </w:r>
      <w:r w:rsidR="00115441">
        <w:rPr>
          <w:rFonts w:ascii="Garamond" w:hAnsi="Garamond"/>
          <w:sz w:val="20"/>
          <w:szCs w:val="20"/>
          <w:lang w:val="es-MX"/>
        </w:rPr>
        <w:t>de los sectores LGBTI</w:t>
      </w:r>
      <w:r w:rsidR="00907AB3" w:rsidRPr="0001290F">
        <w:rPr>
          <w:rFonts w:ascii="Garamond" w:hAnsi="Garamond"/>
          <w:sz w:val="20"/>
          <w:szCs w:val="20"/>
          <w:lang w:val="es-MX"/>
        </w:rPr>
        <w:t xml:space="preserve"> de Bogotá</w:t>
      </w:r>
      <w:r w:rsidR="00510C56" w:rsidRPr="0001290F">
        <w:rPr>
          <w:rFonts w:ascii="Garamond" w:hAnsi="Garamond"/>
          <w:sz w:val="20"/>
          <w:szCs w:val="20"/>
          <w:lang w:val="es-MX"/>
        </w:rPr>
        <w:t xml:space="preserve"> </w:t>
      </w:r>
      <w:r w:rsidR="00F105C6" w:rsidRPr="0001290F">
        <w:rPr>
          <w:rFonts w:ascii="Garamond" w:hAnsi="Garamond"/>
          <w:sz w:val="20"/>
          <w:szCs w:val="20"/>
          <w:lang w:val="es-MX"/>
        </w:rPr>
        <w:t xml:space="preserve">ha completado </w:t>
      </w:r>
      <w:r w:rsidR="00832B89" w:rsidRPr="0001290F">
        <w:rPr>
          <w:rFonts w:ascii="Garamond" w:hAnsi="Garamond"/>
          <w:sz w:val="20"/>
          <w:szCs w:val="20"/>
          <w:lang w:val="es-MX"/>
        </w:rPr>
        <w:t xml:space="preserve">sus estudios universitarios, </w:t>
      </w:r>
      <w:r w:rsidR="00907AB3" w:rsidRPr="0001290F">
        <w:rPr>
          <w:rFonts w:ascii="Garamond" w:hAnsi="Garamond"/>
          <w:sz w:val="20"/>
          <w:szCs w:val="20"/>
          <w:lang w:val="es-MX"/>
        </w:rPr>
        <w:t xml:space="preserve">seguido de un </w:t>
      </w:r>
      <w:r w:rsidR="00016908" w:rsidRPr="0001290F">
        <w:rPr>
          <w:rFonts w:ascii="Garamond" w:hAnsi="Garamond"/>
          <w:sz w:val="20"/>
          <w:szCs w:val="20"/>
          <w:lang w:val="es-MX"/>
        </w:rPr>
        <w:t>1</w:t>
      </w:r>
      <w:r w:rsidR="0001290F" w:rsidRPr="0001290F">
        <w:rPr>
          <w:rFonts w:ascii="Garamond" w:hAnsi="Garamond"/>
          <w:sz w:val="20"/>
          <w:szCs w:val="20"/>
          <w:lang w:val="es-MX"/>
        </w:rPr>
        <w:t>6</w:t>
      </w:r>
      <w:r w:rsidR="00016908" w:rsidRPr="0001290F">
        <w:rPr>
          <w:rFonts w:ascii="Garamond" w:hAnsi="Garamond"/>
          <w:sz w:val="20"/>
          <w:szCs w:val="20"/>
          <w:lang w:val="es-MX"/>
        </w:rPr>
        <w:t>,</w:t>
      </w:r>
      <w:r w:rsidR="0001290F" w:rsidRPr="0001290F">
        <w:rPr>
          <w:rFonts w:ascii="Garamond" w:hAnsi="Garamond"/>
          <w:sz w:val="20"/>
          <w:szCs w:val="20"/>
          <w:lang w:val="es-MX"/>
        </w:rPr>
        <w:t>56</w:t>
      </w:r>
      <w:r w:rsidR="00016908" w:rsidRPr="0001290F">
        <w:rPr>
          <w:rFonts w:ascii="Garamond" w:hAnsi="Garamond"/>
          <w:sz w:val="20"/>
          <w:szCs w:val="20"/>
          <w:lang w:val="es-MX"/>
        </w:rPr>
        <w:t>%</w:t>
      </w:r>
      <w:r w:rsidR="00907AB3" w:rsidRPr="0001290F">
        <w:rPr>
          <w:rFonts w:ascii="Garamond" w:hAnsi="Garamond"/>
          <w:sz w:val="20"/>
          <w:szCs w:val="20"/>
          <w:lang w:val="es-MX"/>
        </w:rPr>
        <w:t xml:space="preserve"> que </w:t>
      </w:r>
      <w:r w:rsidR="0001290F" w:rsidRPr="0001290F">
        <w:rPr>
          <w:rFonts w:ascii="Garamond" w:hAnsi="Garamond"/>
          <w:sz w:val="20"/>
          <w:szCs w:val="20"/>
          <w:lang w:val="es-MX"/>
        </w:rPr>
        <w:t>No ha alcanzado el grado de bachillerato</w:t>
      </w:r>
      <w:r w:rsidR="00320D1A" w:rsidRPr="0001290F">
        <w:rPr>
          <w:rFonts w:ascii="Garamond" w:hAnsi="Garamond"/>
          <w:sz w:val="20"/>
          <w:szCs w:val="20"/>
          <w:lang w:val="es-MX"/>
        </w:rPr>
        <w:t xml:space="preserve">. </w:t>
      </w:r>
    </w:p>
    <w:p w14:paraId="7D369F32" w14:textId="77777777" w:rsidR="008A1DFB" w:rsidRDefault="008A1DFB" w:rsidP="00961D70">
      <w:pPr>
        <w:spacing w:line="360" w:lineRule="auto"/>
        <w:jc w:val="both"/>
        <w:rPr>
          <w:rFonts w:ascii="Garamond" w:hAnsi="Garamond"/>
          <w:sz w:val="20"/>
          <w:szCs w:val="20"/>
          <w:lang w:val="es-MX"/>
        </w:rPr>
      </w:pPr>
    </w:p>
    <w:p w14:paraId="4B0E1831" w14:textId="24B88403" w:rsidR="005F0DE6" w:rsidRPr="0001290F" w:rsidRDefault="008E4E8B" w:rsidP="00961D70">
      <w:pPr>
        <w:spacing w:line="360" w:lineRule="auto"/>
        <w:jc w:val="both"/>
        <w:rPr>
          <w:rFonts w:ascii="Garamond" w:hAnsi="Garamond"/>
          <w:sz w:val="20"/>
          <w:szCs w:val="20"/>
          <w:lang w:val="es-MX"/>
        </w:rPr>
      </w:pPr>
      <w:r w:rsidRPr="0001290F">
        <w:rPr>
          <w:rFonts w:ascii="Garamond" w:hAnsi="Garamond"/>
          <w:sz w:val="20"/>
          <w:szCs w:val="20"/>
          <w:lang w:val="es-MX"/>
        </w:rPr>
        <w:t>De otro lado</w:t>
      </w:r>
      <w:r w:rsidR="00320D1A" w:rsidRPr="0001290F">
        <w:rPr>
          <w:rFonts w:ascii="Garamond" w:hAnsi="Garamond"/>
          <w:sz w:val="20"/>
          <w:szCs w:val="20"/>
          <w:lang w:val="es-MX"/>
        </w:rPr>
        <w:t xml:space="preserve">, se identifica que </w:t>
      </w:r>
      <w:r w:rsidR="00D958B0" w:rsidRPr="0001290F">
        <w:rPr>
          <w:rFonts w:ascii="Garamond" w:hAnsi="Garamond"/>
          <w:sz w:val="20"/>
          <w:szCs w:val="20"/>
          <w:lang w:val="es-MX"/>
        </w:rPr>
        <w:t>aproximadamente</w:t>
      </w:r>
      <w:r w:rsidR="00CC33E6" w:rsidRPr="0001290F">
        <w:rPr>
          <w:rFonts w:ascii="Garamond" w:hAnsi="Garamond"/>
          <w:sz w:val="20"/>
          <w:szCs w:val="20"/>
          <w:lang w:val="es-MX"/>
        </w:rPr>
        <w:t xml:space="preserve"> el</w:t>
      </w:r>
      <w:r w:rsidR="00D958B0" w:rsidRPr="0001290F">
        <w:rPr>
          <w:rFonts w:ascii="Garamond" w:hAnsi="Garamond"/>
          <w:sz w:val="20"/>
          <w:szCs w:val="20"/>
          <w:lang w:val="es-MX"/>
        </w:rPr>
        <w:t xml:space="preserve"> </w:t>
      </w:r>
      <w:r w:rsidR="0001290F" w:rsidRPr="0001290F">
        <w:rPr>
          <w:rFonts w:ascii="Garamond" w:hAnsi="Garamond"/>
          <w:sz w:val="20"/>
          <w:szCs w:val="20"/>
          <w:lang w:val="es-MX"/>
        </w:rPr>
        <w:t>43</w:t>
      </w:r>
      <w:r w:rsidR="008A5992" w:rsidRPr="0001290F">
        <w:rPr>
          <w:rFonts w:ascii="Garamond" w:hAnsi="Garamond"/>
          <w:sz w:val="20"/>
          <w:szCs w:val="20"/>
          <w:lang w:val="es-MX"/>
        </w:rPr>
        <w:t>%</w:t>
      </w:r>
      <w:r w:rsidR="00D958B0" w:rsidRPr="0001290F">
        <w:rPr>
          <w:rFonts w:ascii="Garamond" w:hAnsi="Garamond"/>
          <w:sz w:val="20"/>
          <w:szCs w:val="20"/>
          <w:lang w:val="es-MX"/>
        </w:rPr>
        <w:t xml:space="preserve"> de </w:t>
      </w:r>
      <w:r w:rsidR="00C7118B">
        <w:rPr>
          <w:rFonts w:ascii="Garamond" w:hAnsi="Garamond"/>
          <w:sz w:val="20"/>
          <w:szCs w:val="20"/>
          <w:lang w:val="es-MX"/>
        </w:rPr>
        <w:t xml:space="preserve">personas </w:t>
      </w:r>
      <w:r w:rsidR="00115441">
        <w:rPr>
          <w:rFonts w:ascii="Garamond" w:hAnsi="Garamond"/>
          <w:sz w:val="20"/>
          <w:szCs w:val="20"/>
          <w:lang w:val="es-MX"/>
        </w:rPr>
        <w:t>de los sectores LGBTI</w:t>
      </w:r>
      <w:r w:rsidR="00D958B0" w:rsidRPr="0001290F">
        <w:rPr>
          <w:rFonts w:ascii="Garamond" w:hAnsi="Garamond"/>
          <w:sz w:val="20"/>
          <w:szCs w:val="20"/>
          <w:lang w:val="es-MX"/>
        </w:rPr>
        <w:t xml:space="preserve"> no ha superado los estudios </w:t>
      </w:r>
      <w:r w:rsidR="005946D4" w:rsidRPr="0001290F">
        <w:rPr>
          <w:rFonts w:ascii="Garamond" w:hAnsi="Garamond"/>
          <w:sz w:val="20"/>
          <w:szCs w:val="20"/>
          <w:lang w:val="es-MX"/>
        </w:rPr>
        <w:t xml:space="preserve">universitarios y solo un </w:t>
      </w:r>
      <w:r w:rsidR="00A109BE" w:rsidRPr="0001290F">
        <w:rPr>
          <w:rFonts w:ascii="Garamond" w:hAnsi="Garamond"/>
          <w:sz w:val="20"/>
          <w:szCs w:val="20"/>
          <w:lang w:val="es-MX"/>
        </w:rPr>
        <w:t>11%</w:t>
      </w:r>
      <w:r w:rsidR="00E52EBC" w:rsidRPr="0001290F">
        <w:rPr>
          <w:rFonts w:ascii="Garamond" w:hAnsi="Garamond"/>
          <w:sz w:val="20"/>
          <w:szCs w:val="20"/>
          <w:lang w:val="es-MX"/>
        </w:rPr>
        <w:t xml:space="preserve"> aproximadamente se encuentran </w:t>
      </w:r>
      <w:r w:rsidR="005F0DE6" w:rsidRPr="0001290F">
        <w:rPr>
          <w:rFonts w:ascii="Garamond" w:hAnsi="Garamond"/>
          <w:sz w:val="20"/>
          <w:szCs w:val="20"/>
          <w:lang w:val="es-MX"/>
        </w:rPr>
        <w:t xml:space="preserve">o ya realizaron estudios de postgrados. </w:t>
      </w:r>
    </w:p>
    <w:p w14:paraId="6E6469DF" w14:textId="77777777" w:rsidR="008E4E8B" w:rsidRPr="0001290F" w:rsidRDefault="008E4E8B" w:rsidP="00961D70">
      <w:pPr>
        <w:spacing w:line="360" w:lineRule="auto"/>
        <w:jc w:val="both"/>
        <w:rPr>
          <w:rFonts w:ascii="Garamond" w:hAnsi="Garamond"/>
          <w:sz w:val="20"/>
          <w:szCs w:val="20"/>
          <w:lang w:val="es-MX"/>
        </w:rPr>
      </w:pPr>
    </w:p>
    <w:p w14:paraId="25871A01" w14:textId="7011599E" w:rsidR="00207E20" w:rsidRPr="00DC105E" w:rsidRDefault="002F51E0" w:rsidP="00961D70">
      <w:pPr>
        <w:spacing w:line="360" w:lineRule="auto"/>
        <w:jc w:val="both"/>
        <w:rPr>
          <w:rFonts w:ascii="Garamond" w:hAnsi="Garamond"/>
          <w:sz w:val="20"/>
          <w:szCs w:val="20"/>
          <w:lang w:val="es-MX"/>
        </w:rPr>
      </w:pPr>
      <w:r w:rsidRPr="0001290F">
        <w:rPr>
          <w:rFonts w:ascii="Garamond" w:hAnsi="Garamond"/>
          <w:sz w:val="20"/>
          <w:szCs w:val="20"/>
          <w:lang w:val="es-MX"/>
        </w:rPr>
        <w:t xml:space="preserve">A esto se agrega que según el </w:t>
      </w:r>
      <w:r w:rsidRPr="0001290F">
        <w:rPr>
          <w:rFonts w:ascii="Garamond" w:hAnsi="Garamond"/>
          <w:color w:val="000000" w:themeColor="text1"/>
          <w:sz w:val="20"/>
          <w:szCs w:val="20"/>
          <w:lang w:val="es-MX"/>
        </w:rPr>
        <w:t xml:space="preserve">el balance de la política distrital LGBTI del año 2011, el 66% de las personas a quienes se encuestó afirmaron haber sido discriminados en relación con su derecho a la educación; así mismo, el 12% de </w:t>
      </w:r>
      <w:r w:rsidR="00C7118B">
        <w:rPr>
          <w:rFonts w:ascii="Garamond" w:hAnsi="Garamond"/>
          <w:color w:val="000000" w:themeColor="text1"/>
          <w:sz w:val="20"/>
          <w:szCs w:val="20"/>
          <w:lang w:val="es-MX"/>
        </w:rPr>
        <w:t xml:space="preserve">las personas </w:t>
      </w:r>
      <w:r w:rsidR="00115441">
        <w:rPr>
          <w:rFonts w:ascii="Garamond" w:hAnsi="Garamond"/>
          <w:color w:val="000000" w:themeColor="text1"/>
          <w:sz w:val="20"/>
          <w:szCs w:val="20"/>
          <w:lang w:val="es-MX"/>
        </w:rPr>
        <w:t>de los sectores LGBTI</w:t>
      </w:r>
      <w:r w:rsidRPr="0001290F">
        <w:rPr>
          <w:rFonts w:ascii="Garamond" w:hAnsi="Garamond"/>
          <w:color w:val="000000" w:themeColor="text1"/>
          <w:sz w:val="20"/>
          <w:szCs w:val="20"/>
          <w:lang w:val="es-MX"/>
        </w:rPr>
        <w:t xml:space="preserve"> dice no asistir a establecimientos educativos en razón de su orientación sexual o identidad de género.</w:t>
      </w:r>
    </w:p>
    <w:p w14:paraId="7252FB3C" w14:textId="27A8811D" w:rsidR="008A1DFB" w:rsidRPr="00DC105E" w:rsidRDefault="008A1DFB" w:rsidP="008D6FF3">
      <w:pPr>
        <w:spacing w:line="360" w:lineRule="auto"/>
        <w:rPr>
          <w:rFonts w:ascii="Garamond" w:hAnsi="Garamond"/>
          <w:b/>
          <w:sz w:val="20"/>
          <w:szCs w:val="20"/>
          <w:lang w:val="es-MX"/>
        </w:rPr>
      </w:pPr>
    </w:p>
    <w:p w14:paraId="7E69A1EA" w14:textId="2360ED08" w:rsidR="009C3B9F" w:rsidRPr="00DC105E" w:rsidRDefault="00257116" w:rsidP="00F05579">
      <w:pPr>
        <w:spacing w:line="360" w:lineRule="auto"/>
        <w:jc w:val="center"/>
        <w:rPr>
          <w:b/>
          <w:color w:val="FF0000"/>
        </w:rPr>
      </w:pPr>
      <w:r w:rsidRPr="00DC105E">
        <w:rPr>
          <w:rFonts w:ascii="Garamond" w:hAnsi="Garamond"/>
          <w:b/>
          <w:sz w:val="20"/>
          <w:szCs w:val="20"/>
          <w:lang w:val="es-MX"/>
        </w:rPr>
        <w:t xml:space="preserve">Gráfico 12:  Distribución </w:t>
      </w:r>
      <w:r w:rsidR="00023E28" w:rsidRPr="00DC105E">
        <w:rPr>
          <w:rFonts w:ascii="Garamond" w:hAnsi="Garamond"/>
          <w:b/>
          <w:sz w:val="20"/>
          <w:szCs w:val="20"/>
          <w:lang w:val="es-MX"/>
        </w:rPr>
        <w:t>de</w:t>
      </w:r>
      <w:r w:rsidR="00CE503F" w:rsidRPr="00DC105E">
        <w:rPr>
          <w:rFonts w:ascii="Garamond" w:hAnsi="Garamond"/>
          <w:b/>
          <w:sz w:val="20"/>
          <w:szCs w:val="20"/>
          <w:lang w:val="es-MX"/>
        </w:rPr>
        <w:t>l</w:t>
      </w:r>
      <w:r w:rsidR="00023E28" w:rsidRPr="00DC105E">
        <w:rPr>
          <w:rFonts w:ascii="Garamond" w:hAnsi="Garamond"/>
          <w:b/>
          <w:sz w:val="20"/>
          <w:szCs w:val="20"/>
          <w:lang w:val="es-MX"/>
        </w:rPr>
        <w:t xml:space="preserve"> grado de escolaridad </w:t>
      </w:r>
      <w:r w:rsidR="00F05579">
        <w:rPr>
          <w:rFonts w:ascii="Garamond" w:hAnsi="Garamond"/>
          <w:b/>
          <w:sz w:val="20"/>
          <w:szCs w:val="20"/>
          <w:lang w:val="es-MX"/>
        </w:rPr>
        <w:t>de personas de los sectores</w:t>
      </w:r>
      <w:r w:rsidR="00023E28" w:rsidRPr="00DC105E">
        <w:rPr>
          <w:rFonts w:ascii="Garamond" w:hAnsi="Garamond"/>
          <w:b/>
          <w:sz w:val="20"/>
          <w:szCs w:val="20"/>
          <w:lang w:val="es-MX"/>
        </w:rPr>
        <w:t xml:space="preserve"> LGBTI</w:t>
      </w:r>
    </w:p>
    <w:p w14:paraId="76D56247" w14:textId="4D35D0ED" w:rsidR="009C3B9F" w:rsidRPr="0001290F" w:rsidRDefault="001E6853" w:rsidP="008D6FF3">
      <w:pPr>
        <w:spacing w:line="360" w:lineRule="auto"/>
        <w:rPr>
          <w:rFonts w:ascii="Times New Roman" w:eastAsia="Times New Roman" w:hAnsi="Times New Roman" w:cs="Times New Roman"/>
          <w:color w:val="FF0000"/>
        </w:rPr>
      </w:pPr>
      <w:r>
        <w:rPr>
          <w:noProof/>
          <w:lang w:val="es-CO" w:eastAsia="es-CO"/>
        </w:rPr>
        <w:drawing>
          <wp:inline distT="0" distB="0" distL="0" distR="0" wp14:anchorId="168CC9DF" wp14:editId="50320489">
            <wp:extent cx="2747010" cy="3681454"/>
            <wp:effectExtent l="0" t="0" r="0" b="0"/>
            <wp:docPr id="23" name="Chart 23">
              <a:extLst xmlns:a="http://schemas.openxmlformats.org/drawingml/2006/main">
                <a:ext uri="{FF2B5EF4-FFF2-40B4-BE49-F238E27FC236}">
                  <a16:creationId xmlns:a16="http://schemas.microsoft.com/office/drawing/2014/main" id="{D37A71DB-1D77-7B4B-8256-A2CAC9E6D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F7756A" w14:textId="0F923096" w:rsidR="00A54A8F" w:rsidRPr="00DC105E" w:rsidRDefault="005F0DE6" w:rsidP="008D6FF3">
      <w:pPr>
        <w:spacing w:line="360" w:lineRule="auto"/>
        <w:jc w:val="both"/>
        <w:rPr>
          <w:rFonts w:ascii="Garamond" w:hAnsi="Garamond"/>
          <w:sz w:val="20"/>
          <w:szCs w:val="20"/>
          <w:lang w:val="es-MX"/>
        </w:rPr>
      </w:pPr>
      <w:r w:rsidRPr="0001290F">
        <w:rPr>
          <w:rFonts w:ascii="Garamond" w:hAnsi="Garamond"/>
          <w:sz w:val="20"/>
          <w:szCs w:val="20"/>
          <w:lang w:val="es-MX"/>
        </w:rPr>
        <w:t xml:space="preserve">Haciendo una comparación entre </w:t>
      </w:r>
      <w:r w:rsidR="00C7118B">
        <w:rPr>
          <w:rFonts w:ascii="Garamond" w:hAnsi="Garamond"/>
          <w:sz w:val="20"/>
          <w:szCs w:val="20"/>
          <w:lang w:val="es-MX"/>
        </w:rPr>
        <w:t xml:space="preserve">las personas </w:t>
      </w:r>
      <w:r w:rsidR="00115441">
        <w:rPr>
          <w:rFonts w:ascii="Garamond" w:hAnsi="Garamond"/>
          <w:sz w:val="20"/>
          <w:szCs w:val="20"/>
          <w:lang w:val="es-MX"/>
        </w:rPr>
        <w:t>de los sectores LGBTI</w:t>
      </w:r>
      <w:r w:rsidRPr="0001290F">
        <w:rPr>
          <w:rFonts w:ascii="Garamond" w:hAnsi="Garamond"/>
          <w:sz w:val="20"/>
          <w:szCs w:val="20"/>
          <w:lang w:val="es-MX"/>
        </w:rPr>
        <w:t xml:space="preserve"> y la población </w:t>
      </w:r>
      <w:r w:rsidR="0043141D" w:rsidRPr="0001290F">
        <w:rPr>
          <w:rFonts w:ascii="Garamond" w:hAnsi="Garamond"/>
          <w:sz w:val="20"/>
          <w:szCs w:val="20"/>
          <w:lang w:val="es-MX"/>
        </w:rPr>
        <w:t xml:space="preserve">heterosexual, se identifica </w:t>
      </w:r>
      <w:r w:rsidR="00DD1BA4" w:rsidRPr="0001290F">
        <w:rPr>
          <w:rFonts w:ascii="Garamond" w:hAnsi="Garamond"/>
          <w:sz w:val="20"/>
          <w:szCs w:val="20"/>
          <w:lang w:val="es-MX"/>
        </w:rPr>
        <w:t>a partir del grado de estudio técnico</w:t>
      </w:r>
      <w:r w:rsidR="008E4E8B" w:rsidRPr="0001290F">
        <w:rPr>
          <w:rFonts w:ascii="Garamond" w:hAnsi="Garamond"/>
          <w:sz w:val="20"/>
          <w:szCs w:val="20"/>
          <w:lang w:val="es-MX"/>
        </w:rPr>
        <w:t xml:space="preserve"> que el</w:t>
      </w:r>
      <w:r w:rsidR="00DD1BA4" w:rsidRPr="0001290F">
        <w:rPr>
          <w:rFonts w:ascii="Garamond" w:hAnsi="Garamond"/>
          <w:sz w:val="20"/>
          <w:szCs w:val="20"/>
          <w:lang w:val="es-MX"/>
        </w:rPr>
        <w:t xml:space="preserve"> porcentaje de</w:t>
      </w:r>
      <w:r w:rsidR="00186B5B">
        <w:rPr>
          <w:rFonts w:ascii="Garamond" w:hAnsi="Garamond"/>
          <w:sz w:val="20"/>
          <w:szCs w:val="20"/>
          <w:lang w:val="es-MX"/>
        </w:rPr>
        <w:t xml:space="preserve"> </w:t>
      </w:r>
      <w:r w:rsidR="00C7118B">
        <w:rPr>
          <w:rFonts w:ascii="Garamond" w:hAnsi="Garamond"/>
          <w:sz w:val="20"/>
          <w:szCs w:val="20"/>
          <w:lang w:val="es-MX"/>
        </w:rPr>
        <w:t>l</w:t>
      </w:r>
      <w:r w:rsidR="00186B5B">
        <w:rPr>
          <w:rFonts w:ascii="Garamond" w:hAnsi="Garamond"/>
          <w:sz w:val="20"/>
          <w:szCs w:val="20"/>
          <w:lang w:val="es-MX"/>
        </w:rPr>
        <w:t>os</w:t>
      </w:r>
      <w:r w:rsidR="00C7118B">
        <w:rPr>
          <w:rFonts w:ascii="Garamond" w:hAnsi="Garamond"/>
          <w:sz w:val="20"/>
          <w:szCs w:val="20"/>
          <w:lang w:val="es-MX"/>
        </w:rPr>
        <w:t xml:space="preserve"> sector</w:t>
      </w:r>
      <w:r w:rsidR="00186B5B">
        <w:rPr>
          <w:rFonts w:ascii="Garamond" w:hAnsi="Garamond"/>
          <w:sz w:val="20"/>
          <w:szCs w:val="20"/>
          <w:lang w:val="es-MX"/>
        </w:rPr>
        <w:t xml:space="preserve">es </w:t>
      </w:r>
      <w:r w:rsidR="00DD1BA4" w:rsidRPr="0001290F">
        <w:rPr>
          <w:rFonts w:ascii="Garamond" w:hAnsi="Garamond"/>
          <w:sz w:val="20"/>
          <w:szCs w:val="20"/>
          <w:lang w:val="es-MX"/>
        </w:rPr>
        <w:t xml:space="preserve">LGBTI supera al de la población heterosexual. En donde se encuentra mayor diferencia porcentual es en el grado de universidad completa: en donde </w:t>
      </w:r>
      <w:r w:rsidR="00F05579">
        <w:rPr>
          <w:rFonts w:ascii="Garamond" w:hAnsi="Garamond"/>
          <w:sz w:val="20"/>
          <w:szCs w:val="20"/>
          <w:lang w:val="es-MX"/>
        </w:rPr>
        <w:t>los sectores</w:t>
      </w:r>
      <w:r w:rsidR="00DD1BA4" w:rsidRPr="0001290F">
        <w:rPr>
          <w:rFonts w:ascii="Garamond" w:hAnsi="Garamond"/>
          <w:sz w:val="20"/>
          <w:szCs w:val="20"/>
          <w:lang w:val="es-MX"/>
        </w:rPr>
        <w:t xml:space="preserve"> LGBTI supera en 5</w:t>
      </w:r>
      <w:r w:rsidR="008E4E8B" w:rsidRPr="0001290F">
        <w:rPr>
          <w:rFonts w:ascii="Garamond" w:hAnsi="Garamond"/>
          <w:sz w:val="20"/>
          <w:szCs w:val="20"/>
          <w:lang w:val="es-MX"/>
        </w:rPr>
        <w:t xml:space="preserve"> puntos porcentuales</w:t>
      </w:r>
      <w:r w:rsidR="00DD1BA4" w:rsidRPr="0001290F">
        <w:rPr>
          <w:rFonts w:ascii="Garamond" w:hAnsi="Garamond"/>
          <w:sz w:val="20"/>
          <w:szCs w:val="20"/>
          <w:lang w:val="es-MX"/>
        </w:rPr>
        <w:t xml:space="preserve"> a la heterosexual. De forma contraria</w:t>
      </w:r>
      <w:r w:rsidR="008E4E8B" w:rsidRPr="0001290F">
        <w:rPr>
          <w:rFonts w:ascii="Garamond" w:hAnsi="Garamond"/>
          <w:sz w:val="20"/>
          <w:szCs w:val="20"/>
          <w:lang w:val="es-MX"/>
        </w:rPr>
        <w:t>,</w:t>
      </w:r>
      <w:r w:rsidR="00DD1BA4" w:rsidRPr="0001290F">
        <w:rPr>
          <w:rFonts w:ascii="Garamond" w:hAnsi="Garamond"/>
          <w:sz w:val="20"/>
          <w:szCs w:val="20"/>
          <w:lang w:val="es-MX"/>
        </w:rPr>
        <w:t xml:space="preserve"> </w:t>
      </w:r>
      <w:r w:rsidR="008E4E8B" w:rsidRPr="0001290F">
        <w:rPr>
          <w:rFonts w:ascii="Garamond" w:hAnsi="Garamond"/>
          <w:sz w:val="20"/>
          <w:szCs w:val="20"/>
          <w:lang w:val="es-MX"/>
        </w:rPr>
        <w:t>l</w:t>
      </w:r>
      <w:r w:rsidR="00DD1BA4" w:rsidRPr="0001290F">
        <w:rPr>
          <w:rFonts w:ascii="Garamond" w:hAnsi="Garamond"/>
          <w:sz w:val="20"/>
          <w:szCs w:val="20"/>
          <w:lang w:val="es-MX"/>
        </w:rPr>
        <w:t xml:space="preserve">a población heterosexual supera </w:t>
      </w:r>
      <w:r w:rsidR="00C7118B">
        <w:rPr>
          <w:rFonts w:ascii="Garamond" w:hAnsi="Garamond"/>
          <w:sz w:val="20"/>
          <w:szCs w:val="20"/>
          <w:lang w:val="es-MX"/>
        </w:rPr>
        <w:t>a</w:t>
      </w:r>
      <w:r w:rsidR="00DD1BA4" w:rsidRPr="0001290F">
        <w:rPr>
          <w:rFonts w:ascii="Garamond" w:hAnsi="Garamond"/>
          <w:sz w:val="20"/>
          <w:szCs w:val="20"/>
          <w:lang w:val="es-MX"/>
        </w:rPr>
        <w:t>l</w:t>
      </w:r>
      <w:r w:rsidR="00C7118B">
        <w:rPr>
          <w:rFonts w:ascii="Garamond" w:hAnsi="Garamond"/>
          <w:sz w:val="20"/>
          <w:szCs w:val="20"/>
          <w:lang w:val="es-MX"/>
        </w:rPr>
        <w:t xml:space="preserve"> sector</w:t>
      </w:r>
      <w:r w:rsidR="00DD1BA4" w:rsidRPr="0001290F">
        <w:rPr>
          <w:rFonts w:ascii="Garamond" w:hAnsi="Garamond"/>
          <w:sz w:val="20"/>
          <w:szCs w:val="20"/>
          <w:lang w:val="es-MX"/>
        </w:rPr>
        <w:t xml:space="preserve"> LGBTI en </w:t>
      </w:r>
      <w:r w:rsidR="0001290F" w:rsidRPr="0001290F">
        <w:rPr>
          <w:rFonts w:ascii="Garamond" w:hAnsi="Garamond"/>
          <w:sz w:val="20"/>
          <w:szCs w:val="20"/>
          <w:lang w:val="es-MX"/>
        </w:rPr>
        <w:t>16</w:t>
      </w:r>
      <w:r w:rsidR="008E4E8B" w:rsidRPr="0001290F">
        <w:rPr>
          <w:rFonts w:ascii="Garamond" w:hAnsi="Garamond"/>
          <w:sz w:val="20"/>
          <w:szCs w:val="20"/>
          <w:lang w:val="es-MX"/>
        </w:rPr>
        <w:t xml:space="preserve"> puntos porcentuales</w:t>
      </w:r>
      <w:r w:rsidR="00DD1BA4" w:rsidRPr="0001290F">
        <w:rPr>
          <w:rFonts w:ascii="Garamond" w:hAnsi="Garamond"/>
          <w:sz w:val="20"/>
          <w:szCs w:val="20"/>
          <w:lang w:val="es-MX"/>
        </w:rPr>
        <w:t xml:space="preserve"> aproximadamente respecto a</w:t>
      </w:r>
      <w:r w:rsidR="0001290F" w:rsidRPr="0001290F">
        <w:rPr>
          <w:rFonts w:ascii="Garamond" w:hAnsi="Garamond"/>
          <w:sz w:val="20"/>
          <w:szCs w:val="20"/>
          <w:lang w:val="es-MX"/>
        </w:rPr>
        <w:t xml:space="preserve">l bachillerato completo </w:t>
      </w:r>
      <w:r w:rsidR="00DD1BA4" w:rsidRPr="0001290F">
        <w:rPr>
          <w:rFonts w:ascii="Garamond" w:hAnsi="Garamond"/>
          <w:sz w:val="20"/>
          <w:szCs w:val="20"/>
          <w:lang w:val="es-MX"/>
        </w:rPr>
        <w:t>como el máximo grado alcanzado.</w:t>
      </w:r>
      <w:r w:rsidR="00C63FFD" w:rsidRPr="00DC105E">
        <w:rPr>
          <w:rFonts w:ascii="Garamond" w:hAnsi="Garamond"/>
          <w:sz w:val="20"/>
          <w:szCs w:val="20"/>
          <w:lang w:val="es-MX"/>
        </w:rPr>
        <w:t xml:space="preserve"> </w:t>
      </w:r>
    </w:p>
    <w:p w14:paraId="34658BEA" w14:textId="2C2FD0C2" w:rsidR="004F409D" w:rsidRDefault="004F409D" w:rsidP="008D6FF3">
      <w:pPr>
        <w:spacing w:line="360" w:lineRule="auto"/>
        <w:rPr>
          <w:rFonts w:ascii="Garamond" w:hAnsi="Garamond"/>
          <w:b/>
          <w:sz w:val="20"/>
          <w:szCs w:val="20"/>
          <w:lang w:val="es-MX"/>
        </w:rPr>
      </w:pPr>
    </w:p>
    <w:p w14:paraId="416874E6" w14:textId="36E4A842" w:rsidR="00022FC2" w:rsidRDefault="00022FC2" w:rsidP="008D6FF3">
      <w:pPr>
        <w:spacing w:line="360" w:lineRule="auto"/>
        <w:rPr>
          <w:rFonts w:ascii="Garamond" w:hAnsi="Garamond"/>
          <w:b/>
          <w:sz w:val="20"/>
          <w:szCs w:val="20"/>
          <w:lang w:val="es-MX"/>
        </w:rPr>
      </w:pPr>
    </w:p>
    <w:p w14:paraId="7D17ACDC" w14:textId="79713A23" w:rsidR="00022FC2" w:rsidRDefault="00022FC2" w:rsidP="008D6FF3">
      <w:pPr>
        <w:spacing w:line="360" w:lineRule="auto"/>
        <w:rPr>
          <w:rFonts w:ascii="Garamond" w:hAnsi="Garamond"/>
          <w:b/>
          <w:sz w:val="20"/>
          <w:szCs w:val="20"/>
          <w:lang w:val="es-MX"/>
        </w:rPr>
      </w:pPr>
    </w:p>
    <w:p w14:paraId="07D03A4B" w14:textId="5A538FFB" w:rsidR="00022FC2" w:rsidRDefault="00022FC2" w:rsidP="008D6FF3">
      <w:pPr>
        <w:spacing w:line="360" w:lineRule="auto"/>
        <w:rPr>
          <w:rFonts w:ascii="Garamond" w:hAnsi="Garamond"/>
          <w:b/>
          <w:sz w:val="20"/>
          <w:szCs w:val="20"/>
          <w:lang w:val="es-MX"/>
        </w:rPr>
      </w:pPr>
    </w:p>
    <w:p w14:paraId="52C76D2B" w14:textId="68B07EB4" w:rsidR="00022FC2" w:rsidRDefault="00022FC2" w:rsidP="008D6FF3">
      <w:pPr>
        <w:spacing w:line="360" w:lineRule="auto"/>
        <w:rPr>
          <w:rFonts w:ascii="Garamond" w:hAnsi="Garamond"/>
          <w:b/>
          <w:sz w:val="20"/>
          <w:szCs w:val="20"/>
          <w:lang w:val="es-MX"/>
        </w:rPr>
      </w:pPr>
    </w:p>
    <w:p w14:paraId="55F9A930" w14:textId="723DD4DD" w:rsidR="00022FC2" w:rsidRDefault="00022FC2" w:rsidP="008D6FF3">
      <w:pPr>
        <w:spacing w:line="360" w:lineRule="auto"/>
        <w:rPr>
          <w:rFonts w:ascii="Garamond" w:hAnsi="Garamond"/>
          <w:b/>
          <w:sz w:val="20"/>
          <w:szCs w:val="20"/>
          <w:lang w:val="es-MX"/>
        </w:rPr>
      </w:pPr>
    </w:p>
    <w:p w14:paraId="491C1D78" w14:textId="003AD1D6" w:rsidR="00022FC2" w:rsidRDefault="00022FC2" w:rsidP="008D6FF3">
      <w:pPr>
        <w:spacing w:line="360" w:lineRule="auto"/>
        <w:rPr>
          <w:rFonts w:ascii="Garamond" w:hAnsi="Garamond"/>
          <w:b/>
          <w:sz w:val="20"/>
          <w:szCs w:val="20"/>
          <w:lang w:val="es-MX"/>
        </w:rPr>
      </w:pPr>
    </w:p>
    <w:p w14:paraId="18CEEC7A" w14:textId="325C5604" w:rsidR="00022FC2" w:rsidRPr="00DC105E" w:rsidRDefault="00022FC2" w:rsidP="008D6FF3">
      <w:pPr>
        <w:spacing w:line="360" w:lineRule="auto"/>
        <w:rPr>
          <w:rFonts w:ascii="Garamond" w:hAnsi="Garamond"/>
          <w:b/>
          <w:sz w:val="20"/>
          <w:szCs w:val="20"/>
          <w:lang w:val="es-MX"/>
        </w:rPr>
      </w:pPr>
    </w:p>
    <w:p w14:paraId="4E5705BF" w14:textId="7F816406" w:rsidR="007053CB" w:rsidRPr="00DC105E" w:rsidRDefault="007053CB" w:rsidP="00F05579">
      <w:pPr>
        <w:spacing w:line="360" w:lineRule="auto"/>
        <w:jc w:val="center"/>
        <w:rPr>
          <w:b/>
          <w:color w:val="FF0000"/>
        </w:rPr>
      </w:pPr>
      <w:r w:rsidRPr="00DC105E">
        <w:rPr>
          <w:rFonts w:ascii="Garamond" w:hAnsi="Garamond"/>
          <w:b/>
          <w:sz w:val="20"/>
          <w:szCs w:val="20"/>
          <w:lang w:val="es-MX"/>
        </w:rPr>
        <w:t>Gráfico 13:  Comparación de</w:t>
      </w:r>
      <w:r w:rsidR="00D01DDB" w:rsidRPr="00DC105E">
        <w:rPr>
          <w:rFonts w:ascii="Garamond" w:hAnsi="Garamond"/>
          <w:b/>
          <w:sz w:val="20"/>
          <w:szCs w:val="20"/>
          <w:lang w:val="es-MX"/>
        </w:rPr>
        <w:t>l</w:t>
      </w:r>
      <w:r w:rsidRPr="00DC105E">
        <w:rPr>
          <w:rFonts w:ascii="Garamond" w:hAnsi="Garamond"/>
          <w:b/>
          <w:sz w:val="20"/>
          <w:szCs w:val="20"/>
          <w:lang w:val="es-MX"/>
        </w:rPr>
        <w:t xml:space="preserve"> grado de escolaridad </w:t>
      </w:r>
      <w:r w:rsidR="00D01DDB" w:rsidRPr="00DC105E">
        <w:rPr>
          <w:rFonts w:ascii="Garamond" w:hAnsi="Garamond"/>
          <w:b/>
          <w:sz w:val="20"/>
          <w:szCs w:val="20"/>
          <w:lang w:val="es-MX"/>
        </w:rPr>
        <w:t xml:space="preserve">entre </w:t>
      </w:r>
      <w:r w:rsidR="00F05579">
        <w:rPr>
          <w:rFonts w:ascii="Garamond" w:hAnsi="Garamond"/>
          <w:b/>
          <w:sz w:val="20"/>
          <w:szCs w:val="20"/>
          <w:lang w:val="es-MX"/>
        </w:rPr>
        <w:t>los</w:t>
      </w:r>
      <w:r w:rsidR="00C7118B">
        <w:rPr>
          <w:rFonts w:ascii="Garamond" w:hAnsi="Garamond"/>
          <w:b/>
          <w:sz w:val="20"/>
          <w:szCs w:val="20"/>
          <w:lang w:val="es-MX"/>
        </w:rPr>
        <w:t xml:space="preserve"> sector</w:t>
      </w:r>
      <w:r w:rsidR="00F05579">
        <w:rPr>
          <w:rFonts w:ascii="Garamond" w:hAnsi="Garamond"/>
          <w:b/>
          <w:sz w:val="20"/>
          <w:szCs w:val="20"/>
          <w:lang w:val="es-MX"/>
        </w:rPr>
        <w:t>es</w:t>
      </w:r>
      <w:r w:rsidRPr="00DC105E">
        <w:rPr>
          <w:rFonts w:ascii="Garamond" w:hAnsi="Garamond"/>
          <w:b/>
          <w:sz w:val="20"/>
          <w:szCs w:val="20"/>
          <w:lang w:val="es-MX"/>
        </w:rPr>
        <w:t xml:space="preserve"> LGBTI vs la población heterosexual</w:t>
      </w:r>
    </w:p>
    <w:p w14:paraId="0EE63256" w14:textId="4FDEAF54" w:rsidR="009C3B9F" w:rsidRPr="00DC105E" w:rsidRDefault="00EC29D3" w:rsidP="008D6FF3">
      <w:pPr>
        <w:spacing w:line="360" w:lineRule="auto"/>
        <w:rPr>
          <w:b/>
        </w:rPr>
      </w:pPr>
      <w:r>
        <w:rPr>
          <w:noProof/>
          <w:lang w:val="es-CO" w:eastAsia="es-CO"/>
        </w:rPr>
        <w:drawing>
          <wp:inline distT="0" distB="0" distL="0" distR="0" wp14:anchorId="67E76D99" wp14:editId="5382EF9E">
            <wp:extent cx="2875915" cy="3959169"/>
            <wp:effectExtent l="0" t="0" r="0" b="0"/>
            <wp:docPr id="28" name="Chart 28">
              <a:extLst xmlns:a="http://schemas.openxmlformats.org/drawingml/2006/main">
                <a:ext uri="{FF2B5EF4-FFF2-40B4-BE49-F238E27FC236}">
                  <a16:creationId xmlns:a16="http://schemas.microsoft.com/office/drawing/2014/main" id="{9D93B6A5-A17B-5C45-84AC-61EBB161F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0D0770" w14:textId="15B99E20" w:rsidR="00BA68A1" w:rsidRPr="00DC105E" w:rsidRDefault="004D47D6" w:rsidP="008D6FF3">
      <w:pPr>
        <w:spacing w:line="360" w:lineRule="auto"/>
        <w:jc w:val="both"/>
        <w:rPr>
          <w:rFonts w:ascii="Garamond" w:hAnsi="Garamond"/>
          <w:color w:val="000000" w:themeColor="text1"/>
          <w:sz w:val="20"/>
          <w:szCs w:val="20"/>
          <w:lang w:val="es-MX"/>
        </w:rPr>
      </w:pPr>
      <w:r w:rsidRPr="00DC105E">
        <w:rPr>
          <w:rFonts w:ascii="Garamond" w:hAnsi="Garamond"/>
          <w:sz w:val="20"/>
          <w:szCs w:val="20"/>
          <w:lang w:val="es-MX"/>
        </w:rPr>
        <w:t xml:space="preserve">Ahora bien, </w:t>
      </w:r>
      <w:r w:rsidR="008E4E8B">
        <w:rPr>
          <w:rFonts w:ascii="Garamond" w:hAnsi="Garamond"/>
          <w:sz w:val="20"/>
          <w:szCs w:val="20"/>
          <w:lang w:val="es-MX"/>
        </w:rPr>
        <w:t>al hacer</w:t>
      </w:r>
      <w:r w:rsidR="003E692D" w:rsidRPr="00DC105E">
        <w:rPr>
          <w:rFonts w:ascii="Garamond" w:hAnsi="Garamond"/>
          <w:sz w:val="20"/>
          <w:szCs w:val="20"/>
          <w:lang w:val="es-MX"/>
        </w:rPr>
        <w:t xml:space="preserve"> un zoom respecto a la población cisgénero para comprobar las diferencias entre hombres y mujeres</w:t>
      </w:r>
      <w:r w:rsidR="00D6763E" w:rsidRPr="00DC105E">
        <w:rPr>
          <w:rFonts w:ascii="Garamond" w:hAnsi="Garamond"/>
          <w:sz w:val="20"/>
          <w:szCs w:val="20"/>
          <w:lang w:val="es-MX"/>
        </w:rPr>
        <w:t>, los hombres tienen en general un nivel educativo más alto, el nivel universitario completo es donde se presenta la mayor brecha de aproximadamente 12</w:t>
      </w:r>
      <w:r w:rsidR="008E4E8B">
        <w:rPr>
          <w:rFonts w:ascii="Garamond" w:hAnsi="Garamond"/>
          <w:sz w:val="20"/>
          <w:szCs w:val="20"/>
          <w:lang w:val="es-MX"/>
        </w:rPr>
        <w:t xml:space="preserve"> puntos porcentuales</w:t>
      </w:r>
      <w:r w:rsidR="00D6763E" w:rsidRPr="00DC105E">
        <w:rPr>
          <w:rFonts w:ascii="Garamond" w:hAnsi="Garamond"/>
          <w:sz w:val="20"/>
          <w:szCs w:val="20"/>
          <w:lang w:val="es-MX"/>
        </w:rPr>
        <w:t xml:space="preserve">. </w:t>
      </w:r>
      <w:r w:rsidR="00D6763E" w:rsidRPr="00DC105E">
        <w:rPr>
          <w:rFonts w:ascii="Garamond" w:hAnsi="Garamond"/>
          <w:color w:val="000000" w:themeColor="text1"/>
          <w:sz w:val="20"/>
          <w:szCs w:val="20"/>
          <w:lang w:val="es-MX"/>
        </w:rPr>
        <w:t>Debe anotarse que la respuesta NS/NR es considerablemente alta en los dos casos: 14</w:t>
      </w:r>
      <w:r w:rsidR="008E4E8B">
        <w:rPr>
          <w:rFonts w:ascii="Garamond" w:hAnsi="Garamond"/>
          <w:color w:val="000000" w:themeColor="text1"/>
          <w:sz w:val="20"/>
          <w:szCs w:val="20"/>
          <w:lang w:val="es-MX"/>
        </w:rPr>
        <w:t>,</w:t>
      </w:r>
      <w:r w:rsidR="00D6763E" w:rsidRPr="00DC105E">
        <w:rPr>
          <w:rFonts w:ascii="Garamond" w:hAnsi="Garamond"/>
          <w:color w:val="000000" w:themeColor="text1"/>
          <w:sz w:val="20"/>
          <w:szCs w:val="20"/>
          <w:lang w:val="es-MX"/>
        </w:rPr>
        <w:t>13% para hombres y 12</w:t>
      </w:r>
      <w:r w:rsidR="008E4E8B">
        <w:rPr>
          <w:rFonts w:ascii="Garamond" w:hAnsi="Garamond"/>
          <w:color w:val="000000" w:themeColor="text1"/>
          <w:sz w:val="20"/>
          <w:szCs w:val="20"/>
          <w:lang w:val="es-MX"/>
        </w:rPr>
        <w:t>,</w:t>
      </w:r>
      <w:r w:rsidR="00D6763E" w:rsidRPr="00DC105E">
        <w:rPr>
          <w:rFonts w:ascii="Garamond" w:hAnsi="Garamond"/>
          <w:color w:val="000000" w:themeColor="text1"/>
          <w:sz w:val="20"/>
          <w:szCs w:val="20"/>
          <w:lang w:val="es-MX"/>
        </w:rPr>
        <w:t>12% para mujeres.</w:t>
      </w:r>
    </w:p>
    <w:p w14:paraId="192240A9" w14:textId="5D51A1AC" w:rsidR="00004274" w:rsidRDefault="00004274" w:rsidP="00004274">
      <w:pPr>
        <w:spacing w:line="360" w:lineRule="auto"/>
        <w:jc w:val="both"/>
        <w:rPr>
          <w:rFonts w:ascii="Garamond" w:hAnsi="Garamond"/>
          <w:color w:val="000000" w:themeColor="text1"/>
          <w:sz w:val="20"/>
          <w:szCs w:val="20"/>
          <w:lang w:val="es-MX"/>
        </w:rPr>
      </w:pPr>
    </w:p>
    <w:p w14:paraId="1FB429C4" w14:textId="380C7A6F" w:rsidR="00022FC2" w:rsidRDefault="00022FC2" w:rsidP="00004274">
      <w:pPr>
        <w:spacing w:line="360" w:lineRule="auto"/>
        <w:jc w:val="both"/>
        <w:rPr>
          <w:rFonts w:ascii="Garamond" w:hAnsi="Garamond"/>
          <w:color w:val="000000" w:themeColor="text1"/>
          <w:sz w:val="20"/>
          <w:szCs w:val="20"/>
          <w:lang w:val="es-MX"/>
        </w:rPr>
      </w:pPr>
    </w:p>
    <w:p w14:paraId="51C1BA62" w14:textId="6B69FFA1" w:rsidR="00022FC2" w:rsidRDefault="00022FC2" w:rsidP="00004274">
      <w:pPr>
        <w:spacing w:line="360" w:lineRule="auto"/>
        <w:jc w:val="both"/>
        <w:rPr>
          <w:rFonts w:ascii="Garamond" w:hAnsi="Garamond"/>
          <w:color w:val="000000" w:themeColor="text1"/>
          <w:sz w:val="20"/>
          <w:szCs w:val="20"/>
          <w:lang w:val="es-MX"/>
        </w:rPr>
      </w:pPr>
    </w:p>
    <w:p w14:paraId="5C80AAD0" w14:textId="774A09CE" w:rsidR="00022FC2" w:rsidRDefault="00022FC2" w:rsidP="00004274">
      <w:pPr>
        <w:spacing w:line="360" w:lineRule="auto"/>
        <w:jc w:val="both"/>
        <w:rPr>
          <w:rFonts w:ascii="Garamond" w:hAnsi="Garamond"/>
          <w:color w:val="000000" w:themeColor="text1"/>
          <w:sz w:val="20"/>
          <w:szCs w:val="20"/>
          <w:lang w:val="es-MX"/>
        </w:rPr>
      </w:pPr>
    </w:p>
    <w:p w14:paraId="6E671068" w14:textId="6ACCE4F1" w:rsidR="00022FC2" w:rsidRDefault="00022FC2" w:rsidP="00004274">
      <w:pPr>
        <w:spacing w:line="360" w:lineRule="auto"/>
        <w:jc w:val="both"/>
        <w:rPr>
          <w:rFonts w:ascii="Garamond" w:hAnsi="Garamond"/>
          <w:color w:val="000000" w:themeColor="text1"/>
          <w:sz w:val="20"/>
          <w:szCs w:val="20"/>
          <w:lang w:val="es-MX"/>
        </w:rPr>
      </w:pPr>
    </w:p>
    <w:p w14:paraId="5177DECC" w14:textId="04ACE435" w:rsidR="00022FC2" w:rsidRDefault="00022FC2" w:rsidP="00004274">
      <w:pPr>
        <w:spacing w:line="360" w:lineRule="auto"/>
        <w:jc w:val="both"/>
        <w:rPr>
          <w:rFonts w:ascii="Garamond" w:hAnsi="Garamond"/>
          <w:color w:val="000000" w:themeColor="text1"/>
          <w:sz w:val="20"/>
          <w:szCs w:val="20"/>
          <w:lang w:val="es-MX"/>
        </w:rPr>
      </w:pPr>
    </w:p>
    <w:p w14:paraId="77BB89CF" w14:textId="77777777" w:rsidR="00022FC2" w:rsidRPr="00DC105E" w:rsidRDefault="00022FC2" w:rsidP="00004274">
      <w:pPr>
        <w:spacing w:line="360" w:lineRule="auto"/>
        <w:jc w:val="both"/>
        <w:rPr>
          <w:rFonts w:ascii="Garamond" w:hAnsi="Garamond"/>
          <w:color w:val="000000" w:themeColor="text1"/>
          <w:sz w:val="20"/>
          <w:szCs w:val="20"/>
          <w:lang w:val="es-MX"/>
        </w:rPr>
      </w:pPr>
    </w:p>
    <w:p w14:paraId="74F1BE0D" w14:textId="22DA3D8C" w:rsidR="003E692D" w:rsidRPr="00DC105E" w:rsidRDefault="00845C59" w:rsidP="00F05579">
      <w:pPr>
        <w:spacing w:line="360" w:lineRule="auto"/>
        <w:jc w:val="center"/>
        <w:rPr>
          <w:rFonts w:ascii="Garamond" w:hAnsi="Garamond"/>
          <w:b/>
          <w:color w:val="000000" w:themeColor="text1"/>
          <w:sz w:val="20"/>
          <w:szCs w:val="20"/>
        </w:rPr>
      </w:pPr>
      <w:r w:rsidRPr="00DC105E">
        <w:rPr>
          <w:rFonts w:ascii="Garamond" w:hAnsi="Garamond"/>
          <w:b/>
          <w:color w:val="000000" w:themeColor="text1"/>
          <w:sz w:val="20"/>
          <w:szCs w:val="20"/>
          <w:lang w:val="es-MX"/>
        </w:rPr>
        <w:t xml:space="preserve">Gráfico 14:  </w:t>
      </w:r>
      <w:r w:rsidR="003E692D" w:rsidRPr="00DC105E">
        <w:rPr>
          <w:rFonts w:ascii="Garamond" w:hAnsi="Garamond"/>
          <w:b/>
          <w:color w:val="000000" w:themeColor="text1"/>
          <w:sz w:val="20"/>
          <w:szCs w:val="20"/>
        </w:rPr>
        <w:t>Grado de estudios por género dentro de la</w:t>
      </w:r>
      <w:r w:rsidR="00C7118B">
        <w:rPr>
          <w:rFonts w:ascii="Garamond" w:hAnsi="Garamond"/>
          <w:b/>
          <w:color w:val="000000" w:themeColor="text1"/>
          <w:sz w:val="20"/>
          <w:szCs w:val="20"/>
        </w:rPr>
        <w:t>s</w:t>
      </w:r>
      <w:r w:rsidR="003E692D" w:rsidRPr="00DC105E">
        <w:rPr>
          <w:rFonts w:ascii="Garamond" w:hAnsi="Garamond"/>
          <w:b/>
          <w:color w:val="000000" w:themeColor="text1"/>
          <w:sz w:val="20"/>
          <w:szCs w:val="20"/>
        </w:rPr>
        <w:t xml:space="preserve"> </w:t>
      </w:r>
      <w:r w:rsidR="00C7118B">
        <w:rPr>
          <w:rFonts w:ascii="Garamond" w:hAnsi="Garamond"/>
          <w:b/>
          <w:color w:val="000000" w:themeColor="text1"/>
          <w:sz w:val="20"/>
          <w:szCs w:val="20"/>
        </w:rPr>
        <w:t>personas</w:t>
      </w:r>
      <w:r w:rsidR="00C7118B" w:rsidRPr="00DC105E">
        <w:rPr>
          <w:rFonts w:ascii="Garamond" w:hAnsi="Garamond"/>
          <w:b/>
          <w:color w:val="000000" w:themeColor="text1"/>
          <w:sz w:val="20"/>
          <w:szCs w:val="20"/>
        </w:rPr>
        <w:t xml:space="preserve"> </w:t>
      </w:r>
      <w:proofErr w:type="spellStart"/>
      <w:r w:rsidR="003E692D" w:rsidRPr="00DC105E">
        <w:rPr>
          <w:rFonts w:ascii="Garamond" w:hAnsi="Garamond"/>
          <w:b/>
          <w:color w:val="000000" w:themeColor="text1"/>
          <w:sz w:val="20"/>
          <w:szCs w:val="20"/>
        </w:rPr>
        <w:t>Cisgénero</w:t>
      </w:r>
      <w:proofErr w:type="spellEnd"/>
    </w:p>
    <w:p w14:paraId="465EB257" w14:textId="09253F15" w:rsidR="00F83CB7" w:rsidRPr="00DC105E" w:rsidRDefault="003E692D" w:rsidP="008D6FF3">
      <w:pPr>
        <w:spacing w:line="360" w:lineRule="auto"/>
        <w:rPr>
          <w:noProof/>
        </w:rPr>
      </w:pPr>
      <w:r w:rsidRPr="00DC105E">
        <w:rPr>
          <w:noProof/>
          <w:lang w:val="es-CO" w:eastAsia="es-CO"/>
        </w:rPr>
        <w:drawing>
          <wp:inline distT="0" distB="0" distL="0" distR="0" wp14:anchorId="647A24AD" wp14:editId="3825450D">
            <wp:extent cx="2658110" cy="4174067"/>
            <wp:effectExtent l="0" t="0" r="0" b="0"/>
            <wp:docPr id="18" name="Chart 18">
              <a:extLst xmlns:a="http://schemas.openxmlformats.org/drawingml/2006/main">
                <a:ext uri="{FF2B5EF4-FFF2-40B4-BE49-F238E27FC236}">
                  <a16:creationId xmlns:a16="http://schemas.microsoft.com/office/drawing/2014/main" id="{5BEF1F6E-83C7-2E41-8C23-3BB86B42F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2337C5" w14:textId="28E18D9E" w:rsidR="008B7B15" w:rsidRPr="00DC105E" w:rsidRDefault="00D6763E" w:rsidP="005658C4">
      <w:pPr>
        <w:spacing w:line="360" w:lineRule="auto"/>
        <w:jc w:val="both"/>
        <w:rPr>
          <w:rFonts w:ascii="Garamond" w:hAnsi="Garamond"/>
          <w:sz w:val="20"/>
          <w:szCs w:val="20"/>
          <w:lang w:val="es-MX"/>
        </w:rPr>
      </w:pPr>
      <w:r w:rsidRPr="00DC105E">
        <w:rPr>
          <w:rFonts w:ascii="Garamond" w:hAnsi="Garamond"/>
          <w:sz w:val="20"/>
          <w:szCs w:val="20"/>
          <w:lang w:val="es-MX"/>
        </w:rPr>
        <w:t>Por otra parte, cuando se compara el nivel más alto de estudios alcanza</w:t>
      </w:r>
      <w:r w:rsidR="005658C4" w:rsidRPr="00DC105E">
        <w:rPr>
          <w:rFonts w:ascii="Garamond" w:hAnsi="Garamond"/>
          <w:sz w:val="20"/>
          <w:szCs w:val="20"/>
          <w:lang w:val="es-MX"/>
        </w:rPr>
        <w:t xml:space="preserve">do por </w:t>
      </w:r>
      <w:r w:rsidR="00C7118B">
        <w:rPr>
          <w:rFonts w:ascii="Garamond" w:hAnsi="Garamond"/>
          <w:sz w:val="20"/>
          <w:szCs w:val="20"/>
          <w:lang w:val="es-MX"/>
        </w:rPr>
        <w:t>las personas</w:t>
      </w:r>
      <w:r w:rsidR="005658C4" w:rsidRPr="00DC105E">
        <w:rPr>
          <w:rFonts w:ascii="Garamond" w:hAnsi="Garamond"/>
          <w:sz w:val="20"/>
          <w:szCs w:val="20"/>
          <w:lang w:val="es-MX"/>
        </w:rPr>
        <w:t xml:space="preserve"> Cisgénero con el de la</w:t>
      </w:r>
      <w:r w:rsidR="00C7118B">
        <w:rPr>
          <w:rFonts w:ascii="Garamond" w:hAnsi="Garamond"/>
          <w:sz w:val="20"/>
          <w:szCs w:val="20"/>
          <w:lang w:val="es-MX"/>
        </w:rPr>
        <w:t>s personas</w:t>
      </w:r>
      <w:r w:rsidR="005658C4" w:rsidRPr="00DC105E">
        <w:rPr>
          <w:rFonts w:ascii="Garamond" w:hAnsi="Garamond"/>
          <w:sz w:val="20"/>
          <w:szCs w:val="20"/>
          <w:lang w:val="es-MX"/>
        </w:rPr>
        <w:t xml:space="preserve"> trans, es posible identificar</w:t>
      </w:r>
      <w:r w:rsidR="008E4E8B">
        <w:rPr>
          <w:rFonts w:ascii="Garamond" w:hAnsi="Garamond"/>
          <w:sz w:val="20"/>
          <w:szCs w:val="20"/>
          <w:lang w:val="es-MX"/>
        </w:rPr>
        <w:t xml:space="preserve"> </w:t>
      </w:r>
      <w:r w:rsidR="005658C4" w:rsidRPr="00DC105E">
        <w:rPr>
          <w:rFonts w:ascii="Garamond" w:hAnsi="Garamond"/>
          <w:sz w:val="20"/>
          <w:szCs w:val="20"/>
          <w:lang w:val="es-MX"/>
        </w:rPr>
        <w:t>qué en g</w:t>
      </w:r>
      <w:r w:rsidR="00186B5B">
        <w:rPr>
          <w:rFonts w:ascii="Garamond" w:hAnsi="Garamond"/>
          <w:sz w:val="20"/>
          <w:szCs w:val="20"/>
          <w:lang w:val="es-MX"/>
        </w:rPr>
        <w:t>e</w:t>
      </w:r>
      <w:r w:rsidR="005658C4" w:rsidRPr="00DC105E">
        <w:rPr>
          <w:rFonts w:ascii="Garamond" w:hAnsi="Garamond"/>
          <w:sz w:val="20"/>
          <w:szCs w:val="20"/>
          <w:lang w:val="es-MX"/>
        </w:rPr>
        <w:t>neral las personas trans tienen niveles más bajos de educación. Desde nivel universitario incompleto hasta postgrado. La brecha más alta es a nivel de posgrado en donde las personas Cisgénero alcanzan el 12</w:t>
      </w:r>
      <w:r w:rsidR="008E4E8B">
        <w:rPr>
          <w:rFonts w:ascii="Garamond" w:hAnsi="Garamond"/>
          <w:sz w:val="20"/>
          <w:szCs w:val="20"/>
          <w:lang w:val="es-MX"/>
        </w:rPr>
        <w:t>,</w:t>
      </w:r>
      <w:r w:rsidR="005658C4" w:rsidRPr="00DC105E">
        <w:rPr>
          <w:rFonts w:ascii="Garamond" w:hAnsi="Garamond"/>
          <w:sz w:val="20"/>
          <w:szCs w:val="20"/>
          <w:lang w:val="es-MX"/>
        </w:rPr>
        <w:t>9% y las personas trans el 8</w:t>
      </w:r>
      <w:r w:rsidR="008E4E8B">
        <w:rPr>
          <w:rFonts w:ascii="Garamond" w:hAnsi="Garamond"/>
          <w:sz w:val="20"/>
          <w:szCs w:val="20"/>
          <w:lang w:val="es-MX"/>
        </w:rPr>
        <w:t>,</w:t>
      </w:r>
      <w:r w:rsidR="005658C4" w:rsidRPr="00DC105E">
        <w:rPr>
          <w:rFonts w:ascii="Garamond" w:hAnsi="Garamond"/>
          <w:sz w:val="20"/>
          <w:szCs w:val="20"/>
          <w:lang w:val="es-MX"/>
        </w:rPr>
        <w:t>18%.</w:t>
      </w:r>
    </w:p>
    <w:p w14:paraId="01371AB8" w14:textId="3A08B1F4" w:rsidR="00DC105E" w:rsidRPr="00DC105E" w:rsidRDefault="00DC105E" w:rsidP="005658C4">
      <w:pPr>
        <w:spacing w:line="360" w:lineRule="auto"/>
        <w:jc w:val="both"/>
        <w:rPr>
          <w:rFonts w:ascii="Garamond" w:hAnsi="Garamond"/>
          <w:sz w:val="20"/>
          <w:szCs w:val="20"/>
          <w:lang w:val="es-MX"/>
        </w:rPr>
      </w:pPr>
    </w:p>
    <w:p w14:paraId="7A9F9E74" w14:textId="79525EEF" w:rsidR="00DC105E" w:rsidRPr="00DC105E" w:rsidRDefault="00DC105E" w:rsidP="005658C4">
      <w:pPr>
        <w:spacing w:line="360" w:lineRule="auto"/>
        <w:jc w:val="both"/>
        <w:rPr>
          <w:rFonts w:ascii="Garamond" w:hAnsi="Garamond"/>
          <w:sz w:val="20"/>
          <w:szCs w:val="20"/>
          <w:lang w:val="es-MX"/>
        </w:rPr>
      </w:pPr>
    </w:p>
    <w:p w14:paraId="18730CA1" w14:textId="6C7DE174" w:rsidR="00D6763E" w:rsidRDefault="00D6763E" w:rsidP="008D6FF3">
      <w:pPr>
        <w:spacing w:line="360" w:lineRule="auto"/>
        <w:rPr>
          <w:rFonts w:ascii="Garamond" w:hAnsi="Garamond"/>
          <w:b/>
          <w:sz w:val="20"/>
          <w:szCs w:val="20"/>
          <w:lang w:val="es-MX"/>
        </w:rPr>
      </w:pPr>
    </w:p>
    <w:p w14:paraId="343F1E5F" w14:textId="290E7DC3" w:rsidR="00022FC2" w:rsidRDefault="00022FC2" w:rsidP="008D6FF3">
      <w:pPr>
        <w:spacing w:line="360" w:lineRule="auto"/>
        <w:rPr>
          <w:rFonts w:ascii="Garamond" w:hAnsi="Garamond"/>
          <w:b/>
          <w:sz w:val="20"/>
          <w:szCs w:val="20"/>
          <w:lang w:val="es-MX"/>
        </w:rPr>
      </w:pPr>
    </w:p>
    <w:p w14:paraId="2BFB67C0" w14:textId="2838C13F" w:rsidR="00022FC2" w:rsidRDefault="00022FC2" w:rsidP="008D6FF3">
      <w:pPr>
        <w:spacing w:line="360" w:lineRule="auto"/>
        <w:rPr>
          <w:rFonts w:ascii="Garamond" w:hAnsi="Garamond"/>
          <w:b/>
          <w:sz w:val="20"/>
          <w:szCs w:val="20"/>
          <w:lang w:val="es-MX"/>
        </w:rPr>
      </w:pPr>
    </w:p>
    <w:p w14:paraId="245A59A4" w14:textId="37A96EA9" w:rsidR="00022FC2" w:rsidRDefault="00022FC2" w:rsidP="008D6FF3">
      <w:pPr>
        <w:spacing w:line="360" w:lineRule="auto"/>
        <w:rPr>
          <w:rFonts w:ascii="Garamond" w:hAnsi="Garamond"/>
          <w:b/>
          <w:sz w:val="20"/>
          <w:szCs w:val="20"/>
          <w:lang w:val="es-MX"/>
        </w:rPr>
      </w:pPr>
    </w:p>
    <w:p w14:paraId="7A072DF2" w14:textId="77777777" w:rsidR="00022FC2" w:rsidRPr="00DC105E" w:rsidRDefault="00022FC2" w:rsidP="008D6FF3">
      <w:pPr>
        <w:spacing w:line="360" w:lineRule="auto"/>
        <w:rPr>
          <w:rFonts w:ascii="Garamond" w:hAnsi="Garamond"/>
          <w:b/>
          <w:sz w:val="20"/>
          <w:szCs w:val="20"/>
          <w:lang w:val="es-MX"/>
        </w:rPr>
      </w:pPr>
    </w:p>
    <w:p w14:paraId="23BC2832" w14:textId="3225A453" w:rsidR="00D6763E" w:rsidRPr="00A1154E" w:rsidRDefault="00D6763E" w:rsidP="00F05579">
      <w:pPr>
        <w:spacing w:line="360" w:lineRule="auto"/>
        <w:jc w:val="center"/>
        <w:rPr>
          <w:rFonts w:ascii="Garamond" w:hAnsi="Garamond"/>
          <w:b/>
          <w:color w:val="000000" w:themeColor="text1"/>
          <w:sz w:val="20"/>
          <w:szCs w:val="20"/>
        </w:rPr>
      </w:pPr>
      <w:r w:rsidRPr="00DC105E">
        <w:rPr>
          <w:rFonts w:ascii="Garamond" w:hAnsi="Garamond"/>
          <w:b/>
          <w:color w:val="000000" w:themeColor="text1"/>
          <w:sz w:val="20"/>
          <w:szCs w:val="20"/>
          <w:lang w:val="es-MX"/>
        </w:rPr>
        <w:lastRenderedPageBreak/>
        <w:t xml:space="preserve">Gráfico 15:  </w:t>
      </w:r>
      <w:r w:rsidRPr="00DC105E">
        <w:rPr>
          <w:rFonts w:ascii="Garamond" w:hAnsi="Garamond"/>
          <w:b/>
          <w:color w:val="000000" w:themeColor="text1"/>
          <w:sz w:val="20"/>
          <w:szCs w:val="20"/>
        </w:rPr>
        <w:t xml:space="preserve">Grado de estudio </w:t>
      </w:r>
      <w:r w:rsidR="00C7118B">
        <w:rPr>
          <w:rFonts w:ascii="Garamond" w:hAnsi="Garamond"/>
          <w:b/>
          <w:color w:val="000000" w:themeColor="text1"/>
          <w:sz w:val="20"/>
          <w:szCs w:val="20"/>
        </w:rPr>
        <w:t>personas</w:t>
      </w:r>
      <w:r w:rsidR="00C7118B" w:rsidRPr="00DC105E">
        <w:rPr>
          <w:rFonts w:ascii="Garamond" w:hAnsi="Garamond"/>
          <w:b/>
          <w:color w:val="000000" w:themeColor="text1"/>
          <w:sz w:val="20"/>
          <w:szCs w:val="20"/>
        </w:rPr>
        <w:t xml:space="preserve"> </w:t>
      </w:r>
      <w:proofErr w:type="spellStart"/>
      <w:r w:rsidRPr="00DC105E">
        <w:rPr>
          <w:rFonts w:ascii="Garamond" w:hAnsi="Garamond"/>
          <w:b/>
          <w:color w:val="000000" w:themeColor="text1"/>
          <w:sz w:val="20"/>
          <w:szCs w:val="20"/>
        </w:rPr>
        <w:t>Cisgénero</w:t>
      </w:r>
      <w:proofErr w:type="spellEnd"/>
      <w:r w:rsidRPr="00DC105E">
        <w:rPr>
          <w:rFonts w:ascii="Garamond" w:hAnsi="Garamond"/>
          <w:b/>
          <w:color w:val="000000" w:themeColor="text1"/>
          <w:sz w:val="20"/>
          <w:szCs w:val="20"/>
        </w:rPr>
        <w:t xml:space="preserve"> vs </w:t>
      </w:r>
      <w:proofErr w:type="spellStart"/>
      <w:r w:rsidRPr="00DC105E">
        <w:rPr>
          <w:rFonts w:ascii="Garamond" w:hAnsi="Garamond"/>
          <w:b/>
          <w:color w:val="000000" w:themeColor="text1"/>
          <w:sz w:val="20"/>
          <w:szCs w:val="20"/>
        </w:rPr>
        <w:t>Trans</w:t>
      </w:r>
      <w:proofErr w:type="spellEnd"/>
      <w:r w:rsidRPr="00DC105E">
        <w:rPr>
          <w:rFonts w:ascii="Garamond" w:hAnsi="Garamond"/>
          <w:b/>
          <w:color w:val="000000" w:themeColor="text1"/>
          <w:sz w:val="20"/>
          <w:szCs w:val="20"/>
        </w:rPr>
        <w:t xml:space="preserve"> dentro de</w:t>
      </w:r>
      <w:r w:rsidR="00F05579">
        <w:rPr>
          <w:rFonts w:ascii="Garamond" w:hAnsi="Garamond"/>
          <w:b/>
          <w:color w:val="000000" w:themeColor="text1"/>
          <w:sz w:val="20"/>
          <w:szCs w:val="20"/>
        </w:rPr>
        <w:t xml:space="preserve"> los sectores </w:t>
      </w:r>
      <w:r w:rsidRPr="00DC105E">
        <w:rPr>
          <w:rFonts w:ascii="Garamond" w:hAnsi="Garamond"/>
          <w:b/>
          <w:color w:val="000000" w:themeColor="text1"/>
          <w:sz w:val="20"/>
          <w:szCs w:val="20"/>
        </w:rPr>
        <w:t>LGBTI</w:t>
      </w:r>
    </w:p>
    <w:p w14:paraId="07D248DA" w14:textId="799B91D8" w:rsidR="00D6763E" w:rsidRDefault="00D6763E" w:rsidP="008D6FF3">
      <w:pPr>
        <w:spacing w:line="360" w:lineRule="auto"/>
        <w:rPr>
          <w:rFonts w:ascii="Garamond" w:hAnsi="Garamond"/>
          <w:b/>
          <w:sz w:val="20"/>
          <w:szCs w:val="20"/>
          <w:lang w:val="es-MX"/>
        </w:rPr>
      </w:pPr>
      <w:r w:rsidRPr="00DC105E">
        <w:rPr>
          <w:noProof/>
          <w:lang w:val="es-CO" w:eastAsia="es-CO"/>
        </w:rPr>
        <w:drawing>
          <wp:inline distT="0" distB="0" distL="0" distR="0" wp14:anchorId="6036FFD5" wp14:editId="2EBD2504">
            <wp:extent cx="2860964" cy="3154045"/>
            <wp:effectExtent l="0" t="0" r="0" b="0"/>
            <wp:docPr id="20" name="Chart 20">
              <a:extLst xmlns:a="http://schemas.openxmlformats.org/drawingml/2006/main">
                <a:ext uri="{FF2B5EF4-FFF2-40B4-BE49-F238E27FC236}">
                  <a16:creationId xmlns:a16="http://schemas.microsoft.com/office/drawing/2014/main" id="{9791582F-D901-B941-9B78-B33BB7B89E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57665C" w14:textId="77777777" w:rsidR="004820E3" w:rsidRDefault="004820E3">
      <w:pPr>
        <w:rPr>
          <w:rFonts w:asciiTheme="majorHAnsi" w:eastAsiaTheme="majorEastAsia" w:hAnsiTheme="majorHAnsi" w:cstheme="majorBidi"/>
          <w:b/>
          <w:color w:val="2F5496" w:themeColor="accent1" w:themeShade="BF"/>
          <w:sz w:val="26"/>
          <w:szCs w:val="26"/>
        </w:rPr>
      </w:pPr>
      <w:r>
        <w:rPr>
          <w:b/>
        </w:rPr>
        <w:br w:type="page"/>
      </w:r>
    </w:p>
    <w:p w14:paraId="38771C14" w14:textId="6DAA5A4E" w:rsidR="006B5D97" w:rsidRDefault="006B5D97" w:rsidP="009B0307">
      <w:pPr>
        <w:pStyle w:val="Ttulo2"/>
      </w:pPr>
      <w:r>
        <w:lastRenderedPageBreak/>
        <w:t>Conclusiones</w:t>
      </w:r>
    </w:p>
    <w:p w14:paraId="0426C1EA" w14:textId="5DE9ED65" w:rsidR="006B5D97" w:rsidRDefault="006B5D97" w:rsidP="006B5D97"/>
    <w:p w14:paraId="3930D0B0" w14:textId="69561833"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Existe un fenó</w:t>
      </w:r>
      <w:r>
        <w:rPr>
          <w:rFonts w:ascii="Garamond" w:hAnsi="Garamond"/>
          <w:color w:val="000000" w:themeColor="text1"/>
          <w:sz w:val="20"/>
          <w:szCs w:val="20"/>
          <w:lang w:val="es-MX"/>
        </w:rPr>
        <w:t>men</w:t>
      </w:r>
      <w:r w:rsidRPr="006B5D97">
        <w:rPr>
          <w:rFonts w:ascii="Garamond" w:hAnsi="Garamond"/>
          <w:color w:val="000000" w:themeColor="text1"/>
          <w:sz w:val="20"/>
          <w:szCs w:val="20"/>
          <w:lang w:val="es-MX"/>
        </w:rPr>
        <w:t xml:space="preserve">o de sub registro dentro de los datos oficiales </w:t>
      </w:r>
      <w:r w:rsidR="00D55FD3">
        <w:rPr>
          <w:rFonts w:ascii="Garamond" w:hAnsi="Garamond"/>
          <w:color w:val="000000" w:themeColor="text1"/>
          <w:sz w:val="20"/>
          <w:szCs w:val="20"/>
          <w:lang w:val="es-MX"/>
        </w:rPr>
        <w:t>de</w:t>
      </w:r>
      <w:r w:rsidR="004E450C">
        <w:rPr>
          <w:rFonts w:ascii="Garamond" w:hAnsi="Garamond"/>
          <w:color w:val="000000" w:themeColor="text1"/>
          <w:sz w:val="20"/>
          <w:szCs w:val="20"/>
          <w:lang w:val="es-MX"/>
        </w:rPr>
        <w:t xml:space="preserve"> la EM 2017 </w:t>
      </w:r>
      <w:r w:rsidRPr="006B5D97">
        <w:rPr>
          <w:rFonts w:ascii="Garamond" w:hAnsi="Garamond"/>
          <w:color w:val="000000" w:themeColor="text1"/>
          <w:sz w:val="20"/>
          <w:szCs w:val="20"/>
          <w:lang w:val="es-MX"/>
        </w:rPr>
        <w:t xml:space="preserve">en relación con </w:t>
      </w:r>
      <w:r w:rsidR="00F05579">
        <w:rPr>
          <w:rFonts w:ascii="Garamond" w:hAnsi="Garamond"/>
          <w:color w:val="000000" w:themeColor="text1"/>
          <w:sz w:val="20"/>
          <w:szCs w:val="20"/>
          <w:lang w:val="es-MX"/>
        </w:rPr>
        <w:t>los sectores</w:t>
      </w:r>
      <w:r w:rsidRPr="006B5D97">
        <w:rPr>
          <w:rFonts w:ascii="Garamond" w:hAnsi="Garamond"/>
          <w:color w:val="000000" w:themeColor="text1"/>
          <w:sz w:val="20"/>
          <w:szCs w:val="20"/>
          <w:lang w:val="es-MX"/>
        </w:rPr>
        <w:t xml:space="preserve"> LGBTI</w:t>
      </w:r>
      <w:r w:rsidR="004E450C">
        <w:rPr>
          <w:rFonts w:ascii="Garamond" w:hAnsi="Garamond"/>
          <w:color w:val="000000" w:themeColor="text1"/>
          <w:sz w:val="20"/>
          <w:szCs w:val="20"/>
          <w:lang w:val="es-MX"/>
        </w:rPr>
        <w:t>,</w:t>
      </w:r>
      <w:r w:rsidRPr="006B5D97">
        <w:rPr>
          <w:rFonts w:ascii="Garamond" w:hAnsi="Garamond"/>
          <w:color w:val="000000" w:themeColor="text1"/>
          <w:sz w:val="20"/>
          <w:szCs w:val="20"/>
          <w:lang w:val="es-MX"/>
        </w:rPr>
        <w:t xml:space="preserve"> </w:t>
      </w:r>
      <w:r w:rsidR="004E450C">
        <w:rPr>
          <w:rFonts w:ascii="Garamond" w:hAnsi="Garamond"/>
          <w:color w:val="000000" w:themeColor="text1"/>
          <w:sz w:val="20"/>
          <w:szCs w:val="20"/>
          <w:lang w:val="es-MX"/>
        </w:rPr>
        <w:t xml:space="preserve">aspecto que ha sido identificado de manera reiterada debido a que la información </w:t>
      </w:r>
      <w:r w:rsidR="00D55FD3">
        <w:rPr>
          <w:rFonts w:ascii="Garamond" w:hAnsi="Garamond"/>
          <w:color w:val="000000" w:themeColor="text1"/>
          <w:sz w:val="20"/>
          <w:szCs w:val="20"/>
          <w:lang w:val="es-MX"/>
        </w:rPr>
        <w:t>resulta</w:t>
      </w:r>
      <w:r w:rsidR="004E450C">
        <w:rPr>
          <w:rFonts w:ascii="Garamond" w:hAnsi="Garamond"/>
          <w:color w:val="000000" w:themeColor="text1"/>
          <w:sz w:val="20"/>
          <w:szCs w:val="20"/>
          <w:lang w:val="es-MX"/>
        </w:rPr>
        <w:t xml:space="preserve"> </w:t>
      </w:r>
      <w:r w:rsidR="00D55FD3">
        <w:rPr>
          <w:rFonts w:ascii="Garamond" w:hAnsi="Garamond"/>
          <w:color w:val="000000" w:themeColor="text1"/>
          <w:sz w:val="20"/>
          <w:szCs w:val="20"/>
          <w:lang w:val="es-MX"/>
        </w:rPr>
        <w:t>de</w:t>
      </w:r>
      <w:r w:rsidR="004E450C">
        <w:rPr>
          <w:rFonts w:ascii="Garamond" w:hAnsi="Garamond"/>
          <w:color w:val="000000" w:themeColor="text1"/>
          <w:sz w:val="20"/>
          <w:szCs w:val="20"/>
          <w:lang w:val="es-MX"/>
        </w:rPr>
        <w:t xml:space="preserve">l auto reconocimiento </w:t>
      </w:r>
      <w:r w:rsidR="00D55FD3">
        <w:rPr>
          <w:rFonts w:ascii="Garamond" w:hAnsi="Garamond"/>
          <w:color w:val="000000" w:themeColor="text1"/>
          <w:sz w:val="20"/>
          <w:szCs w:val="20"/>
          <w:lang w:val="es-MX"/>
        </w:rPr>
        <w:t xml:space="preserve">de las personas de los hogares encuestados, información </w:t>
      </w:r>
      <w:r w:rsidR="004E450C">
        <w:rPr>
          <w:rFonts w:ascii="Garamond" w:hAnsi="Garamond"/>
          <w:color w:val="000000" w:themeColor="text1"/>
          <w:sz w:val="20"/>
          <w:szCs w:val="20"/>
          <w:lang w:val="es-MX"/>
        </w:rPr>
        <w:t>que no siempre es abiertamente expresad</w:t>
      </w:r>
      <w:r w:rsidR="00D55FD3">
        <w:rPr>
          <w:rFonts w:ascii="Garamond" w:hAnsi="Garamond"/>
          <w:color w:val="000000" w:themeColor="text1"/>
          <w:sz w:val="20"/>
          <w:szCs w:val="20"/>
          <w:lang w:val="es-MX"/>
        </w:rPr>
        <w:t>a.</w:t>
      </w:r>
      <w:r w:rsidR="004E450C">
        <w:rPr>
          <w:rFonts w:ascii="Garamond" w:hAnsi="Garamond"/>
          <w:color w:val="000000" w:themeColor="text1"/>
          <w:sz w:val="20"/>
          <w:szCs w:val="20"/>
          <w:lang w:val="es-MX"/>
        </w:rPr>
        <w:t xml:space="preserve"> </w:t>
      </w:r>
      <w:r w:rsidR="00D55FD3">
        <w:rPr>
          <w:rFonts w:ascii="Garamond" w:hAnsi="Garamond"/>
          <w:color w:val="000000" w:themeColor="text1"/>
          <w:sz w:val="20"/>
          <w:szCs w:val="20"/>
          <w:lang w:val="es-MX"/>
        </w:rPr>
        <w:t>P</w:t>
      </w:r>
      <w:r w:rsidR="004E450C">
        <w:rPr>
          <w:rFonts w:ascii="Garamond" w:hAnsi="Garamond"/>
          <w:color w:val="000000" w:themeColor="text1"/>
          <w:sz w:val="20"/>
          <w:szCs w:val="20"/>
          <w:lang w:val="es-MX"/>
        </w:rPr>
        <w:t>or ello, la importancia de complementar esta información con investigaciones más profundas</w:t>
      </w:r>
      <w:r w:rsidRPr="006B5D97">
        <w:rPr>
          <w:rFonts w:ascii="Garamond" w:hAnsi="Garamond"/>
          <w:color w:val="000000" w:themeColor="text1"/>
          <w:sz w:val="20"/>
          <w:szCs w:val="20"/>
          <w:lang w:val="es-MX"/>
        </w:rPr>
        <w:t xml:space="preserve">. </w:t>
      </w:r>
    </w:p>
    <w:p w14:paraId="20C2B9E5" w14:textId="77777777" w:rsidR="006B5D97" w:rsidRPr="006B5D97" w:rsidRDefault="006B5D97" w:rsidP="006B5D97">
      <w:pPr>
        <w:spacing w:line="360" w:lineRule="auto"/>
        <w:jc w:val="both"/>
        <w:rPr>
          <w:rFonts w:ascii="Garamond" w:hAnsi="Garamond"/>
          <w:color w:val="000000" w:themeColor="text1"/>
          <w:sz w:val="20"/>
          <w:szCs w:val="20"/>
          <w:lang w:val="es-MX"/>
        </w:rPr>
      </w:pPr>
    </w:p>
    <w:p w14:paraId="69624461" w14:textId="22A805E7"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 xml:space="preserve">Del total de hogares a los que pertenecen </w:t>
      </w:r>
      <w:r w:rsidR="00505137">
        <w:rPr>
          <w:rFonts w:ascii="Garamond" w:hAnsi="Garamond"/>
          <w:color w:val="000000" w:themeColor="text1"/>
          <w:sz w:val="20"/>
          <w:szCs w:val="20"/>
          <w:lang w:val="es-MX"/>
        </w:rPr>
        <w:t>personas</w:t>
      </w:r>
      <w:r w:rsidRPr="006B5D97">
        <w:rPr>
          <w:rFonts w:ascii="Garamond" w:hAnsi="Garamond"/>
          <w:color w:val="000000" w:themeColor="text1"/>
          <w:sz w:val="20"/>
          <w:szCs w:val="20"/>
          <w:lang w:val="es-MX"/>
        </w:rPr>
        <w:t xml:space="preserve"> reconocid</w:t>
      </w:r>
      <w:r w:rsidR="00FB2C1B">
        <w:rPr>
          <w:rFonts w:ascii="Garamond" w:hAnsi="Garamond"/>
          <w:color w:val="000000" w:themeColor="text1"/>
          <w:sz w:val="20"/>
          <w:szCs w:val="20"/>
          <w:lang w:val="es-MX"/>
        </w:rPr>
        <w:t>o</w:t>
      </w:r>
      <w:r w:rsidR="00A1154E">
        <w:rPr>
          <w:rFonts w:ascii="Garamond" w:hAnsi="Garamond"/>
          <w:color w:val="000000" w:themeColor="text1"/>
          <w:sz w:val="20"/>
          <w:szCs w:val="20"/>
          <w:lang w:val="es-MX"/>
        </w:rPr>
        <w:t xml:space="preserve">s </w:t>
      </w:r>
      <w:r w:rsidR="00115441">
        <w:rPr>
          <w:rFonts w:ascii="Garamond" w:hAnsi="Garamond"/>
          <w:color w:val="000000" w:themeColor="text1"/>
          <w:sz w:val="20"/>
          <w:szCs w:val="20"/>
          <w:lang w:val="es-MX"/>
        </w:rPr>
        <w:t>de los sectores LGBTI</w:t>
      </w:r>
      <w:r w:rsidR="00A1154E">
        <w:rPr>
          <w:rFonts w:ascii="Garamond" w:hAnsi="Garamond"/>
          <w:color w:val="000000" w:themeColor="text1"/>
          <w:sz w:val="20"/>
          <w:szCs w:val="20"/>
          <w:lang w:val="es-MX"/>
        </w:rPr>
        <w:t>, el 27,</w:t>
      </w:r>
      <w:r w:rsidRPr="006B5D97">
        <w:rPr>
          <w:rFonts w:ascii="Garamond" w:hAnsi="Garamond"/>
          <w:color w:val="000000" w:themeColor="text1"/>
          <w:sz w:val="20"/>
          <w:szCs w:val="20"/>
          <w:lang w:val="es-MX"/>
        </w:rPr>
        <w:t>94% son hogares no familiares, el 22,18% s</w:t>
      </w:r>
      <w:r w:rsidR="00A1154E">
        <w:rPr>
          <w:rFonts w:ascii="Garamond" w:hAnsi="Garamond"/>
          <w:color w:val="000000" w:themeColor="text1"/>
          <w:sz w:val="20"/>
          <w:szCs w:val="20"/>
          <w:lang w:val="es-MX"/>
        </w:rPr>
        <w:t>on hogares unipersonales</w:t>
      </w:r>
      <w:r w:rsidR="007A022A">
        <w:rPr>
          <w:rFonts w:ascii="Garamond" w:hAnsi="Garamond"/>
          <w:color w:val="000000" w:themeColor="text1"/>
          <w:sz w:val="20"/>
          <w:szCs w:val="20"/>
          <w:lang w:val="es-MX"/>
        </w:rPr>
        <w:t xml:space="preserve"> (Los cuales también son no familiares)</w:t>
      </w:r>
      <w:r w:rsidR="00A1154E">
        <w:rPr>
          <w:rFonts w:ascii="Garamond" w:hAnsi="Garamond"/>
          <w:color w:val="000000" w:themeColor="text1"/>
          <w:sz w:val="20"/>
          <w:szCs w:val="20"/>
          <w:lang w:val="es-MX"/>
        </w:rPr>
        <w:t xml:space="preserve"> y el 5,</w:t>
      </w:r>
      <w:r w:rsidRPr="006B5D97">
        <w:rPr>
          <w:rFonts w:ascii="Garamond" w:hAnsi="Garamond"/>
          <w:color w:val="000000" w:themeColor="text1"/>
          <w:sz w:val="20"/>
          <w:szCs w:val="20"/>
          <w:lang w:val="es-MX"/>
        </w:rPr>
        <w:t xml:space="preserve">74% son no familiares sin núcleo. </w:t>
      </w:r>
    </w:p>
    <w:p w14:paraId="79E6344C" w14:textId="77777777" w:rsidR="006B5D97" w:rsidRPr="006B5D97" w:rsidRDefault="006B5D97" w:rsidP="006B5D97">
      <w:pPr>
        <w:spacing w:line="360" w:lineRule="auto"/>
        <w:jc w:val="both"/>
        <w:rPr>
          <w:rFonts w:ascii="Garamond" w:hAnsi="Garamond"/>
          <w:color w:val="000000" w:themeColor="text1"/>
          <w:sz w:val="20"/>
          <w:szCs w:val="20"/>
          <w:lang w:val="es-MX"/>
        </w:rPr>
      </w:pPr>
    </w:p>
    <w:p w14:paraId="05B7C0F1" w14:textId="17444214" w:rsidR="006B5D97" w:rsidRDefault="00A1154E" w:rsidP="006B5D97">
      <w:pPr>
        <w:spacing w:line="360" w:lineRule="auto"/>
        <w:jc w:val="both"/>
        <w:rPr>
          <w:rFonts w:ascii="Garamond" w:hAnsi="Garamond"/>
          <w:color w:val="000000" w:themeColor="text1"/>
          <w:sz w:val="20"/>
          <w:szCs w:val="20"/>
          <w:lang w:val="es-MX"/>
        </w:rPr>
      </w:pPr>
      <w:r>
        <w:rPr>
          <w:rFonts w:ascii="Garamond" w:hAnsi="Garamond"/>
          <w:color w:val="000000" w:themeColor="text1"/>
          <w:sz w:val="20"/>
          <w:szCs w:val="20"/>
          <w:lang w:val="es-MX"/>
        </w:rPr>
        <w:t>El 79,</w:t>
      </w:r>
      <w:r w:rsidR="006B5D97" w:rsidRPr="006B5D97">
        <w:rPr>
          <w:rFonts w:ascii="Garamond" w:hAnsi="Garamond"/>
          <w:color w:val="000000" w:themeColor="text1"/>
          <w:sz w:val="20"/>
          <w:szCs w:val="20"/>
          <w:lang w:val="es-MX"/>
        </w:rPr>
        <w:t xml:space="preserve">84% de los hogares a los que pertenecen </w:t>
      </w:r>
      <w:r w:rsidR="00505137">
        <w:rPr>
          <w:rFonts w:ascii="Garamond" w:hAnsi="Garamond"/>
          <w:color w:val="000000" w:themeColor="text1"/>
          <w:sz w:val="20"/>
          <w:szCs w:val="20"/>
          <w:lang w:val="es-MX"/>
        </w:rPr>
        <w:t>personas</w:t>
      </w:r>
      <w:r w:rsidR="006B5D97" w:rsidRPr="006B5D97">
        <w:rPr>
          <w:rFonts w:ascii="Garamond" w:hAnsi="Garamond"/>
          <w:color w:val="000000" w:themeColor="text1"/>
          <w:sz w:val="20"/>
          <w:szCs w:val="20"/>
          <w:lang w:val="es-MX"/>
        </w:rPr>
        <w:t xml:space="preserve"> reconocidos </w:t>
      </w:r>
      <w:r w:rsidR="00115441">
        <w:rPr>
          <w:rFonts w:ascii="Garamond" w:hAnsi="Garamond"/>
          <w:color w:val="000000" w:themeColor="text1"/>
          <w:sz w:val="20"/>
          <w:szCs w:val="20"/>
          <w:lang w:val="es-MX"/>
        </w:rPr>
        <w:t>de los sectores LGBTI</w:t>
      </w:r>
      <w:r w:rsidR="006B5D97" w:rsidRPr="006B5D97">
        <w:rPr>
          <w:rFonts w:ascii="Garamond" w:hAnsi="Garamond"/>
          <w:color w:val="000000" w:themeColor="text1"/>
          <w:sz w:val="20"/>
          <w:szCs w:val="20"/>
          <w:lang w:val="es-MX"/>
        </w:rPr>
        <w:t xml:space="preserve"> se distribuyen en el estrato 2, 3 y 4. </w:t>
      </w:r>
      <w:r w:rsidR="004B2143" w:rsidRPr="004B2143">
        <w:rPr>
          <w:rFonts w:ascii="Garamond" w:hAnsi="Garamond"/>
          <w:color w:val="000000" w:themeColor="text1"/>
          <w:sz w:val="20"/>
          <w:szCs w:val="20"/>
          <w:lang w:val="es-MX"/>
        </w:rPr>
        <w:t>Dentro del porcentaje restante que es 20,16%, se destaca: 12,59% corresponde al estrato 1, 5,56% al estrato 5 y 1,99% al estrato 6.</w:t>
      </w:r>
    </w:p>
    <w:p w14:paraId="30A7C3AC" w14:textId="77777777" w:rsidR="004B2143" w:rsidRPr="006B5D97" w:rsidRDefault="004B2143" w:rsidP="006B5D97">
      <w:pPr>
        <w:spacing w:line="360" w:lineRule="auto"/>
        <w:jc w:val="both"/>
        <w:rPr>
          <w:rFonts w:ascii="Garamond" w:hAnsi="Garamond"/>
          <w:color w:val="000000" w:themeColor="text1"/>
          <w:sz w:val="20"/>
          <w:szCs w:val="20"/>
          <w:lang w:val="es-MX"/>
        </w:rPr>
      </w:pPr>
    </w:p>
    <w:p w14:paraId="75717E11" w14:textId="44DDD06E"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 xml:space="preserve">El 73% de las personas que se reconocen dentro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son jefes de hogar o parejas de los jefes de hogar.  Las posiciones dentro de los hogares que son menos recurrentes son padre/madre y nieto, cada uno con el 1% de la población.</w:t>
      </w:r>
    </w:p>
    <w:p w14:paraId="1DFE4BF0" w14:textId="77777777" w:rsidR="006B5D97" w:rsidRPr="006B5D97" w:rsidRDefault="006B5D97" w:rsidP="006B5D97">
      <w:pPr>
        <w:spacing w:line="360" w:lineRule="auto"/>
        <w:jc w:val="both"/>
        <w:rPr>
          <w:rFonts w:ascii="Garamond" w:hAnsi="Garamond"/>
          <w:color w:val="000000" w:themeColor="text1"/>
          <w:sz w:val="20"/>
          <w:szCs w:val="20"/>
          <w:lang w:val="es-MX"/>
        </w:rPr>
      </w:pPr>
    </w:p>
    <w:p w14:paraId="3FB3F01B" w14:textId="5DC40114"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 xml:space="preserve">Existe una brecha amplia entre la tipología </w:t>
      </w:r>
      <w:r w:rsidR="007A022A">
        <w:rPr>
          <w:rFonts w:ascii="Garamond" w:hAnsi="Garamond"/>
          <w:color w:val="000000" w:themeColor="text1"/>
          <w:sz w:val="20"/>
          <w:szCs w:val="20"/>
          <w:lang w:val="es-MX"/>
        </w:rPr>
        <w:t>de hogares</w:t>
      </w:r>
      <w:r w:rsidRPr="006B5D97">
        <w:rPr>
          <w:rFonts w:ascii="Garamond" w:hAnsi="Garamond"/>
          <w:color w:val="000000" w:themeColor="text1"/>
          <w:sz w:val="20"/>
          <w:szCs w:val="20"/>
          <w:lang w:val="es-MX"/>
        </w:rPr>
        <w:t xml:space="preserve"> que más ingresos percibe, unipersonal y la que menos ingresos recibe, familiar extensa. Tal brecha es de aproximadamente un millón ochocientos mil pesos. </w:t>
      </w:r>
    </w:p>
    <w:p w14:paraId="750F254E" w14:textId="77777777" w:rsidR="006B5D97" w:rsidRPr="006B5D97" w:rsidRDefault="006B5D97" w:rsidP="006B5D97">
      <w:pPr>
        <w:spacing w:line="360" w:lineRule="auto"/>
        <w:jc w:val="both"/>
        <w:rPr>
          <w:rFonts w:ascii="Garamond" w:hAnsi="Garamond"/>
          <w:color w:val="000000" w:themeColor="text1"/>
          <w:sz w:val="20"/>
          <w:szCs w:val="20"/>
          <w:lang w:val="es-MX"/>
        </w:rPr>
      </w:pPr>
    </w:p>
    <w:p w14:paraId="611717F2" w14:textId="4FE21638" w:rsid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Si bien, los niveles de afiliación a seguridad social dentro de</w:t>
      </w:r>
      <w:r w:rsidR="00C7118B">
        <w:rPr>
          <w:rFonts w:ascii="Garamond" w:hAnsi="Garamond"/>
          <w:color w:val="000000" w:themeColor="text1"/>
          <w:sz w:val="20"/>
          <w:szCs w:val="20"/>
          <w:lang w:val="es-MX"/>
        </w:rPr>
        <w:t xml:space="preserve"> personas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es del 91%, al interior se hallaron diferencias significativas. En este </w:t>
      </w:r>
      <w:r w:rsidRPr="006B5D97">
        <w:rPr>
          <w:rFonts w:ascii="Garamond" w:hAnsi="Garamond"/>
          <w:color w:val="000000" w:themeColor="text1"/>
          <w:sz w:val="20"/>
          <w:szCs w:val="20"/>
          <w:lang w:val="es-MX"/>
        </w:rPr>
        <w:t>sentido, mientras las personas Cisgénero reportan una afiliación del 91</w:t>
      </w:r>
      <w:r w:rsidR="002D0E89">
        <w:rPr>
          <w:rFonts w:ascii="Garamond" w:hAnsi="Garamond"/>
          <w:color w:val="000000" w:themeColor="text1"/>
          <w:sz w:val="20"/>
          <w:szCs w:val="20"/>
          <w:lang w:val="es-MX"/>
        </w:rPr>
        <w:t>,</w:t>
      </w:r>
      <w:r w:rsidRPr="006B5D97">
        <w:rPr>
          <w:rFonts w:ascii="Garamond" w:hAnsi="Garamond"/>
          <w:color w:val="000000" w:themeColor="text1"/>
          <w:sz w:val="20"/>
          <w:szCs w:val="20"/>
          <w:lang w:val="es-MX"/>
        </w:rPr>
        <w:t>82%, únicamente el 79</w:t>
      </w:r>
      <w:r w:rsidR="002D0E89">
        <w:rPr>
          <w:rFonts w:ascii="Garamond" w:hAnsi="Garamond"/>
          <w:color w:val="000000" w:themeColor="text1"/>
          <w:sz w:val="20"/>
          <w:szCs w:val="20"/>
          <w:lang w:val="es-MX"/>
        </w:rPr>
        <w:t>,</w:t>
      </w:r>
      <w:r w:rsidRPr="006B5D97">
        <w:rPr>
          <w:rFonts w:ascii="Garamond" w:hAnsi="Garamond"/>
          <w:color w:val="000000" w:themeColor="text1"/>
          <w:sz w:val="20"/>
          <w:szCs w:val="20"/>
          <w:lang w:val="es-MX"/>
        </w:rPr>
        <w:t>15% de las personas Trans están afiliadas al sistema de Salud. Esto quiere decir que existe una brecha de aproximadamente 12</w:t>
      </w:r>
      <w:r w:rsidR="00891379">
        <w:rPr>
          <w:rFonts w:ascii="Garamond" w:hAnsi="Garamond"/>
          <w:color w:val="000000" w:themeColor="text1"/>
          <w:sz w:val="20"/>
          <w:szCs w:val="20"/>
          <w:lang w:val="es-MX"/>
        </w:rPr>
        <w:t xml:space="preserve"> puntos porcentuales</w:t>
      </w:r>
      <w:r w:rsidRPr="006B5D97">
        <w:rPr>
          <w:rFonts w:ascii="Garamond" w:hAnsi="Garamond"/>
          <w:color w:val="000000" w:themeColor="text1"/>
          <w:sz w:val="20"/>
          <w:szCs w:val="20"/>
          <w:lang w:val="es-MX"/>
        </w:rPr>
        <w:t xml:space="preserve">. Estos resultados llaman la atención sobre las condiciones diferenciales y vulnerabilidades particulares de </w:t>
      </w:r>
      <w:r w:rsidR="00505137">
        <w:rPr>
          <w:rFonts w:ascii="Garamond" w:hAnsi="Garamond"/>
          <w:color w:val="000000" w:themeColor="text1"/>
          <w:sz w:val="20"/>
          <w:szCs w:val="20"/>
          <w:lang w:val="es-MX"/>
        </w:rPr>
        <w:t>personas</w:t>
      </w:r>
      <w:r w:rsidRPr="006B5D97">
        <w:rPr>
          <w:rFonts w:ascii="Garamond" w:hAnsi="Garamond"/>
          <w:color w:val="000000" w:themeColor="text1"/>
          <w:sz w:val="20"/>
          <w:szCs w:val="20"/>
          <w:lang w:val="es-MX"/>
        </w:rPr>
        <w:t xml:space="preserve">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En el mismo sentido, se debe mencionar que el porcentaje de afiliación a seguridad social no garantiza el goce efectivo del derecho a la salud. De acuerdo con la Mesa Intersectorial de Diversidad Sexual de Bogotá el 45% de las personas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en Bogotá han sido discriminadas en el sistema de Salud en razón de su orientación s</w:t>
      </w:r>
      <w:r>
        <w:rPr>
          <w:rFonts w:ascii="Garamond" w:hAnsi="Garamond"/>
          <w:color w:val="000000" w:themeColor="text1"/>
          <w:sz w:val="20"/>
          <w:szCs w:val="20"/>
          <w:lang w:val="es-MX"/>
        </w:rPr>
        <w:t>e</w:t>
      </w:r>
      <w:r w:rsidRPr="006B5D97">
        <w:rPr>
          <w:rFonts w:ascii="Garamond" w:hAnsi="Garamond"/>
          <w:color w:val="000000" w:themeColor="text1"/>
          <w:sz w:val="20"/>
          <w:szCs w:val="20"/>
          <w:lang w:val="es-MX"/>
        </w:rPr>
        <w:t>xual o identidad de género, siendo la</w:t>
      </w:r>
      <w:r w:rsidR="00C7118B">
        <w:rPr>
          <w:rFonts w:ascii="Garamond" w:hAnsi="Garamond"/>
          <w:color w:val="000000" w:themeColor="text1"/>
          <w:sz w:val="20"/>
          <w:szCs w:val="20"/>
          <w:lang w:val="es-MX"/>
        </w:rPr>
        <w:t>s personas</w:t>
      </w:r>
      <w:r w:rsidRPr="006B5D97">
        <w:rPr>
          <w:rFonts w:ascii="Garamond" w:hAnsi="Garamond"/>
          <w:color w:val="000000" w:themeColor="text1"/>
          <w:sz w:val="20"/>
          <w:szCs w:val="20"/>
          <w:lang w:val="es-MX"/>
        </w:rPr>
        <w:t xml:space="preserve"> Trans las más afectadas.</w:t>
      </w:r>
      <w:r>
        <w:rPr>
          <w:rFonts w:ascii="Garamond" w:hAnsi="Garamond"/>
          <w:color w:val="000000" w:themeColor="text1"/>
          <w:sz w:val="20"/>
          <w:szCs w:val="20"/>
          <w:lang w:val="es-MX"/>
        </w:rPr>
        <w:t xml:space="preserve"> </w:t>
      </w:r>
    </w:p>
    <w:p w14:paraId="4DFE8D6F" w14:textId="77777777" w:rsidR="006B5D97" w:rsidRDefault="006B5D97" w:rsidP="006B5D97">
      <w:pPr>
        <w:spacing w:line="360" w:lineRule="auto"/>
        <w:jc w:val="both"/>
        <w:rPr>
          <w:rFonts w:ascii="Garamond" w:hAnsi="Garamond"/>
          <w:color w:val="000000" w:themeColor="text1"/>
          <w:sz w:val="20"/>
          <w:szCs w:val="20"/>
          <w:lang w:val="es-MX"/>
        </w:rPr>
      </w:pPr>
    </w:p>
    <w:p w14:paraId="3984B218" w14:textId="283B870D"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 xml:space="preserve">En términos generales, los datos muestran que los </w:t>
      </w:r>
      <w:r w:rsidR="00505137">
        <w:rPr>
          <w:rFonts w:ascii="Garamond" w:hAnsi="Garamond"/>
          <w:color w:val="000000" w:themeColor="text1"/>
          <w:sz w:val="20"/>
          <w:szCs w:val="20"/>
          <w:lang w:val="es-MX"/>
        </w:rPr>
        <w:t>personas</w:t>
      </w:r>
      <w:r w:rsidRPr="006B5D97">
        <w:rPr>
          <w:rFonts w:ascii="Garamond" w:hAnsi="Garamond"/>
          <w:color w:val="000000" w:themeColor="text1"/>
          <w:sz w:val="20"/>
          <w:szCs w:val="20"/>
          <w:lang w:val="es-MX"/>
        </w:rPr>
        <w:t xml:space="preserve"> reconocid</w:t>
      </w:r>
      <w:r w:rsidR="00891379">
        <w:rPr>
          <w:rFonts w:ascii="Garamond" w:hAnsi="Garamond"/>
          <w:color w:val="000000" w:themeColor="text1"/>
          <w:sz w:val="20"/>
          <w:szCs w:val="20"/>
          <w:lang w:val="es-MX"/>
        </w:rPr>
        <w:t>a</w:t>
      </w:r>
      <w:r w:rsidRPr="006B5D97">
        <w:rPr>
          <w:rFonts w:ascii="Garamond" w:hAnsi="Garamond"/>
          <w:color w:val="000000" w:themeColor="text1"/>
          <w:sz w:val="20"/>
          <w:szCs w:val="20"/>
          <w:lang w:val="es-MX"/>
        </w:rPr>
        <w:t>s d</w:t>
      </w:r>
      <w:r w:rsidR="00891379">
        <w:rPr>
          <w:rFonts w:ascii="Garamond" w:hAnsi="Garamond"/>
          <w:color w:val="000000" w:themeColor="text1"/>
          <w:sz w:val="20"/>
          <w:szCs w:val="20"/>
          <w:lang w:val="es-MX"/>
        </w:rPr>
        <w:t xml:space="preserve">e </w:t>
      </w:r>
      <w:r w:rsidR="00C7118B">
        <w:rPr>
          <w:rFonts w:ascii="Garamond" w:hAnsi="Garamond"/>
          <w:color w:val="000000" w:themeColor="text1"/>
          <w:sz w:val="20"/>
          <w:szCs w:val="20"/>
          <w:lang w:val="es-MX"/>
        </w:rPr>
        <w:t>l</w:t>
      </w:r>
      <w:r w:rsidR="00891379">
        <w:rPr>
          <w:rFonts w:ascii="Garamond" w:hAnsi="Garamond"/>
          <w:color w:val="000000" w:themeColor="text1"/>
          <w:sz w:val="20"/>
          <w:szCs w:val="20"/>
          <w:lang w:val="es-MX"/>
        </w:rPr>
        <w:t>os</w:t>
      </w:r>
      <w:r w:rsidR="00C7118B">
        <w:rPr>
          <w:rFonts w:ascii="Garamond" w:hAnsi="Garamond"/>
          <w:color w:val="000000" w:themeColor="text1"/>
          <w:sz w:val="20"/>
          <w:szCs w:val="20"/>
          <w:lang w:val="es-MX"/>
        </w:rPr>
        <w:t xml:space="preserve"> sector</w:t>
      </w:r>
      <w:r w:rsidR="00891379">
        <w:rPr>
          <w:rFonts w:ascii="Garamond" w:hAnsi="Garamond"/>
          <w:color w:val="000000" w:themeColor="text1"/>
          <w:sz w:val="20"/>
          <w:szCs w:val="20"/>
          <w:lang w:val="es-MX"/>
        </w:rPr>
        <w:t xml:space="preserve">es </w:t>
      </w:r>
      <w:r w:rsidRPr="006B5D97">
        <w:rPr>
          <w:rFonts w:ascii="Garamond" w:hAnsi="Garamond"/>
          <w:color w:val="000000" w:themeColor="text1"/>
          <w:sz w:val="20"/>
          <w:szCs w:val="20"/>
          <w:lang w:val="es-MX"/>
        </w:rPr>
        <w:t>LGBTI tienen niveles de escolaridad más altos que los que reporta el resto de la población. En este sentido, a</w:t>
      </w:r>
      <w:r>
        <w:t xml:space="preserve"> </w:t>
      </w:r>
      <w:r w:rsidRPr="006B5D97">
        <w:rPr>
          <w:rFonts w:ascii="Garamond" w:hAnsi="Garamond"/>
          <w:color w:val="000000" w:themeColor="text1"/>
          <w:sz w:val="20"/>
          <w:szCs w:val="20"/>
          <w:lang w:val="es-MX"/>
        </w:rPr>
        <w:t>partir del nivel técnico, pasando por universitario incompleto, universitario completo y posgrado, el porcentaje de</w:t>
      </w:r>
      <w:r w:rsidR="00C7118B">
        <w:rPr>
          <w:rFonts w:ascii="Garamond" w:hAnsi="Garamond"/>
          <w:color w:val="000000" w:themeColor="text1"/>
          <w:sz w:val="20"/>
          <w:szCs w:val="20"/>
          <w:lang w:val="es-MX"/>
        </w:rPr>
        <w:t xml:space="preserve"> personas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es superior en 2</w:t>
      </w:r>
      <w:r w:rsidR="00EF4031">
        <w:rPr>
          <w:rFonts w:ascii="Garamond" w:hAnsi="Garamond"/>
          <w:color w:val="000000" w:themeColor="text1"/>
          <w:sz w:val="20"/>
          <w:szCs w:val="20"/>
          <w:lang w:val="es-MX"/>
        </w:rPr>
        <w:t>,</w:t>
      </w:r>
      <w:r w:rsidR="00891379">
        <w:rPr>
          <w:rFonts w:ascii="Garamond" w:hAnsi="Garamond"/>
          <w:color w:val="000000" w:themeColor="text1"/>
          <w:sz w:val="20"/>
          <w:szCs w:val="20"/>
          <w:lang w:val="es-MX"/>
        </w:rPr>
        <w:t>7 puntos porcentuales</w:t>
      </w:r>
      <w:r w:rsidRPr="006B5D97">
        <w:rPr>
          <w:rFonts w:ascii="Garamond" w:hAnsi="Garamond"/>
          <w:color w:val="000000" w:themeColor="text1"/>
          <w:sz w:val="20"/>
          <w:szCs w:val="20"/>
          <w:lang w:val="es-MX"/>
        </w:rPr>
        <w:t xml:space="preserve"> en promedio.</w:t>
      </w:r>
    </w:p>
    <w:p w14:paraId="32B1033C" w14:textId="77777777" w:rsidR="006B5D97" w:rsidRPr="006B5D97" w:rsidRDefault="006B5D97" w:rsidP="006B5D97">
      <w:pPr>
        <w:spacing w:line="360" w:lineRule="auto"/>
        <w:jc w:val="both"/>
        <w:rPr>
          <w:rFonts w:ascii="Garamond" w:hAnsi="Garamond"/>
          <w:color w:val="000000" w:themeColor="text1"/>
          <w:sz w:val="20"/>
          <w:szCs w:val="20"/>
          <w:lang w:val="es-MX"/>
        </w:rPr>
      </w:pPr>
    </w:p>
    <w:p w14:paraId="4BD5D755" w14:textId="67CC0698" w:rsidR="006B5D97" w:rsidRPr="006B5D97" w:rsidRDefault="006B5D97" w:rsidP="006B5D97">
      <w:pPr>
        <w:spacing w:line="360" w:lineRule="auto"/>
        <w:jc w:val="both"/>
        <w:rPr>
          <w:rFonts w:ascii="Garamond" w:hAnsi="Garamond"/>
          <w:color w:val="000000" w:themeColor="text1"/>
          <w:sz w:val="20"/>
          <w:szCs w:val="20"/>
          <w:lang w:val="es-MX"/>
        </w:rPr>
      </w:pPr>
      <w:r w:rsidRPr="006B5D97">
        <w:rPr>
          <w:rFonts w:ascii="Garamond" w:hAnsi="Garamond"/>
          <w:color w:val="000000" w:themeColor="text1"/>
          <w:sz w:val="20"/>
          <w:szCs w:val="20"/>
          <w:lang w:val="es-MX"/>
        </w:rPr>
        <w:t xml:space="preserve">Por otro lado, al interior </w:t>
      </w:r>
      <w:r w:rsidR="00115441">
        <w:rPr>
          <w:rFonts w:ascii="Garamond" w:hAnsi="Garamond"/>
          <w:color w:val="000000" w:themeColor="text1"/>
          <w:sz w:val="20"/>
          <w:szCs w:val="20"/>
          <w:lang w:val="es-MX"/>
        </w:rPr>
        <w:t>de los sectores LGBTI</w:t>
      </w:r>
      <w:r w:rsidRPr="006B5D97">
        <w:rPr>
          <w:rFonts w:ascii="Garamond" w:hAnsi="Garamond"/>
          <w:color w:val="000000" w:themeColor="text1"/>
          <w:sz w:val="20"/>
          <w:szCs w:val="20"/>
          <w:lang w:val="es-MX"/>
        </w:rPr>
        <w:t xml:space="preserve"> se encontraron dos tendencias importantes. Por un lado, los hombres son quienes tienen un grado de escolaridad más alto que las mujeres, en promedio desde bachillerato completo hasta posgrado. La brecha más alta se encuentra en el nivel educativo universitario completo con 13</w:t>
      </w:r>
      <w:r w:rsidR="00D20B25">
        <w:rPr>
          <w:rFonts w:ascii="Garamond" w:hAnsi="Garamond"/>
          <w:color w:val="000000" w:themeColor="text1"/>
          <w:sz w:val="20"/>
          <w:szCs w:val="20"/>
          <w:lang w:val="es-MX"/>
        </w:rPr>
        <w:t xml:space="preserve"> puntos porcentuales</w:t>
      </w:r>
      <w:r w:rsidRPr="006B5D97">
        <w:rPr>
          <w:rFonts w:ascii="Garamond" w:hAnsi="Garamond"/>
          <w:color w:val="000000" w:themeColor="text1"/>
          <w:sz w:val="20"/>
          <w:szCs w:val="20"/>
          <w:lang w:val="es-MX"/>
        </w:rPr>
        <w:t xml:space="preserve"> de diferencia. Por otro lado, las personas cisgénero reportan un nivel educativo más alto en comparación con las personas </w:t>
      </w:r>
      <w:r>
        <w:rPr>
          <w:rFonts w:ascii="Garamond" w:hAnsi="Garamond"/>
          <w:color w:val="000000" w:themeColor="text1"/>
          <w:sz w:val="20"/>
          <w:szCs w:val="20"/>
          <w:lang w:val="es-MX"/>
        </w:rPr>
        <w:t>T</w:t>
      </w:r>
      <w:r w:rsidRPr="006B5D97">
        <w:rPr>
          <w:rFonts w:ascii="Garamond" w:hAnsi="Garamond"/>
          <w:color w:val="000000" w:themeColor="text1"/>
          <w:sz w:val="20"/>
          <w:szCs w:val="20"/>
          <w:lang w:val="es-MX"/>
        </w:rPr>
        <w:t>rans, desde universitaria incompleta hasta posgrado con 4</w:t>
      </w:r>
      <w:r w:rsidR="00D20B25">
        <w:rPr>
          <w:rFonts w:ascii="Garamond" w:hAnsi="Garamond"/>
          <w:color w:val="000000" w:themeColor="text1"/>
          <w:sz w:val="20"/>
          <w:szCs w:val="20"/>
          <w:lang w:val="es-MX"/>
        </w:rPr>
        <w:t xml:space="preserve"> puntos porcentuales</w:t>
      </w:r>
      <w:r w:rsidRPr="006B5D97">
        <w:rPr>
          <w:rFonts w:ascii="Garamond" w:hAnsi="Garamond"/>
          <w:color w:val="000000" w:themeColor="text1"/>
          <w:sz w:val="20"/>
          <w:szCs w:val="20"/>
          <w:lang w:val="es-MX"/>
        </w:rPr>
        <w:t xml:space="preserve"> de diferencia en promedio.</w:t>
      </w:r>
    </w:p>
    <w:p w14:paraId="72452F27" w14:textId="77777777" w:rsidR="006B5D97" w:rsidRPr="006B5D97" w:rsidRDefault="006B5D97" w:rsidP="006B5D97">
      <w:pPr>
        <w:rPr>
          <w:rFonts w:ascii="Garamond" w:hAnsi="Garamond"/>
          <w:color w:val="000000" w:themeColor="text1"/>
          <w:sz w:val="20"/>
          <w:szCs w:val="20"/>
          <w:lang w:val="es-MX"/>
        </w:rPr>
      </w:pPr>
    </w:p>
    <w:bookmarkEnd w:id="0"/>
    <w:bookmarkEnd w:id="1"/>
    <w:p w14:paraId="2FA9CA45" w14:textId="72C17C63" w:rsidR="00785F4B" w:rsidRPr="00785F4B" w:rsidRDefault="00785F4B" w:rsidP="008D6FF3">
      <w:pPr>
        <w:tabs>
          <w:tab w:val="left" w:pos="1440"/>
        </w:tabs>
        <w:spacing w:line="360" w:lineRule="auto"/>
      </w:pPr>
    </w:p>
    <w:sectPr w:rsidR="00785F4B" w:rsidRPr="00785F4B" w:rsidSect="00B00B13">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5910E" w14:textId="77777777" w:rsidR="00FC2E00" w:rsidRDefault="00FC2E00" w:rsidP="00BE0454">
      <w:r>
        <w:separator/>
      </w:r>
    </w:p>
  </w:endnote>
  <w:endnote w:type="continuationSeparator" w:id="0">
    <w:p w14:paraId="65D35A01" w14:textId="77777777" w:rsidR="00FC2E00" w:rsidRDefault="00FC2E00" w:rsidP="00BE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719521"/>
      <w:docPartObj>
        <w:docPartGallery w:val="Page Numbers (Bottom of Page)"/>
        <w:docPartUnique/>
      </w:docPartObj>
    </w:sdtPr>
    <w:sdtEndPr/>
    <w:sdtContent>
      <w:p w14:paraId="2492B0A3" w14:textId="6EF69F4A" w:rsidR="00A8594B" w:rsidRDefault="00A8594B">
        <w:pPr>
          <w:pStyle w:val="Piedepgina"/>
          <w:jc w:val="center"/>
        </w:pPr>
        <w:r>
          <w:fldChar w:fldCharType="begin"/>
        </w:r>
        <w:r>
          <w:instrText>PAGE   \* MERGEFORMAT</w:instrText>
        </w:r>
        <w:r>
          <w:fldChar w:fldCharType="separate"/>
        </w:r>
        <w:r w:rsidR="00DE6BAF">
          <w:rPr>
            <w:noProof/>
          </w:rPr>
          <w:t>1</w:t>
        </w:r>
        <w:r>
          <w:fldChar w:fldCharType="end"/>
        </w:r>
      </w:p>
    </w:sdtContent>
  </w:sdt>
  <w:p w14:paraId="00166349" w14:textId="77777777" w:rsidR="00A8594B" w:rsidRDefault="00A859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DD96A" w14:textId="77777777" w:rsidR="00FC2E00" w:rsidRDefault="00FC2E00" w:rsidP="00BE0454">
      <w:r>
        <w:separator/>
      </w:r>
    </w:p>
  </w:footnote>
  <w:footnote w:type="continuationSeparator" w:id="0">
    <w:p w14:paraId="11AD48F1" w14:textId="77777777" w:rsidR="00FC2E00" w:rsidRDefault="00FC2E00" w:rsidP="00BE0454">
      <w:r>
        <w:continuationSeparator/>
      </w:r>
    </w:p>
  </w:footnote>
  <w:footnote w:id="1">
    <w:p w14:paraId="333882F5" w14:textId="4B00D580" w:rsidR="00C7118B" w:rsidRPr="00C7118B" w:rsidRDefault="00C7118B" w:rsidP="00647BB8">
      <w:pPr>
        <w:pStyle w:val="Textonotapie"/>
        <w:jc w:val="both"/>
      </w:pPr>
      <w:r>
        <w:rPr>
          <w:rStyle w:val="Refdenotaalpie"/>
        </w:rPr>
        <w:footnoteRef/>
      </w:r>
      <w:r>
        <w:t xml:space="preserve"> </w:t>
      </w:r>
      <w:r w:rsidRPr="00647BB8">
        <w:rPr>
          <w:rFonts w:ascii="Garamond" w:hAnsi="Garamond"/>
          <w:sz w:val="16"/>
          <w:szCs w:val="16"/>
        </w:rPr>
        <w:t xml:space="preserve">Si bien, el objetivo del boletín es analizar las características de </w:t>
      </w:r>
      <w:r w:rsidR="00ED4E46">
        <w:rPr>
          <w:rFonts w:ascii="Garamond" w:hAnsi="Garamond"/>
          <w:sz w:val="16"/>
          <w:szCs w:val="16"/>
        </w:rPr>
        <w:t xml:space="preserve">las </w:t>
      </w:r>
      <w:r w:rsidR="00ED4E46" w:rsidRPr="00ED4E46">
        <w:rPr>
          <w:rFonts w:ascii="Garamond" w:hAnsi="Garamond"/>
          <w:b/>
          <w:sz w:val="16"/>
          <w:szCs w:val="16"/>
        </w:rPr>
        <w:t xml:space="preserve">Familias </w:t>
      </w:r>
      <w:r w:rsidR="00FC600B">
        <w:rPr>
          <w:rFonts w:ascii="Garamond" w:hAnsi="Garamond"/>
          <w:sz w:val="16"/>
          <w:szCs w:val="16"/>
        </w:rPr>
        <w:t>de personas de los sectores</w:t>
      </w:r>
      <w:r w:rsidRPr="00647BB8">
        <w:rPr>
          <w:rFonts w:ascii="Garamond" w:hAnsi="Garamond"/>
          <w:sz w:val="16"/>
          <w:szCs w:val="16"/>
        </w:rPr>
        <w:t xml:space="preserve"> LGBTI. En el documento se hace un análisis </w:t>
      </w:r>
      <w:r w:rsidR="00ED4E46">
        <w:rPr>
          <w:rFonts w:ascii="Garamond" w:hAnsi="Garamond"/>
          <w:sz w:val="16"/>
          <w:szCs w:val="16"/>
        </w:rPr>
        <w:t>es</w:t>
      </w:r>
      <w:r w:rsidR="00115441">
        <w:rPr>
          <w:rFonts w:ascii="Garamond" w:hAnsi="Garamond"/>
          <w:sz w:val="16"/>
          <w:szCs w:val="16"/>
        </w:rPr>
        <w:t xml:space="preserve"> </w:t>
      </w:r>
      <w:r w:rsidRPr="00647BB8">
        <w:rPr>
          <w:rFonts w:ascii="Garamond" w:hAnsi="Garamond"/>
          <w:sz w:val="16"/>
          <w:szCs w:val="16"/>
        </w:rPr>
        <w:t xml:space="preserve"> de los hogares familiares, como de los no familiar</w:t>
      </w:r>
      <w:r w:rsidR="00115441">
        <w:rPr>
          <w:rFonts w:ascii="Garamond" w:hAnsi="Garamond"/>
          <w:sz w:val="16"/>
          <w:szCs w:val="16"/>
        </w:rPr>
        <w:t>es de las personas de los sectores LGBTI</w:t>
      </w:r>
      <w:r w:rsidRPr="00647BB8">
        <w:rPr>
          <w:rFonts w:ascii="Garamond" w:hAnsi="Garamond"/>
          <w:sz w:val="16"/>
          <w:szCs w:val="16"/>
        </w:rPr>
        <w:t>, para cada caso se hacen las distinciones pertinentes</w:t>
      </w:r>
      <w:r w:rsidR="00115441">
        <w:rPr>
          <w:rFonts w:ascii="Garamond" w:hAnsi="Garamond"/>
          <w:sz w:val="16"/>
          <w:szCs w:val="16"/>
        </w:rPr>
        <w:t>, para mayor información se puede consultar el Boletín No. 5 del Observatorio Poblacional Diferencial y de Familias sobre las tipologías de hogares familiares y no familiares por relación de parentesco, en ese sentido se acerca el concepto de hogar familiar al de Familia</w:t>
      </w:r>
      <w:r w:rsidR="00FC600B">
        <w:rPr>
          <w:rFonts w:ascii="Garamond" w:hAnsi="Garamond"/>
          <w:sz w:val="16"/>
          <w:szCs w:val="16"/>
        </w:rPr>
        <w:t>.</w:t>
      </w:r>
    </w:p>
  </w:footnote>
  <w:footnote w:id="2">
    <w:p w14:paraId="560BB5C7" w14:textId="4FBD4D49" w:rsidR="007F768C" w:rsidRPr="001C3247" w:rsidRDefault="007F768C">
      <w:pPr>
        <w:pStyle w:val="Textonotapie"/>
        <w:rPr>
          <w:rFonts w:ascii="Garamond" w:hAnsi="Garamond"/>
          <w:sz w:val="16"/>
          <w:szCs w:val="16"/>
          <w:lang w:val="es-ES"/>
        </w:rPr>
      </w:pPr>
      <w:r w:rsidRPr="001C3247">
        <w:rPr>
          <w:rStyle w:val="Refdenotaalpie"/>
          <w:rFonts w:ascii="Garamond" w:hAnsi="Garamond"/>
          <w:sz w:val="16"/>
        </w:rPr>
        <w:footnoteRef/>
      </w:r>
      <w:r w:rsidRPr="001C3247">
        <w:rPr>
          <w:rFonts w:ascii="Garamond" w:hAnsi="Garamond"/>
          <w:sz w:val="16"/>
        </w:rPr>
        <w:t xml:space="preserve"> Para profundizar sobre las tipologías de hogares familiares y no </w:t>
      </w:r>
      <w:r w:rsidRPr="001C3247">
        <w:rPr>
          <w:rFonts w:ascii="Garamond" w:hAnsi="Garamond"/>
          <w:sz w:val="16"/>
          <w:szCs w:val="16"/>
        </w:rPr>
        <w:t>familiares, remitirse a</w:t>
      </w:r>
      <w:r w:rsidRPr="001C3247">
        <w:rPr>
          <w:rFonts w:ascii="Garamond" w:hAnsi="Garamond"/>
          <w:sz w:val="16"/>
          <w:szCs w:val="16"/>
          <w:lang w:val="es-ES"/>
        </w:rPr>
        <w:t>l boletín Número 5. Del Observatorio poblacional, diferencial y de familia</w:t>
      </w:r>
      <w:r w:rsidR="001C3247" w:rsidRPr="001C3247">
        <w:rPr>
          <w:rFonts w:ascii="Garamond" w:hAnsi="Garamond"/>
          <w:sz w:val="16"/>
          <w:szCs w:val="16"/>
          <w:lang w:val="es-ES"/>
        </w:rPr>
        <w:t>s</w:t>
      </w:r>
      <w:r w:rsidRPr="001C3247">
        <w:rPr>
          <w:rFonts w:ascii="Garamond" w:hAnsi="Garamond"/>
          <w:sz w:val="16"/>
          <w:szCs w:val="16"/>
          <w:lang w:val="es-ES"/>
        </w:rPr>
        <w:t>.</w:t>
      </w:r>
    </w:p>
  </w:footnote>
  <w:footnote w:id="3">
    <w:p w14:paraId="3A44EFF1" w14:textId="0A1BF3CC" w:rsidR="00F454F2" w:rsidRPr="00F454F2" w:rsidRDefault="00F454F2">
      <w:pPr>
        <w:pStyle w:val="Textonotapie"/>
        <w:rPr>
          <w:lang w:val="es-ES"/>
        </w:rPr>
      </w:pPr>
      <w:r w:rsidRPr="001C3247">
        <w:rPr>
          <w:rStyle w:val="Refdenotaalpie"/>
          <w:sz w:val="16"/>
          <w:szCs w:val="16"/>
        </w:rPr>
        <w:footnoteRef/>
      </w:r>
      <w:r w:rsidRPr="001C3247">
        <w:rPr>
          <w:sz w:val="16"/>
          <w:szCs w:val="16"/>
        </w:rPr>
        <w:t xml:space="preserve"> </w:t>
      </w:r>
      <w:r w:rsidRPr="001C3247">
        <w:rPr>
          <w:rFonts w:ascii="Garamond" w:hAnsi="Garamond"/>
          <w:sz w:val="16"/>
          <w:szCs w:val="16"/>
        </w:rPr>
        <w:t>Según la EM</w:t>
      </w:r>
      <w:r w:rsidR="00115441">
        <w:rPr>
          <w:rFonts w:ascii="Garamond" w:hAnsi="Garamond"/>
          <w:sz w:val="16"/>
          <w:szCs w:val="16"/>
        </w:rPr>
        <w:t xml:space="preserve"> 2017</w:t>
      </w:r>
      <w:r w:rsidRPr="001C3247">
        <w:rPr>
          <w:rFonts w:ascii="Garamond" w:hAnsi="Garamond"/>
          <w:sz w:val="16"/>
          <w:szCs w:val="16"/>
        </w:rPr>
        <w:t xml:space="preserve"> son aquellos encuestados que no registraron estrato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5B56A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89F3A43"/>
    <w:multiLevelType w:val="hybridMultilevel"/>
    <w:tmpl w:val="933625DC"/>
    <w:lvl w:ilvl="0" w:tplc="C900B25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CB7"/>
    <w:rsid w:val="0000089F"/>
    <w:rsid w:val="00004274"/>
    <w:rsid w:val="000046D1"/>
    <w:rsid w:val="00004F0A"/>
    <w:rsid w:val="00006889"/>
    <w:rsid w:val="0001290F"/>
    <w:rsid w:val="00012C76"/>
    <w:rsid w:val="00015B83"/>
    <w:rsid w:val="00016908"/>
    <w:rsid w:val="00020B0B"/>
    <w:rsid w:val="00022FC2"/>
    <w:rsid w:val="00023E28"/>
    <w:rsid w:val="00040915"/>
    <w:rsid w:val="00041E99"/>
    <w:rsid w:val="00047193"/>
    <w:rsid w:val="000477B2"/>
    <w:rsid w:val="00052A35"/>
    <w:rsid w:val="000530D6"/>
    <w:rsid w:val="000536B0"/>
    <w:rsid w:val="000574C3"/>
    <w:rsid w:val="00057D39"/>
    <w:rsid w:val="00061F11"/>
    <w:rsid w:val="00061F31"/>
    <w:rsid w:val="00084786"/>
    <w:rsid w:val="00090930"/>
    <w:rsid w:val="00090E1F"/>
    <w:rsid w:val="00093E90"/>
    <w:rsid w:val="00096796"/>
    <w:rsid w:val="000A0B5F"/>
    <w:rsid w:val="000A1749"/>
    <w:rsid w:val="000A4A00"/>
    <w:rsid w:val="000A6C28"/>
    <w:rsid w:val="000D1644"/>
    <w:rsid w:val="000D2593"/>
    <w:rsid w:val="000D58A4"/>
    <w:rsid w:val="000E1F24"/>
    <w:rsid w:val="000E3E36"/>
    <w:rsid w:val="000F513D"/>
    <w:rsid w:val="001038EC"/>
    <w:rsid w:val="00106C1F"/>
    <w:rsid w:val="00112536"/>
    <w:rsid w:val="00112F0A"/>
    <w:rsid w:val="00115441"/>
    <w:rsid w:val="0013069B"/>
    <w:rsid w:val="00130D51"/>
    <w:rsid w:val="00132FBB"/>
    <w:rsid w:val="00135E7B"/>
    <w:rsid w:val="00147E26"/>
    <w:rsid w:val="00150CA7"/>
    <w:rsid w:val="00152F46"/>
    <w:rsid w:val="00164640"/>
    <w:rsid w:val="0018699E"/>
    <w:rsid w:val="00186B5B"/>
    <w:rsid w:val="0019115A"/>
    <w:rsid w:val="00191B95"/>
    <w:rsid w:val="001932C0"/>
    <w:rsid w:val="001A09DB"/>
    <w:rsid w:val="001B0A7E"/>
    <w:rsid w:val="001B108D"/>
    <w:rsid w:val="001B1798"/>
    <w:rsid w:val="001B63F6"/>
    <w:rsid w:val="001C3247"/>
    <w:rsid w:val="001C529B"/>
    <w:rsid w:val="001D0243"/>
    <w:rsid w:val="001D0CF8"/>
    <w:rsid w:val="001D167B"/>
    <w:rsid w:val="001E6853"/>
    <w:rsid w:val="001F14CA"/>
    <w:rsid w:val="001F3255"/>
    <w:rsid w:val="001F3519"/>
    <w:rsid w:val="001F67ED"/>
    <w:rsid w:val="00207E20"/>
    <w:rsid w:val="00210B23"/>
    <w:rsid w:val="00210FFE"/>
    <w:rsid w:val="00212581"/>
    <w:rsid w:val="00214B6A"/>
    <w:rsid w:val="00216A1E"/>
    <w:rsid w:val="00217E6B"/>
    <w:rsid w:val="00222DD9"/>
    <w:rsid w:val="00223975"/>
    <w:rsid w:val="00226252"/>
    <w:rsid w:val="00226DAA"/>
    <w:rsid w:val="00230799"/>
    <w:rsid w:val="00257116"/>
    <w:rsid w:val="00257F67"/>
    <w:rsid w:val="00261F8F"/>
    <w:rsid w:val="00270C99"/>
    <w:rsid w:val="00273040"/>
    <w:rsid w:val="00287207"/>
    <w:rsid w:val="00287512"/>
    <w:rsid w:val="00287D5A"/>
    <w:rsid w:val="00291B83"/>
    <w:rsid w:val="002A2664"/>
    <w:rsid w:val="002B1CA0"/>
    <w:rsid w:val="002D0E89"/>
    <w:rsid w:val="002E4FA9"/>
    <w:rsid w:val="002F245B"/>
    <w:rsid w:val="002F3E37"/>
    <w:rsid w:val="002F4D1C"/>
    <w:rsid w:val="002F51E0"/>
    <w:rsid w:val="0030038B"/>
    <w:rsid w:val="00301E42"/>
    <w:rsid w:val="0030366F"/>
    <w:rsid w:val="00304DEB"/>
    <w:rsid w:val="00314A98"/>
    <w:rsid w:val="0031603C"/>
    <w:rsid w:val="00316DE8"/>
    <w:rsid w:val="00320D1A"/>
    <w:rsid w:val="003222B2"/>
    <w:rsid w:val="00323F1C"/>
    <w:rsid w:val="0032609E"/>
    <w:rsid w:val="003269AC"/>
    <w:rsid w:val="003274F5"/>
    <w:rsid w:val="00352CE1"/>
    <w:rsid w:val="003553BD"/>
    <w:rsid w:val="003556A5"/>
    <w:rsid w:val="003622A3"/>
    <w:rsid w:val="003636C9"/>
    <w:rsid w:val="0037583C"/>
    <w:rsid w:val="00380327"/>
    <w:rsid w:val="00383D31"/>
    <w:rsid w:val="00385995"/>
    <w:rsid w:val="003A0107"/>
    <w:rsid w:val="003B13D5"/>
    <w:rsid w:val="003B7B7F"/>
    <w:rsid w:val="003C78F0"/>
    <w:rsid w:val="003D6B7A"/>
    <w:rsid w:val="003E4717"/>
    <w:rsid w:val="003E692D"/>
    <w:rsid w:val="003F1BBE"/>
    <w:rsid w:val="003F36E8"/>
    <w:rsid w:val="003F5B6B"/>
    <w:rsid w:val="004004A1"/>
    <w:rsid w:val="00402E19"/>
    <w:rsid w:val="00405732"/>
    <w:rsid w:val="00406E7C"/>
    <w:rsid w:val="00412F69"/>
    <w:rsid w:val="004169F6"/>
    <w:rsid w:val="004242B4"/>
    <w:rsid w:val="0042780E"/>
    <w:rsid w:val="0043141D"/>
    <w:rsid w:val="00445947"/>
    <w:rsid w:val="00446D24"/>
    <w:rsid w:val="004613EC"/>
    <w:rsid w:val="0046608E"/>
    <w:rsid w:val="00476EA5"/>
    <w:rsid w:val="004809DB"/>
    <w:rsid w:val="004820E3"/>
    <w:rsid w:val="0049653A"/>
    <w:rsid w:val="004A0BFA"/>
    <w:rsid w:val="004A2C6E"/>
    <w:rsid w:val="004B2143"/>
    <w:rsid w:val="004C35D7"/>
    <w:rsid w:val="004C5914"/>
    <w:rsid w:val="004C7ECB"/>
    <w:rsid w:val="004D47D6"/>
    <w:rsid w:val="004E450C"/>
    <w:rsid w:val="004F3B21"/>
    <w:rsid w:val="004F409D"/>
    <w:rsid w:val="004F798E"/>
    <w:rsid w:val="00500A59"/>
    <w:rsid w:val="00501B25"/>
    <w:rsid w:val="00503925"/>
    <w:rsid w:val="00505137"/>
    <w:rsid w:val="00510C56"/>
    <w:rsid w:val="00515645"/>
    <w:rsid w:val="00516FB5"/>
    <w:rsid w:val="0053306C"/>
    <w:rsid w:val="005361C4"/>
    <w:rsid w:val="005371C5"/>
    <w:rsid w:val="00545BDB"/>
    <w:rsid w:val="005461C8"/>
    <w:rsid w:val="005536B2"/>
    <w:rsid w:val="00561CB5"/>
    <w:rsid w:val="00563FEA"/>
    <w:rsid w:val="005658C4"/>
    <w:rsid w:val="00583D50"/>
    <w:rsid w:val="005858D8"/>
    <w:rsid w:val="005861FD"/>
    <w:rsid w:val="00590BBA"/>
    <w:rsid w:val="00590E96"/>
    <w:rsid w:val="005935F2"/>
    <w:rsid w:val="005946D4"/>
    <w:rsid w:val="005A0155"/>
    <w:rsid w:val="005A223A"/>
    <w:rsid w:val="005A224B"/>
    <w:rsid w:val="005A3646"/>
    <w:rsid w:val="005A648F"/>
    <w:rsid w:val="005A6956"/>
    <w:rsid w:val="005B5D9F"/>
    <w:rsid w:val="005B720B"/>
    <w:rsid w:val="005B7AE6"/>
    <w:rsid w:val="005C100D"/>
    <w:rsid w:val="005C1D39"/>
    <w:rsid w:val="005C6786"/>
    <w:rsid w:val="005D77FA"/>
    <w:rsid w:val="005E5429"/>
    <w:rsid w:val="005E609E"/>
    <w:rsid w:val="005F0DE6"/>
    <w:rsid w:val="005F132E"/>
    <w:rsid w:val="005F3DCF"/>
    <w:rsid w:val="005F558D"/>
    <w:rsid w:val="006005AA"/>
    <w:rsid w:val="00606023"/>
    <w:rsid w:val="006075E3"/>
    <w:rsid w:val="00613EF6"/>
    <w:rsid w:val="006151A9"/>
    <w:rsid w:val="006151F3"/>
    <w:rsid w:val="0061799A"/>
    <w:rsid w:val="00623676"/>
    <w:rsid w:val="00636832"/>
    <w:rsid w:val="00641F9C"/>
    <w:rsid w:val="00647BB8"/>
    <w:rsid w:val="00647E22"/>
    <w:rsid w:val="00650B74"/>
    <w:rsid w:val="00651D8B"/>
    <w:rsid w:val="00654A4B"/>
    <w:rsid w:val="006654BE"/>
    <w:rsid w:val="006730E8"/>
    <w:rsid w:val="00673309"/>
    <w:rsid w:val="00693DFF"/>
    <w:rsid w:val="006A518E"/>
    <w:rsid w:val="006B10DB"/>
    <w:rsid w:val="006B423E"/>
    <w:rsid w:val="006B5D97"/>
    <w:rsid w:val="006C226E"/>
    <w:rsid w:val="006C2AC1"/>
    <w:rsid w:val="006D293E"/>
    <w:rsid w:val="006D5A3B"/>
    <w:rsid w:val="006E3A4E"/>
    <w:rsid w:val="006E40FD"/>
    <w:rsid w:val="006E4431"/>
    <w:rsid w:val="006E6724"/>
    <w:rsid w:val="006E72B6"/>
    <w:rsid w:val="006F32B9"/>
    <w:rsid w:val="0070294D"/>
    <w:rsid w:val="007053CB"/>
    <w:rsid w:val="00705E37"/>
    <w:rsid w:val="00715310"/>
    <w:rsid w:val="00717798"/>
    <w:rsid w:val="0072282A"/>
    <w:rsid w:val="00722C04"/>
    <w:rsid w:val="00735001"/>
    <w:rsid w:val="00735CB1"/>
    <w:rsid w:val="00735F87"/>
    <w:rsid w:val="00737B47"/>
    <w:rsid w:val="00742C90"/>
    <w:rsid w:val="0074308B"/>
    <w:rsid w:val="007432F0"/>
    <w:rsid w:val="00747C9F"/>
    <w:rsid w:val="00751E91"/>
    <w:rsid w:val="00753E80"/>
    <w:rsid w:val="00761794"/>
    <w:rsid w:val="00763D5A"/>
    <w:rsid w:val="007736C3"/>
    <w:rsid w:val="0077435B"/>
    <w:rsid w:val="00774FDB"/>
    <w:rsid w:val="00777122"/>
    <w:rsid w:val="00785F4B"/>
    <w:rsid w:val="00786062"/>
    <w:rsid w:val="007910C8"/>
    <w:rsid w:val="007A022A"/>
    <w:rsid w:val="007A54E4"/>
    <w:rsid w:val="007A74B1"/>
    <w:rsid w:val="007A78F6"/>
    <w:rsid w:val="007B46B4"/>
    <w:rsid w:val="007B6DC9"/>
    <w:rsid w:val="007C1840"/>
    <w:rsid w:val="007D018D"/>
    <w:rsid w:val="007F06F8"/>
    <w:rsid w:val="007F1D66"/>
    <w:rsid w:val="007F5C33"/>
    <w:rsid w:val="007F6132"/>
    <w:rsid w:val="007F768C"/>
    <w:rsid w:val="008014EC"/>
    <w:rsid w:val="00815377"/>
    <w:rsid w:val="00822CB8"/>
    <w:rsid w:val="00822D71"/>
    <w:rsid w:val="00831BEF"/>
    <w:rsid w:val="00832B89"/>
    <w:rsid w:val="00832CD7"/>
    <w:rsid w:val="00833180"/>
    <w:rsid w:val="00843753"/>
    <w:rsid w:val="00845C59"/>
    <w:rsid w:val="00867811"/>
    <w:rsid w:val="0087209B"/>
    <w:rsid w:val="00880503"/>
    <w:rsid w:val="0088355E"/>
    <w:rsid w:val="00890975"/>
    <w:rsid w:val="00891379"/>
    <w:rsid w:val="008A1DFB"/>
    <w:rsid w:val="008A306E"/>
    <w:rsid w:val="008A36D6"/>
    <w:rsid w:val="008A5992"/>
    <w:rsid w:val="008A5EC5"/>
    <w:rsid w:val="008A67D3"/>
    <w:rsid w:val="008B018C"/>
    <w:rsid w:val="008B7B15"/>
    <w:rsid w:val="008D6FF3"/>
    <w:rsid w:val="008E4656"/>
    <w:rsid w:val="008E4758"/>
    <w:rsid w:val="008E486A"/>
    <w:rsid w:val="008E4E8B"/>
    <w:rsid w:val="008F285F"/>
    <w:rsid w:val="008F59A9"/>
    <w:rsid w:val="008F7308"/>
    <w:rsid w:val="00907AB3"/>
    <w:rsid w:val="009127C0"/>
    <w:rsid w:val="00913DAE"/>
    <w:rsid w:val="00914A9B"/>
    <w:rsid w:val="00924E09"/>
    <w:rsid w:val="009341C7"/>
    <w:rsid w:val="00941798"/>
    <w:rsid w:val="00941DF9"/>
    <w:rsid w:val="00944166"/>
    <w:rsid w:val="009463F9"/>
    <w:rsid w:val="00957F70"/>
    <w:rsid w:val="00960203"/>
    <w:rsid w:val="00961261"/>
    <w:rsid w:val="00961D70"/>
    <w:rsid w:val="00965378"/>
    <w:rsid w:val="00977F8E"/>
    <w:rsid w:val="009811DF"/>
    <w:rsid w:val="0098147A"/>
    <w:rsid w:val="00981BE1"/>
    <w:rsid w:val="00985AD3"/>
    <w:rsid w:val="009904FF"/>
    <w:rsid w:val="00992819"/>
    <w:rsid w:val="00993FE1"/>
    <w:rsid w:val="00995F47"/>
    <w:rsid w:val="009A38EA"/>
    <w:rsid w:val="009A4A9D"/>
    <w:rsid w:val="009A5D64"/>
    <w:rsid w:val="009A6BA7"/>
    <w:rsid w:val="009B0307"/>
    <w:rsid w:val="009B5528"/>
    <w:rsid w:val="009C2B7F"/>
    <w:rsid w:val="009C3B9F"/>
    <w:rsid w:val="009C7A5B"/>
    <w:rsid w:val="009D047E"/>
    <w:rsid w:val="009E43A8"/>
    <w:rsid w:val="009F086E"/>
    <w:rsid w:val="00A0561F"/>
    <w:rsid w:val="00A109BE"/>
    <w:rsid w:val="00A1154E"/>
    <w:rsid w:val="00A25DA1"/>
    <w:rsid w:val="00A301AA"/>
    <w:rsid w:val="00A30830"/>
    <w:rsid w:val="00A35561"/>
    <w:rsid w:val="00A40D67"/>
    <w:rsid w:val="00A440A1"/>
    <w:rsid w:val="00A47183"/>
    <w:rsid w:val="00A532CD"/>
    <w:rsid w:val="00A54A8F"/>
    <w:rsid w:val="00A627FB"/>
    <w:rsid w:val="00A636A3"/>
    <w:rsid w:val="00A67FF3"/>
    <w:rsid w:val="00A71952"/>
    <w:rsid w:val="00A7213D"/>
    <w:rsid w:val="00A7327C"/>
    <w:rsid w:val="00A76B58"/>
    <w:rsid w:val="00A85503"/>
    <w:rsid w:val="00A8594B"/>
    <w:rsid w:val="00A86EDA"/>
    <w:rsid w:val="00A87BAE"/>
    <w:rsid w:val="00A90DC5"/>
    <w:rsid w:val="00A95208"/>
    <w:rsid w:val="00A957F0"/>
    <w:rsid w:val="00A96D73"/>
    <w:rsid w:val="00AA6597"/>
    <w:rsid w:val="00AB1123"/>
    <w:rsid w:val="00AB6156"/>
    <w:rsid w:val="00AC341F"/>
    <w:rsid w:val="00AC6DC3"/>
    <w:rsid w:val="00AC785B"/>
    <w:rsid w:val="00AD2344"/>
    <w:rsid w:val="00AE0D5F"/>
    <w:rsid w:val="00AE3198"/>
    <w:rsid w:val="00AE5132"/>
    <w:rsid w:val="00AE51BA"/>
    <w:rsid w:val="00AF1E25"/>
    <w:rsid w:val="00AF5C8F"/>
    <w:rsid w:val="00B00B13"/>
    <w:rsid w:val="00B03A92"/>
    <w:rsid w:val="00B30491"/>
    <w:rsid w:val="00B33BE1"/>
    <w:rsid w:val="00B34CAB"/>
    <w:rsid w:val="00B36E8F"/>
    <w:rsid w:val="00B403B1"/>
    <w:rsid w:val="00B41F67"/>
    <w:rsid w:val="00B4710F"/>
    <w:rsid w:val="00B55F04"/>
    <w:rsid w:val="00B60048"/>
    <w:rsid w:val="00B67E18"/>
    <w:rsid w:val="00B76F4D"/>
    <w:rsid w:val="00B809CC"/>
    <w:rsid w:val="00B84C53"/>
    <w:rsid w:val="00B869FB"/>
    <w:rsid w:val="00B9500D"/>
    <w:rsid w:val="00B95112"/>
    <w:rsid w:val="00B95311"/>
    <w:rsid w:val="00BA4488"/>
    <w:rsid w:val="00BA4DD2"/>
    <w:rsid w:val="00BA68A1"/>
    <w:rsid w:val="00BC2CD3"/>
    <w:rsid w:val="00BD1083"/>
    <w:rsid w:val="00BD1D84"/>
    <w:rsid w:val="00BD5CDE"/>
    <w:rsid w:val="00BD67FB"/>
    <w:rsid w:val="00BE0454"/>
    <w:rsid w:val="00BE5C43"/>
    <w:rsid w:val="00BE7242"/>
    <w:rsid w:val="00BF4319"/>
    <w:rsid w:val="00BF71DD"/>
    <w:rsid w:val="00C06755"/>
    <w:rsid w:val="00C11A2C"/>
    <w:rsid w:val="00C11F2E"/>
    <w:rsid w:val="00C12F8A"/>
    <w:rsid w:val="00C25CA6"/>
    <w:rsid w:val="00C27926"/>
    <w:rsid w:val="00C36D6C"/>
    <w:rsid w:val="00C41C25"/>
    <w:rsid w:val="00C41E2F"/>
    <w:rsid w:val="00C42D94"/>
    <w:rsid w:val="00C4319F"/>
    <w:rsid w:val="00C4598E"/>
    <w:rsid w:val="00C572DE"/>
    <w:rsid w:val="00C62B0F"/>
    <w:rsid w:val="00C63FFD"/>
    <w:rsid w:val="00C70088"/>
    <w:rsid w:val="00C7118B"/>
    <w:rsid w:val="00C928F2"/>
    <w:rsid w:val="00CA3600"/>
    <w:rsid w:val="00CA7315"/>
    <w:rsid w:val="00CB508D"/>
    <w:rsid w:val="00CC07FF"/>
    <w:rsid w:val="00CC2BB2"/>
    <w:rsid w:val="00CC2F16"/>
    <w:rsid w:val="00CC3243"/>
    <w:rsid w:val="00CC33E6"/>
    <w:rsid w:val="00CC4AA8"/>
    <w:rsid w:val="00CC6DFE"/>
    <w:rsid w:val="00CC76FD"/>
    <w:rsid w:val="00CD184F"/>
    <w:rsid w:val="00CD1E30"/>
    <w:rsid w:val="00CD68E8"/>
    <w:rsid w:val="00CE503F"/>
    <w:rsid w:val="00CF4E4E"/>
    <w:rsid w:val="00CF5E61"/>
    <w:rsid w:val="00D01DDB"/>
    <w:rsid w:val="00D02D49"/>
    <w:rsid w:val="00D038A9"/>
    <w:rsid w:val="00D04C7C"/>
    <w:rsid w:val="00D074E8"/>
    <w:rsid w:val="00D0791B"/>
    <w:rsid w:val="00D1063E"/>
    <w:rsid w:val="00D118BF"/>
    <w:rsid w:val="00D20B25"/>
    <w:rsid w:val="00D23EEC"/>
    <w:rsid w:val="00D32902"/>
    <w:rsid w:val="00D36060"/>
    <w:rsid w:val="00D4417E"/>
    <w:rsid w:val="00D47F74"/>
    <w:rsid w:val="00D529FA"/>
    <w:rsid w:val="00D55FD3"/>
    <w:rsid w:val="00D668AD"/>
    <w:rsid w:val="00D6763E"/>
    <w:rsid w:val="00D75AF9"/>
    <w:rsid w:val="00D81924"/>
    <w:rsid w:val="00D81F28"/>
    <w:rsid w:val="00D8404A"/>
    <w:rsid w:val="00D8539A"/>
    <w:rsid w:val="00D958B0"/>
    <w:rsid w:val="00D96DF4"/>
    <w:rsid w:val="00DA1A5A"/>
    <w:rsid w:val="00DA7912"/>
    <w:rsid w:val="00DB5A0A"/>
    <w:rsid w:val="00DC0781"/>
    <w:rsid w:val="00DC105E"/>
    <w:rsid w:val="00DC1641"/>
    <w:rsid w:val="00DC7988"/>
    <w:rsid w:val="00DD1BA4"/>
    <w:rsid w:val="00DD306D"/>
    <w:rsid w:val="00DD3DBD"/>
    <w:rsid w:val="00DD4E4F"/>
    <w:rsid w:val="00DD6342"/>
    <w:rsid w:val="00DE0C61"/>
    <w:rsid w:val="00DE2313"/>
    <w:rsid w:val="00DE3DB2"/>
    <w:rsid w:val="00DE3FDC"/>
    <w:rsid w:val="00DE54C9"/>
    <w:rsid w:val="00DE6BAF"/>
    <w:rsid w:val="00DE7638"/>
    <w:rsid w:val="00DF0769"/>
    <w:rsid w:val="00DF3E83"/>
    <w:rsid w:val="00E02B36"/>
    <w:rsid w:val="00E04E1F"/>
    <w:rsid w:val="00E136CC"/>
    <w:rsid w:val="00E25599"/>
    <w:rsid w:val="00E3548B"/>
    <w:rsid w:val="00E4059F"/>
    <w:rsid w:val="00E41CDB"/>
    <w:rsid w:val="00E41EC8"/>
    <w:rsid w:val="00E45AF5"/>
    <w:rsid w:val="00E4669B"/>
    <w:rsid w:val="00E52EBC"/>
    <w:rsid w:val="00E57CF3"/>
    <w:rsid w:val="00E61BFF"/>
    <w:rsid w:val="00E64018"/>
    <w:rsid w:val="00E64E61"/>
    <w:rsid w:val="00E74D29"/>
    <w:rsid w:val="00E75D8E"/>
    <w:rsid w:val="00E76CAD"/>
    <w:rsid w:val="00E76E2D"/>
    <w:rsid w:val="00E831E2"/>
    <w:rsid w:val="00E93155"/>
    <w:rsid w:val="00E968AA"/>
    <w:rsid w:val="00E9790C"/>
    <w:rsid w:val="00EA287A"/>
    <w:rsid w:val="00EA32A3"/>
    <w:rsid w:val="00EA4328"/>
    <w:rsid w:val="00EA45C3"/>
    <w:rsid w:val="00EA702A"/>
    <w:rsid w:val="00EA74A4"/>
    <w:rsid w:val="00EB0438"/>
    <w:rsid w:val="00EC29D3"/>
    <w:rsid w:val="00EC45A5"/>
    <w:rsid w:val="00EC5DF3"/>
    <w:rsid w:val="00ED1492"/>
    <w:rsid w:val="00ED2984"/>
    <w:rsid w:val="00ED4E46"/>
    <w:rsid w:val="00ED713A"/>
    <w:rsid w:val="00ED733F"/>
    <w:rsid w:val="00EE1080"/>
    <w:rsid w:val="00EE428E"/>
    <w:rsid w:val="00EF4031"/>
    <w:rsid w:val="00EF4346"/>
    <w:rsid w:val="00EF7119"/>
    <w:rsid w:val="00F010B4"/>
    <w:rsid w:val="00F02356"/>
    <w:rsid w:val="00F0317C"/>
    <w:rsid w:val="00F05579"/>
    <w:rsid w:val="00F105C6"/>
    <w:rsid w:val="00F15053"/>
    <w:rsid w:val="00F16126"/>
    <w:rsid w:val="00F16224"/>
    <w:rsid w:val="00F173B7"/>
    <w:rsid w:val="00F21B04"/>
    <w:rsid w:val="00F265E2"/>
    <w:rsid w:val="00F2662B"/>
    <w:rsid w:val="00F35EF2"/>
    <w:rsid w:val="00F36953"/>
    <w:rsid w:val="00F4482F"/>
    <w:rsid w:val="00F454F2"/>
    <w:rsid w:val="00F45FCF"/>
    <w:rsid w:val="00F479DD"/>
    <w:rsid w:val="00F622CF"/>
    <w:rsid w:val="00F741C5"/>
    <w:rsid w:val="00F758EA"/>
    <w:rsid w:val="00F7659D"/>
    <w:rsid w:val="00F83CB7"/>
    <w:rsid w:val="00F84C20"/>
    <w:rsid w:val="00F86921"/>
    <w:rsid w:val="00F9048E"/>
    <w:rsid w:val="00F91954"/>
    <w:rsid w:val="00F97052"/>
    <w:rsid w:val="00FB2C1B"/>
    <w:rsid w:val="00FC2E00"/>
    <w:rsid w:val="00FC3982"/>
    <w:rsid w:val="00FC600B"/>
    <w:rsid w:val="00FD01E4"/>
    <w:rsid w:val="00FD0855"/>
    <w:rsid w:val="00FD7989"/>
    <w:rsid w:val="00FD7D94"/>
    <w:rsid w:val="00FE4CBC"/>
    <w:rsid w:val="00FE5600"/>
    <w:rsid w:val="00FE681E"/>
    <w:rsid w:val="00FF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4A040"/>
  <w14:defaultImageDpi w14:val="32767"/>
  <w15:chartTrackingRefBased/>
  <w15:docId w15:val="{569BDA08-CD84-6D41-8AEA-D7E09A83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9B0307"/>
    <w:pPr>
      <w:keepNext/>
      <w:keepLines/>
      <w:spacing w:before="240" w:line="276" w:lineRule="auto"/>
      <w:outlineLvl w:val="0"/>
    </w:pPr>
    <w:rPr>
      <w:rFonts w:ascii="Garamond" w:eastAsiaTheme="majorEastAsia" w:hAnsi="Garamond" w:cstheme="majorBidi"/>
      <w:color w:val="2F5496" w:themeColor="accent1" w:themeShade="BF"/>
      <w:sz w:val="32"/>
      <w:szCs w:val="32"/>
      <w:lang w:val="es-CO"/>
    </w:rPr>
  </w:style>
  <w:style w:type="paragraph" w:styleId="Ttulo2">
    <w:name w:val="heading 2"/>
    <w:basedOn w:val="Normal"/>
    <w:next w:val="Normal"/>
    <w:link w:val="Ttulo2Car"/>
    <w:uiPriority w:val="9"/>
    <w:unhideWhenUsed/>
    <w:qFormat/>
    <w:rsid w:val="009B0307"/>
    <w:pPr>
      <w:keepNext/>
      <w:keepLines/>
      <w:spacing w:before="40" w:line="360" w:lineRule="auto"/>
      <w:outlineLvl w:val="1"/>
    </w:pPr>
    <w:rPr>
      <w:rFonts w:ascii="Garamond" w:eastAsiaTheme="majorEastAsia" w:hAnsi="Garamond" w:cstheme="majorBidi"/>
      <w:color w:val="2F5496"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E0454"/>
    <w:rPr>
      <w:sz w:val="20"/>
      <w:szCs w:val="20"/>
      <w:lang w:val="es-CO"/>
    </w:rPr>
  </w:style>
  <w:style w:type="character" w:customStyle="1" w:styleId="TextonotapieCar">
    <w:name w:val="Texto nota pie Car"/>
    <w:basedOn w:val="Fuentedeprrafopredeter"/>
    <w:link w:val="Textonotapie"/>
    <w:uiPriority w:val="99"/>
    <w:semiHidden/>
    <w:rsid w:val="00BE0454"/>
    <w:rPr>
      <w:sz w:val="20"/>
      <w:szCs w:val="20"/>
      <w:lang w:val="es-CO"/>
    </w:rPr>
  </w:style>
  <w:style w:type="character" w:styleId="Refdenotaalpie">
    <w:name w:val="footnote reference"/>
    <w:basedOn w:val="Fuentedeprrafopredeter"/>
    <w:uiPriority w:val="99"/>
    <w:semiHidden/>
    <w:unhideWhenUsed/>
    <w:rsid w:val="00BE0454"/>
    <w:rPr>
      <w:vertAlign w:val="superscript"/>
    </w:rPr>
  </w:style>
  <w:style w:type="paragraph" w:styleId="Textodeglobo">
    <w:name w:val="Balloon Text"/>
    <w:basedOn w:val="Normal"/>
    <w:link w:val="TextodegloboCar"/>
    <w:uiPriority w:val="99"/>
    <w:semiHidden/>
    <w:unhideWhenUsed/>
    <w:rsid w:val="00BD1083"/>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D1083"/>
    <w:rPr>
      <w:rFonts w:ascii="Times New Roman" w:hAnsi="Times New Roman" w:cs="Times New Roman"/>
      <w:sz w:val="18"/>
      <w:szCs w:val="18"/>
      <w:lang w:val="es-ES"/>
    </w:rPr>
  </w:style>
  <w:style w:type="character" w:styleId="Refdecomentario">
    <w:name w:val="annotation reference"/>
    <w:basedOn w:val="Fuentedeprrafopredeter"/>
    <w:uiPriority w:val="99"/>
    <w:semiHidden/>
    <w:unhideWhenUsed/>
    <w:rsid w:val="006A518E"/>
    <w:rPr>
      <w:sz w:val="16"/>
      <w:szCs w:val="16"/>
    </w:rPr>
  </w:style>
  <w:style w:type="paragraph" w:styleId="Textocomentario">
    <w:name w:val="annotation text"/>
    <w:basedOn w:val="Normal"/>
    <w:link w:val="TextocomentarioCar"/>
    <w:uiPriority w:val="99"/>
    <w:semiHidden/>
    <w:unhideWhenUsed/>
    <w:rsid w:val="006A518E"/>
    <w:rPr>
      <w:sz w:val="20"/>
      <w:szCs w:val="20"/>
    </w:rPr>
  </w:style>
  <w:style w:type="character" w:customStyle="1" w:styleId="TextocomentarioCar">
    <w:name w:val="Texto comentario Car"/>
    <w:basedOn w:val="Fuentedeprrafopredeter"/>
    <w:link w:val="Textocomentario"/>
    <w:uiPriority w:val="99"/>
    <w:semiHidden/>
    <w:rsid w:val="006A518E"/>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6A518E"/>
    <w:rPr>
      <w:b/>
      <w:bCs/>
    </w:rPr>
  </w:style>
  <w:style w:type="character" w:customStyle="1" w:styleId="AsuntodelcomentarioCar">
    <w:name w:val="Asunto del comentario Car"/>
    <w:basedOn w:val="TextocomentarioCar"/>
    <w:link w:val="Asuntodelcomentario"/>
    <w:uiPriority w:val="99"/>
    <w:semiHidden/>
    <w:rsid w:val="006A518E"/>
    <w:rPr>
      <w:b/>
      <w:bCs/>
      <w:sz w:val="20"/>
      <w:szCs w:val="20"/>
      <w:lang w:val="es-ES"/>
    </w:rPr>
  </w:style>
  <w:style w:type="paragraph" w:styleId="Subttulo">
    <w:name w:val="Subtitle"/>
    <w:basedOn w:val="Normal"/>
    <w:next w:val="Normal"/>
    <w:link w:val="SubttuloCar"/>
    <w:uiPriority w:val="11"/>
    <w:qFormat/>
    <w:rsid w:val="007736C3"/>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7736C3"/>
    <w:rPr>
      <w:rFonts w:eastAsiaTheme="minorEastAsia"/>
      <w:color w:val="5A5A5A" w:themeColor="text1" w:themeTint="A5"/>
      <w:spacing w:val="15"/>
      <w:sz w:val="22"/>
      <w:szCs w:val="22"/>
      <w:lang w:val="es-ES"/>
    </w:rPr>
  </w:style>
  <w:style w:type="character" w:customStyle="1" w:styleId="Ttulo2Car">
    <w:name w:val="Título 2 Car"/>
    <w:basedOn w:val="Fuentedeprrafopredeter"/>
    <w:link w:val="Ttulo2"/>
    <w:uiPriority w:val="9"/>
    <w:rsid w:val="009B0307"/>
    <w:rPr>
      <w:rFonts w:ascii="Garamond" w:eastAsiaTheme="majorEastAsia" w:hAnsi="Garamond" w:cstheme="majorBidi"/>
      <w:color w:val="2F5496" w:themeColor="accent1" w:themeShade="BF"/>
      <w:sz w:val="28"/>
      <w:szCs w:val="28"/>
      <w:lang w:val="es-MX"/>
    </w:rPr>
  </w:style>
  <w:style w:type="paragraph" w:customStyle="1" w:styleId="Grfica">
    <w:name w:val="Gráfica"/>
    <w:basedOn w:val="Normal"/>
    <w:link w:val="GrficaCar"/>
    <w:qFormat/>
    <w:rsid w:val="00D81924"/>
  </w:style>
  <w:style w:type="paragraph" w:styleId="NormalWeb">
    <w:name w:val="Normal (Web)"/>
    <w:basedOn w:val="Normal"/>
    <w:uiPriority w:val="99"/>
    <w:semiHidden/>
    <w:unhideWhenUsed/>
    <w:rsid w:val="00D81924"/>
    <w:pPr>
      <w:spacing w:before="100" w:beforeAutospacing="1" w:after="100" w:afterAutospacing="1"/>
    </w:pPr>
    <w:rPr>
      <w:rFonts w:ascii="Times New Roman" w:eastAsia="Times New Roman" w:hAnsi="Times New Roman" w:cs="Times New Roman"/>
      <w:lang w:val="es-CO" w:eastAsia="es-CO"/>
    </w:rPr>
  </w:style>
  <w:style w:type="character" w:customStyle="1" w:styleId="GrficaCar">
    <w:name w:val="Gráfica Car"/>
    <w:basedOn w:val="Fuentedeprrafopredeter"/>
    <w:link w:val="Grfica"/>
    <w:rsid w:val="00D81924"/>
    <w:rPr>
      <w:lang w:val="es-ES"/>
    </w:rPr>
  </w:style>
  <w:style w:type="paragraph" w:styleId="Descripcin">
    <w:name w:val="caption"/>
    <w:basedOn w:val="Normal"/>
    <w:next w:val="Normal"/>
    <w:uiPriority w:val="35"/>
    <w:semiHidden/>
    <w:unhideWhenUsed/>
    <w:qFormat/>
    <w:rsid w:val="00C70088"/>
    <w:pPr>
      <w:spacing w:after="200"/>
    </w:pPr>
    <w:rPr>
      <w:i/>
      <w:iCs/>
      <w:color w:val="44546A" w:themeColor="text2"/>
      <w:sz w:val="18"/>
      <w:szCs w:val="18"/>
    </w:rPr>
  </w:style>
  <w:style w:type="character" w:customStyle="1" w:styleId="Estilo1">
    <w:name w:val="Estilo1"/>
    <w:basedOn w:val="GrficaCar"/>
    <w:uiPriority w:val="1"/>
    <w:qFormat/>
    <w:rsid w:val="00C70088"/>
    <w:rPr>
      <w:rFonts w:asciiTheme="majorHAnsi" w:hAnsiTheme="majorHAnsi"/>
      <w:sz w:val="28"/>
      <w:lang w:val="es-ES"/>
    </w:rPr>
  </w:style>
  <w:style w:type="character" w:customStyle="1" w:styleId="Ttulo1Car">
    <w:name w:val="Título 1 Car"/>
    <w:basedOn w:val="Fuentedeprrafopredeter"/>
    <w:link w:val="Ttulo1"/>
    <w:uiPriority w:val="9"/>
    <w:rsid w:val="009B0307"/>
    <w:rPr>
      <w:rFonts w:ascii="Garamond" w:eastAsiaTheme="majorEastAsia" w:hAnsi="Garamond" w:cstheme="majorBidi"/>
      <w:color w:val="2F5496" w:themeColor="accent1" w:themeShade="BF"/>
      <w:sz w:val="32"/>
      <w:szCs w:val="32"/>
      <w:lang w:val="es-CO"/>
    </w:rPr>
  </w:style>
  <w:style w:type="paragraph" w:customStyle="1" w:styleId="Estilo2">
    <w:name w:val="Estilo2"/>
    <w:basedOn w:val="Normal"/>
    <w:link w:val="Estilo2Car"/>
    <w:qFormat/>
    <w:rsid w:val="001D0243"/>
    <w:pPr>
      <w:spacing w:line="360" w:lineRule="auto"/>
      <w:jc w:val="center"/>
    </w:pPr>
    <w:rPr>
      <w:rFonts w:ascii="Garamond" w:hAnsi="Garamond"/>
      <w:b/>
      <w:sz w:val="20"/>
      <w:szCs w:val="20"/>
      <w:lang w:val="es-MX"/>
    </w:rPr>
  </w:style>
  <w:style w:type="paragraph" w:styleId="Encabezado">
    <w:name w:val="header"/>
    <w:basedOn w:val="Normal"/>
    <w:link w:val="EncabezadoCar"/>
    <w:uiPriority w:val="99"/>
    <w:unhideWhenUsed/>
    <w:rsid w:val="00A8594B"/>
    <w:pPr>
      <w:tabs>
        <w:tab w:val="center" w:pos="4419"/>
        <w:tab w:val="right" w:pos="8838"/>
      </w:tabs>
    </w:pPr>
  </w:style>
  <w:style w:type="character" w:customStyle="1" w:styleId="Estilo2Car">
    <w:name w:val="Estilo2 Car"/>
    <w:basedOn w:val="Fuentedeprrafopredeter"/>
    <w:link w:val="Estilo2"/>
    <w:rsid w:val="001D0243"/>
    <w:rPr>
      <w:rFonts w:ascii="Garamond" w:hAnsi="Garamond"/>
      <w:b/>
      <w:sz w:val="20"/>
      <w:szCs w:val="20"/>
      <w:lang w:val="es-MX"/>
    </w:rPr>
  </w:style>
  <w:style w:type="character" w:customStyle="1" w:styleId="EncabezadoCar">
    <w:name w:val="Encabezado Car"/>
    <w:basedOn w:val="Fuentedeprrafopredeter"/>
    <w:link w:val="Encabezado"/>
    <w:uiPriority w:val="99"/>
    <w:rsid w:val="00A8594B"/>
    <w:rPr>
      <w:lang w:val="es-ES"/>
    </w:rPr>
  </w:style>
  <w:style w:type="paragraph" w:styleId="Piedepgina">
    <w:name w:val="footer"/>
    <w:basedOn w:val="Normal"/>
    <w:link w:val="PiedepginaCar"/>
    <w:uiPriority w:val="99"/>
    <w:unhideWhenUsed/>
    <w:rsid w:val="00A8594B"/>
    <w:pPr>
      <w:tabs>
        <w:tab w:val="center" w:pos="4419"/>
        <w:tab w:val="right" w:pos="8838"/>
      </w:tabs>
    </w:pPr>
  </w:style>
  <w:style w:type="character" w:customStyle="1" w:styleId="PiedepginaCar">
    <w:name w:val="Pie de página Car"/>
    <w:basedOn w:val="Fuentedeprrafopredeter"/>
    <w:link w:val="Piedepgina"/>
    <w:uiPriority w:val="99"/>
    <w:rsid w:val="00A8594B"/>
    <w:rPr>
      <w:lang w:val="es-ES"/>
    </w:rPr>
  </w:style>
  <w:style w:type="paragraph" w:styleId="Sinespaciado">
    <w:name w:val="No Spacing"/>
    <w:link w:val="SinespaciadoCar"/>
    <w:uiPriority w:val="1"/>
    <w:qFormat/>
    <w:rsid w:val="009B5528"/>
    <w:rPr>
      <w:rFonts w:eastAsiaTheme="minorEastAsia"/>
      <w:sz w:val="22"/>
      <w:szCs w:val="22"/>
      <w:lang w:eastAsia="zh-CN"/>
    </w:rPr>
  </w:style>
  <w:style w:type="character" w:customStyle="1" w:styleId="SinespaciadoCar">
    <w:name w:val="Sin espaciado Car"/>
    <w:basedOn w:val="Fuentedeprrafopredeter"/>
    <w:link w:val="Sinespaciado"/>
    <w:uiPriority w:val="1"/>
    <w:rsid w:val="009B5528"/>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5630">
      <w:bodyDiv w:val="1"/>
      <w:marLeft w:val="0"/>
      <w:marRight w:val="0"/>
      <w:marTop w:val="0"/>
      <w:marBottom w:val="0"/>
      <w:divBdr>
        <w:top w:val="none" w:sz="0" w:space="0" w:color="auto"/>
        <w:left w:val="none" w:sz="0" w:space="0" w:color="auto"/>
        <w:bottom w:val="none" w:sz="0" w:space="0" w:color="auto"/>
        <w:right w:val="none" w:sz="0" w:space="0" w:color="auto"/>
      </w:divBdr>
    </w:div>
    <w:div w:id="204827879">
      <w:bodyDiv w:val="1"/>
      <w:marLeft w:val="0"/>
      <w:marRight w:val="0"/>
      <w:marTop w:val="0"/>
      <w:marBottom w:val="0"/>
      <w:divBdr>
        <w:top w:val="none" w:sz="0" w:space="0" w:color="auto"/>
        <w:left w:val="none" w:sz="0" w:space="0" w:color="auto"/>
        <w:bottom w:val="none" w:sz="0" w:space="0" w:color="auto"/>
        <w:right w:val="none" w:sz="0" w:space="0" w:color="auto"/>
      </w:divBdr>
    </w:div>
    <w:div w:id="218714914">
      <w:bodyDiv w:val="1"/>
      <w:marLeft w:val="0"/>
      <w:marRight w:val="0"/>
      <w:marTop w:val="0"/>
      <w:marBottom w:val="0"/>
      <w:divBdr>
        <w:top w:val="none" w:sz="0" w:space="0" w:color="auto"/>
        <w:left w:val="none" w:sz="0" w:space="0" w:color="auto"/>
        <w:bottom w:val="none" w:sz="0" w:space="0" w:color="auto"/>
        <w:right w:val="none" w:sz="0" w:space="0" w:color="auto"/>
      </w:divBdr>
    </w:div>
    <w:div w:id="481772594">
      <w:bodyDiv w:val="1"/>
      <w:marLeft w:val="0"/>
      <w:marRight w:val="0"/>
      <w:marTop w:val="0"/>
      <w:marBottom w:val="0"/>
      <w:divBdr>
        <w:top w:val="none" w:sz="0" w:space="0" w:color="auto"/>
        <w:left w:val="none" w:sz="0" w:space="0" w:color="auto"/>
        <w:bottom w:val="none" w:sz="0" w:space="0" w:color="auto"/>
        <w:right w:val="none" w:sz="0" w:space="0" w:color="auto"/>
      </w:divBdr>
    </w:div>
    <w:div w:id="514224748">
      <w:bodyDiv w:val="1"/>
      <w:marLeft w:val="0"/>
      <w:marRight w:val="0"/>
      <w:marTop w:val="0"/>
      <w:marBottom w:val="0"/>
      <w:divBdr>
        <w:top w:val="none" w:sz="0" w:space="0" w:color="auto"/>
        <w:left w:val="none" w:sz="0" w:space="0" w:color="auto"/>
        <w:bottom w:val="none" w:sz="0" w:space="0" w:color="auto"/>
        <w:right w:val="none" w:sz="0" w:space="0" w:color="auto"/>
      </w:divBdr>
    </w:div>
    <w:div w:id="875003684">
      <w:bodyDiv w:val="1"/>
      <w:marLeft w:val="0"/>
      <w:marRight w:val="0"/>
      <w:marTop w:val="0"/>
      <w:marBottom w:val="0"/>
      <w:divBdr>
        <w:top w:val="none" w:sz="0" w:space="0" w:color="auto"/>
        <w:left w:val="none" w:sz="0" w:space="0" w:color="auto"/>
        <w:bottom w:val="none" w:sz="0" w:space="0" w:color="auto"/>
        <w:right w:val="none" w:sz="0" w:space="0" w:color="auto"/>
      </w:divBdr>
    </w:div>
    <w:div w:id="877280405">
      <w:bodyDiv w:val="1"/>
      <w:marLeft w:val="0"/>
      <w:marRight w:val="0"/>
      <w:marTop w:val="0"/>
      <w:marBottom w:val="0"/>
      <w:divBdr>
        <w:top w:val="none" w:sz="0" w:space="0" w:color="auto"/>
        <w:left w:val="none" w:sz="0" w:space="0" w:color="auto"/>
        <w:bottom w:val="none" w:sz="0" w:space="0" w:color="auto"/>
        <w:right w:val="none" w:sz="0" w:space="0" w:color="auto"/>
      </w:divBdr>
    </w:div>
    <w:div w:id="913047607">
      <w:bodyDiv w:val="1"/>
      <w:marLeft w:val="0"/>
      <w:marRight w:val="0"/>
      <w:marTop w:val="0"/>
      <w:marBottom w:val="0"/>
      <w:divBdr>
        <w:top w:val="none" w:sz="0" w:space="0" w:color="auto"/>
        <w:left w:val="none" w:sz="0" w:space="0" w:color="auto"/>
        <w:bottom w:val="none" w:sz="0" w:space="0" w:color="auto"/>
        <w:right w:val="none" w:sz="0" w:space="0" w:color="auto"/>
      </w:divBdr>
    </w:div>
    <w:div w:id="1013384325">
      <w:bodyDiv w:val="1"/>
      <w:marLeft w:val="0"/>
      <w:marRight w:val="0"/>
      <w:marTop w:val="0"/>
      <w:marBottom w:val="0"/>
      <w:divBdr>
        <w:top w:val="none" w:sz="0" w:space="0" w:color="auto"/>
        <w:left w:val="none" w:sz="0" w:space="0" w:color="auto"/>
        <w:bottom w:val="none" w:sz="0" w:space="0" w:color="auto"/>
        <w:right w:val="none" w:sz="0" w:space="0" w:color="auto"/>
      </w:divBdr>
    </w:div>
    <w:div w:id="1039861511">
      <w:bodyDiv w:val="1"/>
      <w:marLeft w:val="0"/>
      <w:marRight w:val="0"/>
      <w:marTop w:val="0"/>
      <w:marBottom w:val="0"/>
      <w:divBdr>
        <w:top w:val="none" w:sz="0" w:space="0" w:color="auto"/>
        <w:left w:val="none" w:sz="0" w:space="0" w:color="auto"/>
        <w:bottom w:val="none" w:sz="0" w:space="0" w:color="auto"/>
        <w:right w:val="none" w:sz="0" w:space="0" w:color="auto"/>
      </w:divBdr>
    </w:div>
    <w:div w:id="1059208884">
      <w:bodyDiv w:val="1"/>
      <w:marLeft w:val="0"/>
      <w:marRight w:val="0"/>
      <w:marTop w:val="0"/>
      <w:marBottom w:val="0"/>
      <w:divBdr>
        <w:top w:val="none" w:sz="0" w:space="0" w:color="auto"/>
        <w:left w:val="none" w:sz="0" w:space="0" w:color="auto"/>
        <w:bottom w:val="none" w:sz="0" w:space="0" w:color="auto"/>
        <w:right w:val="none" w:sz="0" w:space="0" w:color="auto"/>
      </w:divBdr>
    </w:div>
    <w:div w:id="1181118162">
      <w:bodyDiv w:val="1"/>
      <w:marLeft w:val="0"/>
      <w:marRight w:val="0"/>
      <w:marTop w:val="0"/>
      <w:marBottom w:val="0"/>
      <w:divBdr>
        <w:top w:val="none" w:sz="0" w:space="0" w:color="auto"/>
        <w:left w:val="none" w:sz="0" w:space="0" w:color="auto"/>
        <w:bottom w:val="none" w:sz="0" w:space="0" w:color="auto"/>
        <w:right w:val="none" w:sz="0" w:space="0" w:color="auto"/>
      </w:divBdr>
    </w:div>
    <w:div w:id="1215846075">
      <w:bodyDiv w:val="1"/>
      <w:marLeft w:val="0"/>
      <w:marRight w:val="0"/>
      <w:marTop w:val="0"/>
      <w:marBottom w:val="0"/>
      <w:divBdr>
        <w:top w:val="none" w:sz="0" w:space="0" w:color="auto"/>
        <w:left w:val="none" w:sz="0" w:space="0" w:color="auto"/>
        <w:bottom w:val="none" w:sz="0" w:space="0" w:color="auto"/>
        <w:right w:val="none" w:sz="0" w:space="0" w:color="auto"/>
      </w:divBdr>
    </w:div>
    <w:div w:id="1341814421">
      <w:bodyDiv w:val="1"/>
      <w:marLeft w:val="0"/>
      <w:marRight w:val="0"/>
      <w:marTop w:val="0"/>
      <w:marBottom w:val="0"/>
      <w:divBdr>
        <w:top w:val="none" w:sz="0" w:space="0" w:color="auto"/>
        <w:left w:val="none" w:sz="0" w:space="0" w:color="auto"/>
        <w:bottom w:val="none" w:sz="0" w:space="0" w:color="auto"/>
        <w:right w:val="none" w:sz="0" w:space="0" w:color="auto"/>
      </w:divBdr>
    </w:div>
    <w:div w:id="1389957081">
      <w:bodyDiv w:val="1"/>
      <w:marLeft w:val="0"/>
      <w:marRight w:val="0"/>
      <w:marTop w:val="0"/>
      <w:marBottom w:val="0"/>
      <w:divBdr>
        <w:top w:val="none" w:sz="0" w:space="0" w:color="auto"/>
        <w:left w:val="none" w:sz="0" w:space="0" w:color="auto"/>
        <w:bottom w:val="none" w:sz="0" w:space="0" w:color="auto"/>
        <w:right w:val="none" w:sz="0" w:space="0" w:color="auto"/>
      </w:divBdr>
    </w:div>
    <w:div w:id="1401561731">
      <w:bodyDiv w:val="1"/>
      <w:marLeft w:val="0"/>
      <w:marRight w:val="0"/>
      <w:marTop w:val="0"/>
      <w:marBottom w:val="0"/>
      <w:divBdr>
        <w:top w:val="none" w:sz="0" w:space="0" w:color="auto"/>
        <w:left w:val="none" w:sz="0" w:space="0" w:color="auto"/>
        <w:bottom w:val="none" w:sz="0" w:space="0" w:color="auto"/>
        <w:right w:val="none" w:sz="0" w:space="0" w:color="auto"/>
      </w:divBdr>
    </w:div>
    <w:div w:id="1444038391">
      <w:bodyDiv w:val="1"/>
      <w:marLeft w:val="0"/>
      <w:marRight w:val="0"/>
      <w:marTop w:val="0"/>
      <w:marBottom w:val="0"/>
      <w:divBdr>
        <w:top w:val="none" w:sz="0" w:space="0" w:color="auto"/>
        <w:left w:val="none" w:sz="0" w:space="0" w:color="auto"/>
        <w:bottom w:val="none" w:sz="0" w:space="0" w:color="auto"/>
        <w:right w:val="none" w:sz="0" w:space="0" w:color="auto"/>
      </w:divBdr>
    </w:div>
    <w:div w:id="1502429206">
      <w:bodyDiv w:val="1"/>
      <w:marLeft w:val="0"/>
      <w:marRight w:val="0"/>
      <w:marTop w:val="0"/>
      <w:marBottom w:val="0"/>
      <w:divBdr>
        <w:top w:val="none" w:sz="0" w:space="0" w:color="auto"/>
        <w:left w:val="none" w:sz="0" w:space="0" w:color="auto"/>
        <w:bottom w:val="none" w:sz="0" w:space="0" w:color="auto"/>
        <w:right w:val="none" w:sz="0" w:space="0" w:color="auto"/>
      </w:divBdr>
    </w:div>
    <w:div w:id="1524325748">
      <w:bodyDiv w:val="1"/>
      <w:marLeft w:val="0"/>
      <w:marRight w:val="0"/>
      <w:marTop w:val="0"/>
      <w:marBottom w:val="0"/>
      <w:divBdr>
        <w:top w:val="none" w:sz="0" w:space="0" w:color="auto"/>
        <w:left w:val="none" w:sz="0" w:space="0" w:color="auto"/>
        <w:bottom w:val="none" w:sz="0" w:space="0" w:color="auto"/>
        <w:right w:val="none" w:sz="0" w:space="0" w:color="auto"/>
      </w:divBdr>
    </w:div>
    <w:div w:id="1570505291">
      <w:bodyDiv w:val="1"/>
      <w:marLeft w:val="0"/>
      <w:marRight w:val="0"/>
      <w:marTop w:val="0"/>
      <w:marBottom w:val="0"/>
      <w:divBdr>
        <w:top w:val="none" w:sz="0" w:space="0" w:color="auto"/>
        <w:left w:val="none" w:sz="0" w:space="0" w:color="auto"/>
        <w:bottom w:val="none" w:sz="0" w:space="0" w:color="auto"/>
        <w:right w:val="none" w:sz="0" w:space="0" w:color="auto"/>
      </w:divBdr>
    </w:div>
    <w:div w:id="1811441943">
      <w:bodyDiv w:val="1"/>
      <w:marLeft w:val="0"/>
      <w:marRight w:val="0"/>
      <w:marTop w:val="0"/>
      <w:marBottom w:val="0"/>
      <w:divBdr>
        <w:top w:val="none" w:sz="0" w:space="0" w:color="auto"/>
        <w:left w:val="none" w:sz="0" w:space="0" w:color="auto"/>
        <w:bottom w:val="none" w:sz="0" w:space="0" w:color="auto"/>
        <w:right w:val="none" w:sz="0" w:space="0" w:color="auto"/>
      </w:divBdr>
    </w:div>
    <w:div w:id="1815178852">
      <w:bodyDiv w:val="1"/>
      <w:marLeft w:val="0"/>
      <w:marRight w:val="0"/>
      <w:marTop w:val="0"/>
      <w:marBottom w:val="0"/>
      <w:divBdr>
        <w:top w:val="none" w:sz="0" w:space="0" w:color="auto"/>
        <w:left w:val="none" w:sz="0" w:space="0" w:color="auto"/>
        <w:bottom w:val="none" w:sz="0" w:space="0" w:color="auto"/>
        <w:right w:val="none" w:sz="0" w:space="0" w:color="auto"/>
      </w:divBdr>
    </w:div>
    <w:div w:id="193247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20(2).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20(2).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20(2).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carolpinzonmasmela\Downloads\Informacio&#769;n%20lgbti_230419%20hogar%20(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carolpinzonmasmela\Downloads\Informacio&#769;n%20lgbti_230419%20hogar%20(2).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Users\carolpinzonmasmela\Documents\SDP\Investigaciones\Familia%20y%20LGBT\Informacio&#769;n%20lgbti_230419%20hoga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Users\carolpinzonmasmela\Downloads\Informacio&#769;n%20lgbti_230419%20hogar%20(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Users\carolpinzonmasmela\Documents\SDP\Investigaciones\Familia%20y%20LGBT\Informacio&#769;n%20lgbti_230419%20hogar%20(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Users\carolpinzonmasmela\Downloads\Informacio&#769;n%20lgbti_230419%20hogar%20(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49737350792315"/>
          <c:y val="2.2633926795085482E-2"/>
          <c:w val="0.49151695843844762"/>
          <c:h val="0.95473214640982906"/>
        </c:manualLayout>
      </c:layout>
      <c:barChart>
        <c:barDir val="bar"/>
        <c:grouping val="clustered"/>
        <c:varyColors val="0"/>
        <c:ser>
          <c:idx val="0"/>
          <c:order val="0"/>
          <c:tx>
            <c:strRef>
              <c:f>a!$P$1</c:f>
              <c:strCache>
                <c:ptCount val="1"/>
                <c:pt idx="0">
                  <c:v>Porcentaje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a!$O$2:$O$10</c:f>
              <c:strCache>
                <c:ptCount val="9"/>
                <c:pt idx="0">
                  <c:v>Nuclear monoparental masculina</c:v>
                </c:pt>
                <c:pt idx="1">
                  <c:v>Familiar Compuesto</c:v>
                </c:pt>
                <c:pt idx="2">
                  <c:v>No familares sin núcleo</c:v>
                </c:pt>
                <c:pt idx="3">
                  <c:v>Familiar sin núcleo</c:v>
                </c:pt>
                <c:pt idx="4">
                  <c:v>Nuclear monoparental femenina</c:v>
                </c:pt>
                <c:pt idx="5">
                  <c:v>Familiar Extenso</c:v>
                </c:pt>
                <c:pt idx="6">
                  <c:v>Nuclear sin hijos</c:v>
                </c:pt>
                <c:pt idx="7">
                  <c:v>Nuclear con hijos</c:v>
                </c:pt>
                <c:pt idx="8">
                  <c:v>Unipersonal</c:v>
                </c:pt>
              </c:strCache>
            </c:strRef>
          </c:cat>
          <c:val>
            <c:numRef>
              <c:f>a!$P$2:$P$10</c:f>
              <c:numCache>
                <c:formatCode>0.00%</c:formatCode>
                <c:ptCount val="9"/>
                <c:pt idx="0">
                  <c:v>1.385445004642966E-2</c:v>
                </c:pt>
                <c:pt idx="1">
                  <c:v>3.1633809882401866E-2</c:v>
                </c:pt>
                <c:pt idx="2">
                  <c:v>5.7378415789890801E-2</c:v>
                </c:pt>
                <c:pt idx="3">
                  <c:v>6.5811715159078049E-2</c:v>
                </c:pt>
                <c:pt idx="4">
                  <c:v>7.3585088423718012E-2</c:v>
                </c:pt>
                <c:pt idx="5">
                  <c:v>0.1248750773709308</c:v>
                </c:pt>
                <c:pt idx="6">
                  <c:v>0.20295263663372609</c:v>
                </c:pt>
                <c:pt idx="7">
                  <c:v>0.20813917762831785</c:v>
                </c:pt>
                <c:pt idx="8">
                  <c:v>0.22176961628279229</c:v>
                </c:pt>
              </c:numCache>
            </c:numRef>
          </c:val>
          <c:extLst>
            <c:ext xmlns:c16="http://schemas.microsoft.com/office/drawing/2014/chart" uri="{C3380CC4-5D6E-409C-BE32-E72D297353CC}">
              <c16:uniqueId val="{00000000-A605-9C40-AE0F-D54178A00933}"/>
            </c:ext>
          </c:extLst>
        </c:ser>
        <c:dLbls>
          <c:dLblPos val="outEnd"/>
          <c:showLegendKey val="0"/>
          <c:showVal val="1"/>
          <c:showCatName val="0"/>
          <c:showSerName val="0"/>
          <c:showPercent val="0"/>
          <c:showBubbleSize val="0"/>
        </c:dLbls>
        <c:gapWidth val="100"/>
        <c:axId val="477139696"/>
        <c:axId val="477141264"/>
      </c:barChart>
      <c:catAx>
        <c:axId val="477139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Garamond" panose="02020404030301010803" pitchFamily="18" charset="0"/>
                <a:ea typeface="+mn-ea"/>
                <a:cs typeface="+mn-cs"/>
              </a:defRPr>
            </a:pPr>
            <a:endParaRPr lang="es-CO"/>
          </a:p>
        </c:txPr>
        <c:crossAx val="477141264"/>
        <c:crosses val="autoZero"/>
        <c:auto val="1"/>
        <c:lblAlgn val="ctr"/>
        <c:lblOffset val="100"/>
        <c:noMultiLvlLbl val="0"/>
      </c:catAx>
      <c:valAx>
        <c:axId val="477141264"/>
        <c:scaling>
          <c:orientation val="minMax"/>
        </c:scaling>
        <c:delete val="1"/>
        <c:axPos val="b"/>
        <c:numFmt formatCode="0.00%" sourceLinked="1"/>
        <c:majorTickMark val="none"/>
        <c:minorTickMark val="none"/>
        <c:tickLblPos val="nextTo"/>
        <c:crossAx val="4771396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'k-ñ'!$AD$1</c:f>
              <c:strCache>
                <c:ptCount val="1"/>
                <c:pt idx="0">
                  <c:v>% Población LGBTI</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7-F1BF-45A3-BCAC-324198184194}"/>
              </c:ext>
            </c:extLst>
          </c:dPt>
          <c:dPt>
            <c:idx val="1"/>
            <c:invertIfNegative val="0"/>
            <c:bubble3D val="0"/>
            <c:spPr>
              <a:solidFill>
                <a:srgbClr val="C00000"/>
              </a:solidFill>
              <a:ln>
                <a:noFill/>
              </a:ln>
              <a:effectLst/>
            </c:spPr>
            <c:extLst>
              <c:ext xmlns:c16="http://schemas.microsoft.com/office/drawing/2014/chart" uri="{C3380CC4-5D6E-409C-BE32-E72D297353CC}">
                <c16:uniqueId val="{00000006-F1BF-45A3-BCAC-324198184194}"/>
              </c:ext>
            </c:extLst>
          </c:dPt>
          <c:dPt>
            <c:idx val="2"/>
            <c:invertIfNegative val="0"/>
            <c:bubble3D val="0"/>
            <c:spPr>
              <a:solidFill>
                <a:srgbClr val="7030A0"/>
              </a:solidFill>
              <a:ln>
                <a:noFill/>
              </a:ln>
              <a:effectLst/>
            </c:spPr>
            <c:extLst>
              <c:ext xmlns:c16="http://schemas.microsoft.com/office/drawing/2014/chart" uri="{C3380CC4-5D6E-409C-BE32-E72D297353CC}">
                <c16:uniqueId val="{00000005-F1BF-45A3-BCAC-324198184194}"/>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4-F1BF-45A3-BCAC-324198184194}"/>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3-F1BF-45A3-BCAC-324198184194}"/>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2-F1BF-45A3-BCAC-324198184194}"/>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1-F1BF-45A3-BCAC-324198184194}"/>
              </c:ext>
            </c:extLst>
          </c:dPt>
          <c:dPt>
            <c:idx val="7"/>
            <c:invertIfNegative val="0"/>
            <c:bubble3D val="0"/>
            <c:spPr>
              <a:solidFill>
                <a:srgbClr val="C00000"/>
              </a:solidFill>
              <a:ln>
                <a:noFill/>
              </a:ln>
              <a:effectLst/>
            </c:spPr>
            <c:extLst>
              <c:ext xmlns:c16="http://schemas.microsoft.com/office/drawing/2014/chart" uri="{C3380CC4-5D6E-409C-BE32-E72D297353CC}">
                <c16:uniqueId val="{00000000-F1BF-45A3-BCAC-32419818419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'k-ñ'!$AC$2:$AC$9</c:f>
              <c:strCache>
                <c:ptCount val="8"/>
                <c:pt idx="0">
                  <c:v>Entender</c:v>
                </c:pt>
                <c:pt idx="1">
                  <c:v>bañarse</c:v>
                </c:pt>
                <c:pt idx="2">
                  <c:v>Hablar</c:v>
                </c:pt>
                <c:pt idx="3">
                  <c:v>Relacionarse</c:v>
                </c:pt>
                <c:pt idx="4">
                  <c:v>Oír</c:v>
                </c:pt>
                <c:pt idx="5">
                  <c:v>Usar brazos</c:v>
                </c:pt>
                <c:pt idx="6">
                  <c:v>Ver</c:v>
                </c:pt>
                <c:pt idx="7">
                  <c:v>Caminar</c:v>
                </c:pt>
              </c:strCache>
            </c:strRef>
          </c:cat>
          <c:val>
            <c:numRef>
              <c:f>'k-ñ'!$AD$2:$AD$9</c:f>
              <c:numCache>
                <c:formatCode>0.00%</c:formatCode>
                <c:ptCount val="8"/>
                <c:pt idx="0">
                  <c:v>3.3157180698555012E-3</c:v>
                </c:pt>
                <c:pt idx="1">
                  <c:v>3.8344878009352427E-3</c:v>
                </c:pt>
                <c:pt idx="2">
                  <c:v>3.9214246252474907E-3</c:v>
                </c:pt>
                <c:pt idx="3">
                  <c:v>3.9912154985400714E-3</c:v>
                </c:pt>
                <c:pt idx="4">
                  <c:v>4.2802858268772255E-3</c:v>
                </c:pt>
                <c:pt idx="5">
                  <c:v>8.1191765491368806E-3</c:v>
                </c:pt>
                <c:pt idx="6">
                  <c:v>1.4329223564237072E-2</c:v>
                </c:pt>
                <c:pt idx="7">
                  <c:v>1.5729178123354563E-2</c:v>
                </c:pt>
              </c:numCache>
            </c:numRef>
          </c:val>
          <c:extLst>
            <c:ext xmlns:c16="http://schemas.microsoft.com/office/drawing/2014/chart" uri="{C3380CC4-5D6E-409C-BE32-E72D297353CC}">
              <c16:uniqueId val="{00000000-A494-0149-AF16-66142D2C3C05}"/>
            </c:ext>
          </c:extLst>
        </c:ser>
        <c:dLbls>
          <c:dLblPos val="outEnd"/>
          <c:showLegendKey val="0"/>
          <c:showVal val="1"/>
          <c:showCatName val="0"/>
          <c:showSerName val="0"/>
          <c:showPercent val="0"/>
          <c:showBubbleSize val="0"/>
        </c:dLbls>
        <c:gapWidth val="182"/>
        <c:axId val="288865264"/>
        <c:axId val="288865656"/>
      </c:barChart>
      <c:catAx>
        <c:axId val="28886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8865656"/>
        <c:crosses val="autoZero"/>
        <c:auto val="1"/>
        <c:lblAlgn val="ctr"/>
        <c:lblOffset val="100"/>
        <c:noMultiLvlLbl val="0"/>
      </c:catAx>
      <c:valAx>
        <c:axId val="288865656"/>
        <c:scaling>
          <c:orientation val="minMax"/>
        </c:scaling>
        <c:delete val="1"/>
        <c:axPos val="b"/>
        <c:numFmt formatCode="0.00%" sourceLinked="1"/>
        <c:majorTickMark val="none"/>
        <c:minorTickMark val="none"/>
        <c:tickLblPos val="nextTo"/>
        <c:crossAx val="28886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Sheet1!$U$1</c:f>
              <c:strCache>
                <c:ptCount val="1"/>
                <c:pt idx="0">
                  <c:v>Población Homosexual</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3B8F-4B54-95E7-AAB035560AF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1-3B8F-4B54-95E7-AAB035560AF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3B8F-4B54-95E7-AAB035560AF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3-3B8F-4B54-95E7-AAB035560AF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4-3B8F-4B54-95E7-AAB035560AF9}"/>
              </c:ext>
            </c:extLst>
          </c:dPt>
          <c:dPt>
            <c:idx val="5"/>
            <c:invertIfNegative val="0"/>
            <c:bubble3D val="0"/>
            <c:spPr>
              <a:solidFill>
                <a:srgbClr val="7030A0"/>
              </a:solidFill>
              <a:ln>
                <a:noFill/>
              </a:ln>
              <a:effectLst/>
            </c:spPr>
            <c:extLst>
              <c:ext xmlns:c16="http://schemas.microsoft.com/office/drawing/2014/chart" uri="{C3380CC4-5D6E-409C-BE32-E72D297353CC}">
                <c16:uniqueId val="{00000005-3B8F-4B54-95E7-AAB035560AF9}"/>
              </c:ext>
            </c:extLst>
          </c:dPt>
          <c:dPt>
            <c:idx val="6"/>
            <c:invertIfNegative val="0"/>
            <c:bubble3D val="0"/>
            <c:spPr>
              <a:solidFill>
                <a:srgbClr val="C00000"/>
              </a:solidFill>
              <a:ln>
                <a:noFill/>
              </a:ln>
              <a:effectLst/>
            </c:spPr>
            <c:extLst>
              <c:ext xmlns:c16="http://schemas.microsoft.com/office/drawing/2014/chart" uri="{C3380CC4-5D6E-409C-BE32-E72D297353CC}">
                <c16:uniqueId val="{00000006-3B8F-4B54-95E7-AAB035560AF9}"/>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7-3B8F-4B54-95E7-AAB035560AF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Sheet1!$T$2:$T$9</c:f>
              <c:strCache>
                <c:ptCount val="8"/>
                <c:pt idx="0">
                  <c:v>Universitaria completa</c:v>
                </c:pt>
                <c:pt idx="1">
                  <c:v>Sin grado de Bachillerato</c:v>
                </c:pt>
                <c:pt idx="2">
                  <c:v>NS/NR</c:v>
                </c:pt>
                <c:pt idx="3">
                  <c:v>Técnico o tecnólogo</c:v>
                </c:pt>
                <c:pt idx="4">
                  <c:v>Postgrado</c:v>
                </c:pt>
                <c:pt idx="5">
                  <c:v>Bachillerato</c:v>
                </c:pt>
                <c:pt idx="6">
                  <c:v>Universitaria incompleta</c:v>
                </c:pt>
                <c:pt idx="7">
                  <c:v>Ninguno</c:v>
                </c:pt>
              </c:strCache>
            </c:strRef>
          </c:cat>
          <c:val>
            <c:numRef>
              <c:f>Sheet1!$U$2:$U$9</c:f>
              <c:numCache>
                <c:formatCode>0.00%</c:formatCode>
                <c:ptCount val="8"/>
                <c:pt idx="0">
                  <c:v>0.19823859852072168</c:v>
                </c:pt>
                <c:pt idx="1">
                  <c:v>0.16555726232985363</c:v>
                </c:pt>
                <c:pt idx="2">
                  <c:v>0.14745490086356619</c:v>
                </c:pt>
                <c:pt idx="3">
                  <c:v>0.13871716214146662</c:v>
                </c:pt>
                <c:pt idx="4">
                  <c:v>0.11098247017930671</c:v>
                </c:pt>
                <c:pt idx="5">
                  <c:v>8.34083707458457E-2</c:v>
                </c:pt>
                <c:pt idx="6">
                  <c:v>3.2793444767922515E-2</c:v>
                </c:pt>
                <c:pt idx="7">
                  <c:v>1.47786264801284E-2</c:v>
                </c:pt>
              </c:numCache>
            </c:numRef>
          </c:val>
          <c:extLst>
            <c:ext xmlns:c16="http://schemas.microsoft.com/office/drawing/2014/chart" uri="{C3380CC4-5D6E-409C-BE32-E72D297353CC}">
              <c16:uniqueId val="{00000000-1E24-404F-ABC6-10A70E982C62}"/>
            </c:ext>
          </c:extLst>
        </c:ser>
        <c:dLbls>
          <c:dLblPos val="outEnd"/>
          <c:showLegendKey val="0"/>
          <c:showVal val="1"/>
          <c:showCatName val="0"/>
          <c:showSerName val="0"/>
          <c:showPercent val="0"/>
          <c:showBubbleSize val="0"/>
        </c:dLbls>
        <c:gapWidth val="182"/>
        <c:axId val="288866440"/>
        <c:axId val="288866832"/>
      </c:barChart>
      <c:catAx>
        <c:axId val="288866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8866832"/>
        <c:crosses val="autoZero"/>
        <c:auto val="1"/>
        <c:lblAlgn val="ctr"/>
        <c:lblOffset val="100"/>
        <c:noMultiLvlLbl val="0"/>
      </c:catAx>
      <c:valAx>
        <c:axId val="288866832"/>
        <c:scaling>
          <c:orientation val="minMax"/>
        </c:scaling>
        <c:delete val="1"/>
        <c:axPos val="b"/>
        <c:numFmt formatCode="0%" sourceLinked="0"/>
        <c:majorTickMark val="none"/>
        <c:minorTickMark val="none"/>
        <c:tickLblPos val="nextTo"/>
        <c:crossAx val="2888664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'L-o'!$BW$2</c:f>
              <c:strCache>
                <c:ptCount val="1"/>
                <c:pt idx="0">
                  <c:v>Población Heterosexual</c:v>
                </c:pt>
              </c:strCache>
            </c:strRef>
          </c:tx>
          <c:spPr>
            <a:solidFill>
              <a:schemeClr val="accent3"/>
            </a:solidFill>
            <a:ln>
              <a:noFill/>
            </a:ln>
            <a:effectLst/>
          </c:spPr>
          <c:invertIfNegative val="0"/>
          <c:dLbls>
            <c:dLbl>
              <c:idx val="3"/>
              <c:layout>
                <c:manualLayout>
                  <c:x val="0"/>
                  <c:y val="3.33722676455859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0C-2E46-90A4-66BBA648AA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'L-o'!$BX$1:$CE$1</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'L-o'!$BX$2:$CE$2</c:f>
              <c:numCache>
                <c:formatCode>0.00%</c:formatCode>
                <c:ptCount val="8"/>
                <c:pt idx="0">
                  <c:v>0.11609999999999999</c:v>
                </c:pt>
                <c:pt idx="1">
                  <c:v>1.41E-2</c:v>
                </c:pt>
                <c:pt idx="2">
                  <c:v>0.23219999999999999</c:v>
                </c:pt>
                <c:pt idx="3">
                  <c:v>0.26889999999999997</c:v>
                </c:pt>
                <c:pt idx="4">
                  <c:v>0.13439999999999999</c:v>
                </c:pt>
                <c:pt idx="5">
                  <c:v>2.3699999999999999E-2</c:v>
                </c:pt>
                <c:pt idx="6">
                  <c:v>0.1479</c:v>
                </c:pt>
                <c:pt idx="7">
                  <c:v>6.2600000000000003E-2</c:v>
                </c:pt>
              </c:numCache>
            </c:numRef>
          </c:val>
          <c:extLst>
            <c:ext xmlns:c16="http://schemas.microsoft.com/office/drawing/2014/chart" uri="{C3380CC4-5D6E-409C-BE32-E72D297353CC}">
              <c16:uniqueId val="{00000000-000C-2E46-90A4-66BBA648AA99}"/>
            </c:ext>
          </c:extLst>
        </c:ser>
        <c:ser>
          <c:idx val="1"/>
          <c:order val="1"/>
          <c:tx>
            <c:strRef>
              <c:f>'L-o'!$BW$3</c:f>
              <c:strCache>
                <c:ptCount val="1"/>
                <c:pt idx="0">
                  <c:v>Población Homosexual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'L-o'!$BX$1:$CE$1</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'L-o'!$BX$3:$CE$3</c:f>
              <c:numCache>
                <c:formatCode>0.00%</c:formatCode>
                <c:ptCount val="8"/>
                <c:pt idx="0">
                  <c:v>0.14749999999999999</c:v>
                </c:pt>
                <c:pt idx="1">
                  <c:v>1.4800000000000001E-2</c:v>
                </c:pt>
                <c:pt idx="2">
                  <c:v>0.1656</c:v>
                </c:pt>
                <c:pt idx="3">
                  <c:v>8.3400000000000002E-2</c:v>
                </c:pt>
                <c:pt idx="4">
                  <c:v>0.13869999999999999</c:v>
                </c:pt>
                <c:pt idx="5">
                  <c:v>3.2800000000000003E-2</c:v>
                </c:pt>
                <c:pt idx="6">
                  <c:v>0.19819999999999999</c:v>
                </c:pt>
                <c:pt idx="7">
                  <c:v>0.111</c:v>
                </c:pt>
              </c:numCache>
            </c:numRef>
          </c:val>
          <c:extLst>
            <c:ext xmlns:c16="http://schemas.microsoft.com/office/drawing/2014/chart" uri="{C3380CC4-5D6E-409C-BE32-E72D297353CC}">
              <c16:uniqueId val="{00000001-000C-2E46-90A4-66BBA648AA99}"/>
            </c:ext>
          </c:extLst>
        </c:ser>
        <c:dLbls>
          <c:dLblPos val="outEnd"/>
          <c:showLegendKey val="0"/>
          <c:showVal val="1"/>
          <c:showCatName val="0"/>
          <c:showSerName val="0"/>
          <c:showPercent val="0"/>
          <c:showBubbleSize val="0"/>
        </c:dLbls>
        <c:gapWidth val="182"/>
        <c:axId val="238032520"/>
        <c:axId val="238032912"/>
      </c:barChart>
      <c:catAx>
        <c:axId val="238032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38032912"/>
        <c:crosses val="autoZero"/>
        <c:auto val="1"/>
        <c:lblAlgn val="ctr"/>
        <c:lblOffset val="100"/>
        <c:noMultiLvlLbl val="0"/>
      </c:catAx>
      <c:valAx>
        <c:axId val="238032912"/>
        <c:scaling>
          <c:orientation val="minMax"/>
        </c:scaling>
        <c:delete val="1"/>
        <c:axPos val="b"/>
        <c:numFmt formatCode="0.00%" sourceLinked="1"/>
        <c:majorTickMark val="none"/>
        <c:minorTickMark val="none"/>
        <c:tickLblPos val="nextTo"/>
        <c:crossAx val="23803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Hombres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Sheet1!$B$2:$B$9</c:f>
              <c:numCache>
                <c:formatCode>0.00%</c:formatCode>
                <c:ptCount val="8"/>
                <c:pt idx="0">
                  <c:v>0.14126500953579568</c:v>
                </c:pt>
                <c:pt idx="1">
                  <c:v>1.7175898152202076E-2</c:v>
                </c:pt>
                <c:pt idx="2">
                  <c:v>0.13316724364728133</c:v>
                </c:pt>
                <c:pt idx="3">
                  <c:v>0.17589235910594161</c:v>
                </c:pt>
                <c:pt idx="4">
                  <c:v>0.1395804709339509</c:v>
                </c:pt>
                <c:pt idx="5">
                  <c:v>3.2791506156165537E-2</c:v>
                </c:pt>
                <c:pt idx="6">
                  <c:v>0.23539000463167259</c:v>
                </c:pt>
                <c:pt idx="7">
                  <c:v>0.12473750783699018</c:v>
                </c:pt>
              </c:numCache>
            </c:numRef>
          </c:val>
          <c:extLst>
            <c:ext xmlns:c16="http://schemas.microsoft.com/office/drawing/2014/chart" uri="{C3380CC4-5D6E-409C-BE32-E72D297353CC}">
              <c16:uniqueId val="{00000000-3CF1-E24B-81BF-238625778F11}"/>
            </c:ext>
          </c:extLst>
        </c:ser>
        <c:ser>
          <c:idx val="1"/>
          <c:order val="1"/>
          <c:tx>
            <c:strRef>
              <c:f>Sheet1!$C$1</c:f>
              <c:strCache>
                <c:ptCount val="1"/>
                <c:pt idx="0">
                  <c:v>mujeres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Sheet1!$C$2:$C$9</c:f>
              <c:numCache>
                <c:formatCode>0.00%</c:formatCode>
                <c:ptCount val="8"/>
                <c:pt idx="0">
                  <c:v>0.12121644315362391</c:v>
                </c:pt>
                <c:pt idx="1">
                  <c:v>1.0333195371429009E-2</c:v>
                </c:pt>
                <c:pt idx="2">
                  <c:v>0.15636357445157209</c:v>
                </c:pt>
                <c:pt idx="3">
                  <c:v>0.14401638382153073</c:v>
                </c:pt>
                <c:pt idx="4">
                  <c:v>9.2319110419353312E-2</c:v>
                </c:pt>
                <c:pt idx="5">
                  <c:v>2.662309275717515E-2</c:v>
                </c:pt>
                <c:pt idx="6">
                  <c:v>0.10909367898419776</c:v>
                </c:pt>
                <c:pt idx="7">
                  <c:v>7.1748371693486454E-2</c:v>
                </c:pt>
              </c:numCache>
            </c:numRef>
          </c:val>
          <c:extLst>
            <c:ext xmlns:c16="http://schemas.microsoft.com/office/drawing/2014/chart" uri="{C3380CC4-5D6E-409C-BE32-E72D297353CC}">
              <c16:uniqueId val="{00000001-3CF1-E24B-81BF-238625778F11}"/>
            </c:ext>
          </c:extLst>
        </c:ser>
        <c:dLbls>
          <c:dLblPos val="outEnd"/>
          <c:showLegendKey val="0"/>
          <c:showVal val="1"/>
          <c:showCatName val="0"/>
          <c:showSerName val="0"/>
          <c:showPercent val="0"/>
          <c:showBubbleSize val="0"/>
        </c:dLbls>
        <c:gapWidth val="182"/>
        <c:axId val="238033696"/>
        <c:axId val="238034088"/>
      </c:barChart>
      <c:catAx>
        <c:axId val="23803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38034088"/>
        <c:crosses val="autoZero"/>
        <c:auto val="1"/>
        <c:lblAlgn val="ctr"/>
        <c:lblOffset val="100"/>
        <c:noMultiLvlLbl val="0"/>
      </c:catAx>
      <c:valAx>
        <c:axId val="238034088"/>
        <c:scaling>
          <c:orientation val="minMax"/>
        </c:scaling>
        <c:delete val="1"/>
        <c:axPos val="b"/>
        <c:numFmt formatCode="0%" sourceLinked="0"/>
        <c:majorTickMark val="none"/>
        <c:minorTickMark val="none"/>
        <c:tickLblPos val="nextTo"/>
        <c:crossAx val="23803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883838604525157"/>
          <c:y val="4.4292329373867526E-2"/>
          <c:w val="0.49905284591923232"/>
          <c:h val="0.82721964968794037"/>
        </c:manualLayout>
      </c:layout>
      <c:barChart>
        <c:barDir val="bar"/>
        <c:grouping val="clustered"/>
        <c:varyColors val="0"/>
        <c:ser>
          <c:idx val="0"/>
          <c:order val="0"/>
          <c:tx>
            <c:strRef>
              <c:f>Sheet1!$B$23</c:f>
              <c:strCache>
                <c:ptCount val="1"/>
                <c:pt idx="0">
                  <c:v>Persona cisgénero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Sheet1!$A$24:$A$31</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Sheet1!$B$24:$B$31</c:f>
              <c:numCache>
                <c:formatCode>0.00%</c:formatCode>
                <c:ptCount val="8"/>
                <c:pt idx="0">
                  <c:v>0.17235855383001189</c:v>
                </c:pt>
                <c:pt idx="1">
                  <c:v>1.806385757289251E-2</c:v>
                </c:pt>
                <c:pt idx="2">
                  <c:v>0.19012053074769558</c:v>
                </c:pt>
                <c:pt idx="3">
                  <c:v>0.21006820757655303</c:v>
                </c:pt>
                <c:pt idx="4">
                  <c:v>0.15227695544315256</c:v>
                </c:pt>
                <c:pt idx="5">
                  <c:v>3.9014620805267991E-2</c:v>
                </c:pt>
                <c:pt idx="6">
                  <c:v>0.22620535248378762</c:v>
                </c:pt>
                <c:pt idx="7">
                  <c:v>0.12902253358054505</c:v>
                </c:pt>
              </c:numCache>
            </c:numRef>
          </c:val>
          <c:extLst>
            <c:ext xmlns:c16="http://schemas.microsoft.com/office/drawing/2014/chart" uri="{C3380CC4-5D6E-409C-BE32-E72D297353CC}">
              <c16:uniqueId val="{00000000-A416-8A46-85CC-1B97EF5504DB}"/>
            </c:ext>
          </c:extLst>
        </c:ser>
        <c:ser>
          <c:idx val="1"/>
          <c:order val="1"/>
          <c:tx>
            <c:strRef>
              <c:f>Sheet1!$C$23</c:f>
              <c:strCache>
                <c:ptCount val="1"/>
                <c:pt idx="0">
                  <c:v>Persona trans</c:v>
                </c:pt>
              </c:strCache>
            </c:strRef>
          </c:tx>
          <c:spPr>
            <a:solidFill>
              <a:srgbClr val="7030A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F44-3746-8A4E-A77A09F88A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Sheet1!$A$24:$A$31</c:f>
              <c:strCache>
                <c:ptCount val="8"/>
                <c:pt idx="0">
                  <c:v>NS/NR</c:v>
                </c:pt>
                <c:pt idx="1">
                  <c:v>Ninguno</c:v>
                </c:pt>
                <c:pt idx="2">
                  <c:v>Sin grado de bachillerato</c:v>
                </c:pt>
                <c:pt idx="3">
                  <c:v>Bachillerato</c:v>
                </c:pt>
                <c:pt idx="4">
                  <c:v>Técnico o tecnólogo</c:v>
                </c:pt>
                <c:pt idx="5">
                  <c:v>Universitaria incompleta</c:v>
                </c:pt>
                <c:pt idx="6">
                  <c:v>Universitaria completa</c:v>
                </c:pt>
                <c:pt idx="7">
                  <c:v>Posgrado</c:v>
                </c:pt>
              </c:strCache>
            </c:strRef>
          </c:cat>
          <c:val>
            <c:numRef>
              <c:f>Sheet1!$C$24:$C$31</c:f>
              <c:numCache>
                <c:formatCode>0.00%</c:formatCode>
                <c:ptCount val="8"/>
                <c:pt idx="0">
                  <c:v>9.2466993895986199E-2</c:v>
                </c:pt>
                <c:pt idx="1">
                  <c:v>0</c:v>
                </c:pt>
                <c:pt idx="2">
                  <c:v>0.14371391171301437</c:v>
                </c:pt>
                <c:pt idx="3">
                  <c:v>0.28149942584645399</c:v>
                </c:pt>
                <c:pt idx="4">
                  <c:v>0.20285788276868619</c:v>
                </c:pt>
                <c:pt idx="5">
                  <c:v>1.2548262821694189E-2</c:v>
                </c:pt>
                <c:pt idx="6">
                  <c:v>0.1850774118466581</c:v>
                </c:pt>
                <c:pt idx="7">
                  <c:v>8.1836111107507173E-2</c:v>
                </c:pt>
              </c:numCache>
            </c:numRef>
          </c:val>
          <c:extLst>
            <c:ext xmlns:c16="http://schemas.microsoft.com/office/drawing/2014/chart" uri="{C3380CC4-5D6E-409C-BE32-E72D297353CC}">
              <c16:uniqueId val="{00000001-A416-8A46-85CC-1B97EF5504DB}"/>
            </c:ext>
          </c:extLst>
        </c:ser>
        <c:dLbls>
          <c:dLblPos val="outEnd"/>
          <c:showLegendKey val="0"/>
          <c:showVal val="1"/>
          <c:showCatName val="0"/>
          <c:showSerName val="0"/>
          <c:showPercent val="0"/>
          <c:showBubbleSize val="0"/>
        </c:dLbls>
        <c:gapWidth val="182"/>
        <c:axId val="238035264"/>
        <c:axId val="238035656"/>
      </c:barChart>
      <c:catAx>
        <c:axId val="23803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38035656"/>
        <c:crosses val="autoZero"/>
        <c:auto val="1"/>
        <c:lblAlgn val="ctr"/>
        <c:lblOffset val="100"/>
        <c:noMultiLvlLbl val="0"/>
      </c:catAx>
      <c:valAx>
        <c:axId val="238035656"/>
        <c:scaling>
          <c:orientation val="minMax"/>
        </c:scaling>
        <c:delete val="1"/>
        <c:axPos val="b"/>
        <c:numFmt formatCode="0%" sourceLinked="0"/>
        <c:majorTickMark val="none"/>
        <c:minorTickMark val="none"/>
        <c:tickLblPos val="nextTo"/>
        <c:crossAx val="23803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16042533518261E-2"/>
          <c:y val="0"/>
          <c:w val="0.96157931714846323"/>
          <c:h val="0.83498617893371707"/>
        </c:manualLayout>
      </c:layout>
      <c:barChart>
        <c:barDir val="col"/>
        <c:grouping val="clustered"/>
        <c:varyColors val="0"/>
        <c:ser>
          <c:idx val="0"/>
          <c:order val="0"/>
          <c:spPr>
            <a:solidFill>
              <a:srgbClr val="7030A0"/>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0-9C1D-4090-8016-A43FD3BE0D39}"/>
              </c:ext>
            </c:extLst>
          </c:dPt>
          <c:dPt>
            <c:idx val="1"/>
            <c:invertIfNegative val="0"/>
            <c:bubble3D val="0"/>
            <c:spPr>
              <a:solidFill>
                <a:srgbClr val="C00000"/>
              </a:solidFill>
              <a:ln>
                <a:noFill/>
              </a:ln>
              <a:effectLst/>
            </c:spPr>
            <c:extLst>
              <c:ext xmlns:c16="http://schemas.microsoft.com/office/drawing/2014/chart" uri="{C3380CC4-5D6E-409C-BE32-E72D297353CC}">
                <c16:uniqueId val="{00000001-9C1D-4090-8016-A43FD3BE0D3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2-9C1D-4090-8016-A43FD3BE0D3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9C1D-4090-8016-A43FD3BE0D39}"/>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4-9C1D-4090-8016-A43FD3BE0D39}"/>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5-9C1D-4090-8016-A43FD3BE0D39}"/>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bc!$A$19:$A$25</c:f>
              <c:strCache>
                <c:ptCount val="7"/>
                <c:pt idx="0">
                  <c:v>No registra</c:v>
                </c:pt>
                <c:pt idx="1">
                  <c:v>Estrato 1</c:v>
                </c:pt>
                <c:pt idx="2">
                  <c:v>Estrato 2</c:v>
                </c:pt>
                <c:pt idx="3">
                  <c:v>Estrato 3</c:v>
                </c:pt>
                <c:pt idx="4">
                  <c:v>Estrato 4</c:v>
                </c:pt>
                <c:pt idx="5">
                  <c:v>Estrato 5</c:v>
                </c:pt>
                <c:pt idx="6">
                  <c:v>Estrato 6</c:v>
                </c:pt>
              </c:strCache>
            </c:strRef>
          </c:cat>
          <c:val>
            <c:numRef>
              <c:f>bc!$B$19:$B$25</c:f>
              <c:numCache>
                <c:formatCode>0.00%</c:formatCode>
                <c:ptCount val="7"/>
                <c:pt idx="0">
                  <c:v>1.2550969937163748E-2</c:v>
                </c:pt>
                <c:pt idx="1">
                  <c:v>2.1196270779573801E-2</c:v>
                </c:pt>
                <c:pt idx="2">
                  <c:v>8.5400619654885518E-3</c:v>
                </c:pt>
                <c:pt idx="3">
                  <c:v>1.3224000710062255E-2</c:v>
                </c:pt>
                <c:pt idx="4">
                  <c:v>2.2397388980289971E-2</c:v>
                </c:pt>
                <c:pt idx="5">
                  <c:v>2.0070796336754123E-2</c:v>
                </c:pt>
                <c:pt idx="6">
                  <c:v>1.2211477868250366E-2</c:v>
                </c:pt>
              </c:numCache>
            </c:numRef>
          </c:val>
          <c:extLst>
            <c:ext xmlns:c16="http://schemas.microsoft.com/office/drawing/2014/chart" uri="{C3380CC4-5D6E-409C-BE32-E72D297353CC}">
              <c16:uniqueId val="{00000000-3D18-1842-92A9-076DCECFB26E}"/>
            </c:ext>
          </c:extLst>
        </c:ser>
        <c:dLbls>
          <c:dLblPos val="outEnd"/>
          <c:showLegendKey val="0"/>
          <c:showVal val="1"/>
          <c:showCatName val="0"/>
          <c:showSerName val="0"/>
          <c:showPercent val="0"/>
          <c:showBubbleSize val="0"/>
        </c:dLbls>
        <c:gapWidth val="100"/>
        <c:overlap val="-24"/>
        <c:axId val="477140480"/>
        <c:axId val="477139304"/>
      </c:barChart>
      <c:catAx>
        <c:axId val="477140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Garamond" panose="02020404030301010803" pitchFamily="18" charset="0"/>
                <a:ea typeface="+mn-ea"/>
                <a:cs typeface="+mn-cs"/>
              </a:defRPr>
            </a:pPr>
            <a:endParaRPr lang="es-CO"/>
          </a:p>
        </c:txPr>
        <c:crossAx val="477139304"/>
        <c:crosses val="autoZero"/>
        <c:auto val="1"/>
        <c:lblAlgn val="ctr"/>
        <c:lblOffset val="100"/>
        <c:noMultiLvlLbl val="0"/>
      </c:catAx>
      <c:valAx>
        <c:axId val="477139304"/>
        <c:scaling>
          <c:orientation val="minMax"/>
        </c:scaling>
        <c:delete val="1"/>
        <c:axPos val="l"/>
        <c:numFmt formatCode="0.00%" sourceLinked="1"/>
        <c:majorTickMark val="none"/>
        <c:minorTickMark val="none"/>
        <c:tickLblPos val="nextTo"/>
        <c:crossAx val="47714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91179864652841"/>
          <c:y val="0.20627774155895362"/>
          <c:w val="0.65412648661635742"/>
          <c:h val="0.70147525560296531"/>
        </c:manualLayout>
      </c:layout>
      <c:pieChart>
        <c:varyColors val="1"/>
        <c:ser>
          <c:idx val="1"/>
          <c:order val="0"/>
          <c:dPt>
            <c:idx val="0"/>
            <c:bubble3D val="0"/>
            <c:spPr>
              <a:solidFill>
                <a:schemeClr val="accent2">
                  <a:shade val="4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487-6B4F-9E1E-223941FA43AE}"/>
              </c:ext>
            </c:extLst>
          </c:dPt>
          <c:dPt>
            <c:idx val="1"/>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487-6B4F-9E1E-223941FA43AE}"/>
              </c:ext>
            </c:extLst>
          </c:dPt>
          <c:dPt>
            <c:idx val="2"/>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487-6B4F-9E1E-223941FA43A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487-6B4F-9E1E-223941FA43AE}"/>
              </c:ext>
            </c:extLst>
          </c:dPt>
          <c:dPt>
            <c:idx val="4"/>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487-6B4F-9E1E-223941FA43AE}"/>
              </c:ext>
            </c:extLst>
          </c:dPt>
          <c:dPt>
            <c:idx val="5"/>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487-6B4F-9E1E-223941FA43AE}"/>
              </c:ext>
            </c:extLst>
          </c:dPt>
          <c:dPt>
            <c:idx val="6"/>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487-6B4F-9E1E-223941FA43AE}"/>
              </c:ext>
            </c:extLst>
          </c:dPt>
          <c:dLbls>
            <c:dLbl>
              <c:idx val="0"/>
              <c:layout>
                <c:manualLayout>
                  <c:x val="0.1443850735043333"/>
                  <c:y val="-3.7563420622687638E-2"/>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C80C77B7-402C-844A-AAB7-59F12AF32F4A}"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DE84793E-EE6A-3E4C-88BD-D81425EC0723}"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E487-6B4F-9E1E-223941FA43AE}"/>
                </c:ext>
              </c:extLst>
            </c:dLbl>
            <c:dLbl>
              <c:idx val="1"/>
              <c:layout>
                <c:manualLayout>
                  <c:x val="3.6985668053629135E-2"/>
                  <c:y val="3.9662865642042626E-2"/>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0129EDC9-440B-7242-8F54-D51759B5C76C}"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EC0FA16D-A4BC-FF4C-8245-27A44C90FA1D}" type="VALUE">
                      <a:rPr lang="en-US">
                        <a:solidFill>
                          <a:sysClr val="windowText" lastClr="000000"/>
                        </a:solidFill>
                      </a:rPr>
                      <a:pPr>
                        <a:defRPr>
                          <a:solidFill>
                            <a:sysClr val="windowText" lastClr="000000"/>
                          </a:solidFill>
                        </a:defRPr>
                      </a:pPr>
                      <a:t>[VALOR]</a:t>
                    </a:fld>
                    <a:endParaRPr lang="en-US">
                      <a:solidFill>
                        <a:sysClr val="windowText" lastClr="000000"/>
                      </a:solidFill>
                    </a:endParaRP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E487-6B4F-9E1E-223941FA43AE}"/>
                </c:ext>
              </c:extLst>
            </c:dLbl>
            <c:dLbl>
              <c:idx val="2"/>
              <c:layout>
                <c:manualLayout>
                  <c:x val="-0.24965325936199723"/>
                  <c:y val="-1.4873574615765989E-2"/>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044DB1A2-3854-5F43-A426-8B432F5F97AF}"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B12C8597-D84A-2341-B8E1-AC2C8E2E48BB}"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E487-6B4F-9E1E-223941FA43AE}"/>
                </c:ext>
              </c:extLst>
            </c:dLbl>
            <c:dLbl>
              <c:idx val="3"/>
              <c:layout>
                <c:manualLayout>
                  <c:x val="0.13404610831413061"/>
                  <c:y val="-0.19986063343470276"/>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3F8CCB74-9C35-B849-B231-32E732B3B78B}"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4657E753-0E01-3849-9EAC-45184EA7F20C}"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E487-6B4F-9E1E-223941FA43AE}"/>
                </c:ext>
              </c:extLst>
            </c:dLbl>
            <c:dLbl>
              <c:idx val="4"/>
              <c:layout>
                <c:manualLayout>
                  <c:x val="0.19879796578825706"/>
                  <c:y val="0.12890431333663857"/>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5AC8A2AC-E13E-4845-9613-E0EDC037DD62}"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A7F27310-6CEF-374E-B890-17E698E86181}"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E487-6B4F-9E1E-223941FA43AE}"/>
                </c:ext>
              </c:extLst>
            </c:dLbl>
            <c:dLbl>
              <c:idx val="5"/>
              <c:layout>
                <c:manualLayout>
                  <c:x val="-0.10495830011539817"/>
                  <c:y val="3.3756377874679389E-3"/>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77FF4D19-AEC8-8A4E-9E25-D873ABDDF788}"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3207A2F5-4DA8-0E44-A9CB-D65F4F74512A}"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901431010444085"/>
                      <c:h val="0.10225758220480248"/>
                    </c:manualLayout>
                  </c15:layout>
                  <c15:dlblFieldTable/>
                  <c15:showDataLabelsRange val="0"/>
                </c:ext>
                <c:ext xmlns:c16="http://schemas.microsoft.com/office/drawing/2014/chart" uri="{C3380CC4-5D6E-409C-BE32-E72D297353CC}">
                  <c16:uniqueId val="{0000000B-E487-6B4F-9E1E-223941FA43AE}"/>
                </c:ext>
              </c:extLst>
            </c:dLbl>
            <c:dLbl>
              <c:idx val="6"/>
              <c:layout>
                <c:manualLayout>
                  <c:x val="0"/>
                  <c:y val="-3.7563420622687638E-2"/>
                </c:manualLayout>
              </c:layout>
              <c:tx>
                <c:rich>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fld id="{E5F036EE-FC5D-604B-97A6-CFFE6B95F83E}" type="CATEGORYNAME">
                      <a:rPr lang="en-US">
                        <a:solidFill>
                          <a:sysClr val="windowText" lastClr="000000"/>
                        </a:solidFill>
                      </a:rPr>
                      <a:pPr>
                        <a:defRPr>
                          <a:solidFill>
                            <a:sysClr val="windowText" lastClr="000000"/>
                          </a:solidFill>
                        </a:defRPr>
                      </a:pPr>
                      <a:t>[NOMBRE DE CATEGORÍA]</a:t>
                    </a:fld>
                    <a:r>
                      <a:rPr lang="en-US">
                        <a:solidFill>
                          <a:sysClr val="windowText" lastClr="000000"/>
                        </a:solidFill>
                      </a:rPr>
                      <a:t>, </a:t>
                    </a:r>
                    <a:fld id="{40C9848B-BACB-9C4C-9613-37C51FBE36A2}" type="VALUE">
                      <a:rPr lang="en-US">
                        <a:solidFill>
                          <a:sysClr val="windowText" lastClr="000000"/>
                        </a:solidFill>
                      </a:rPr>
                      <a:pPr>
                        <a:defRPr>
                          <a:solidFill>
                            <a:sysClr val="windowText" lastClr="000000"/>
                          </a:solidFill>
                        </a:defRPr>
                      </a:pPr>
                      <a:t>[VALOR]</a:t>
                    </a:fld>
                    <a:r>
                      <a:rPr lang="en-US">
                        <a:solidFill>
                          <a:sysClr val="windowText" lastClr="000000"/>
                        </a:solidFill>
                      </a:rPr>
                      <a:t>, </a:t>
                    </a:r>
                  </a:p>
                </c:rich>
              </c:tx>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E487-6B4F-9E1E-223941FA43AE}"/>
                </c:ext>
              </c:extLst>
            </c:dLbl>
            <c:spPr>
              <a:noFill/>
              <a:ln>
                <a:noFill/>
              </a:ln>
              <a:effectLst/>
            </c:spPr>
            <c:txPr>
              <a:bodyPr rot="0" spcFirstLastPara="1" vertOverflow="ellipsis" vert="horz" wrap="square" anchor="ctr" anchorCtr="1"/>
              <a:lstStyle/>
              <a:p>
                <a:pPr>
                  <a:defRPr sz="700" b="1" i="0" u="none" strike="noStrike" kern="1200" spc="0" baseline="0">
                    <a:solidFill>
                      <a:sysClr val="windowText" lastClr="000000"/>
                    </a:solidFill>
                    <a:latin typeface="Garamond" panose="02020404030301010803" pitchFamily="18" charset="0"/>
                    <a:ea typeface="+mn-ea"/>
                    <a:cs typeface="+mn-cs"/>
                  </a:defRPr>
                </a:pPr>
                <a:endParaRPr lang="es-CO"/>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bc!$A$33:$A$39</c:f>
              <c:strCache>
                <c:ptCount val="7"/>
                <c:pt idx="0">
                  <c:v>No registra</c:v>
                </c:pt>
                <c:pt idx="1">
                  <c:v>Estrato 1</c:v>
                </c:pt>
                <c:pt idx="2">
                  <c:v>Estrato 2</c:v>
                </c:pt>
                <c:pt idx="3">
                  <c:v>Estrato 3</c:v>
                </c:pt>
                <c:pt idx="4">
                  <c:v>Estrato 4</c:v>
                </c:pt>
                <c:pt idx="5">
                  <c:v>Estrato 5</c:v>
                </c:pt>
                <c:pt idx="6">
                  <c:v>Estrato 6</c:v>
                </c:pt>
              </c:strCache>
            </c:strRef>
          </c:cat>
          <c:val>
            <c:numRef>
              <c:f>bc!$B$33:$B$39</c:f>
              <c:numCache>
                <c:formatCode>0.00%</c:formatCode>
                <c:ptCount val="7"/>
                <c:pt idx="0">
                  <c:v>1.989484155179764E-4</c:v>
                </c:pt>
                <c:pt idx="1">
                  <c:v>0.12587952252380274</c:v>
                </c:pt>
                <c:pt idx="2">
                  <c:v>0.25048432570697737</c:v>
                </c:pt>
                <c:pt idx="3">
                  <c:v>0.37220974847236038</c:v>
                </c:pt>
                <c:pt idx="4">
                  <c:v>0.17570601108426886</c:v>
                </c:pt>
                <c:pt idx="5">
                  <c:v>5.5625238027568566E-2</c:v>
                </c:pt>
                <c:pt idx="6">
                  <c:v>1.9896316896404719E-2</c:v>
                </c:pt>
              </c:numCache>
            </c:numRef>
          </c:val>
          <c:extLst>
            <c:ext xmlns:c16="http://schemas.microsoft.com/office/drawing/2014/chart" uri="{C3380CC4-5D6E-409C-BE32-E72D297353CC}">
              <c16:uniqueId val="{0000000E-E487-6B4F-9E1E-223941FA43A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6576"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e!$B$50:$B$69</c:f>
              <c:strCache>
                <c:ptCount val="20"/>
                <c:pt idx="0">
                  <c:v>Kennedy</c:v>
                </c:pt>
                <c:pt idx="1">
                  <c:v>Ciudad Bolívar</c:v>
                </c:pt>
                <c:pt idx="2">
                  <c:v>Suba</c:v>
                </c:pt>
                <c:pt idx="3">
                  <c:v>Barrios Unidos</c:v>
                </c:pt>
                <c:pt idx="4">
                  <c:v>Engativá</c:v>
                </c:pt>
                <c:pt idx="5">
                  <c:v>Chapinero</c:v>
                </c:pt>
                <c:pt idx="6">
                  <c:v>Usaquén</c:v>
                </c:pt>
                <c:pt idx="7">
                  <c:v>Fontibón</c:v>
                </c:pt>
                <c:pt idx="8">
                  <c:v>Rafael Uribe Uribe</c:v>
                </c:pt>
                <c:pt idx="9">
                  <c:v>Los Mártires</c:v>
                </c:pt>
                <c:pt idx="10">
                  <c:v>Bosa</c:v>
                </c:pt>
                <c:pt idx="11">
                  <c:v>Usme</c:v>
                </c:pt>
                <c:pt idx="12">
                  <c:v>Teusaquillo</c:v>
                </c:pt>
                <c:pt idx="13">
                  <c:v>Tunjuejito</c:v>
                </c:pt>
                <c:pt idx="14">
                  <c:v>San Cristoba</c:v>
                </c:pt>
                <c:pt idx="15">
                  <c:v>Santa Fe</c:v>
                </c:pt>
                <c:pt idx="16">
                  <c:v>Puente Aranda</c:v>
                </c:pt>
                <c:pt idx="17">
                  <c:v>Antonio Nariño</c:v>
                </c:pt>
                <c:pt idx="18">
                  <c:v>Candelaria</c:v>
                </c:pt>
                <c:pt idx="19">
                  <c:v>Sumapaz</c:v>
                </c:pt>
              </c:strCache>
            </c:strRef>
          </c:cat>
          <c:val>
            <c:numRef>
              <c:f>e!$H$50:$H$69</c:f>
              <c:numCache>
                <c:formatCode>0.00%</c:formatCode>
                <c:ptCount val="20"/>
                <c:pt idx="0">
                  <c:v>0.11668391386268354</c:v>
                </c:pt>
                <c:pt idx="1">
                  <c:v>0.10290409072432258</c:v>
                </c:pt>
                <c:pt idx="2">
                  <c:v>0.10119822325948429</c:v>
                </c:pt>
                <c:pt idx="3">
                  <c:v>8.8439256114185433E-2</c:v>
                </c:pt>
                <c:pt idx="4">
                  <c:v>8.0538459069321791E-2</c:v>
                </c:pt>
                <c:pt idx="5">
                  <c:v>7.417474084466473E-2</c:v>
                </c:pt>
                <c:pt idx="6">
                  <c:v>7.2178308074215866E-2</c:v>
                </c:pt>
                <c:pt idx="7">
                  <c:v>6.2203018481816877E-2</c:v>
                </c:pt>
                <c:pt idx="8">
                  <c:v>5.0325376898339637E-2</c:v>
                </c:pt>
                <c:pt idx="9">
                  <c:v>4.4132123274227004E-2</c:v>
                </c:pt>
                <c:pt idx="10">
                  <c:v>3.6315578521517143E-2</c:v>
                </c:pt>
                <c:pt idx="11">
                  <c:v>3.1602932525162768E-2</c:v>
                </c:pt>
                <c:pt idx="12">
                  <c:v>2.9536564102899145E-2</c:v>
                </c:pt>
                <c:pt idx="13">
                  <c:v>2.8593682668826281E-2</c:v>
                </c:pt>
                <c:pt idx="14">
                  <c:v>2.6514083568843012E-2</c:v>
                </c:pt>
                <c:pt idx="15">
                  <c:v>2.4431205844597983E-2</c:v>
                </c:pt>
                <c:pt idx="16">
                  <c:v>1.170117422016209E-2</c:v>
                </c:pt>
                <c:pt idx="17">
                  <c:v>9.4115218844334648E-3</c:v>
                </c:pt>
                <c:pt idx="18">
                  <c:v>8.1499128360895227E-3</c:v>
                </c:pt>
                <c:pt idx="19">
                  <c:v>9.6580510223473091E-4</c:v>
                </c:pt>
              </c:numCache>
            </c:numRef>
          </c:val>
          <c:extLst>
            <c:ext xmlns:c16="http://schemas.microsoft.com/office/drawing/2014/chart" uri="{C3380CC4-5D6E-409C-BE32-E72D297353CC}">
              <c16:uniqueId val="{00000000-D7BF-3742-A5BA-3E458B59EEEA}"/>
            </c:ext>
          </c:extLst>
        </c:ser>
        <c:dLbls>
          <c:dLblPos val="outEnd"/>
          <c:showLegendKey val="0"/>
          <c:showVal val="1"/>
          <c:showCatName val="0"/>
          <c:showSerName val="0"/>
          <c:showPercent val="0"/>
          <c:showBubbleSize val="0"/>
        </c:dLbls>
        <c:gapWidth val="219"/>
        <c:axId val="198358176"/>
        <c:axId val="198358568"/>
      </c:barChart>
      <c:catAx>
        <c:axId val="19835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8358568"/>
        <c:crosses val="autoZero"/>
        <c:auto val="1"/>
        <c:lblAlgn val="ctr"/>
        <c:lblOffset val="100"/>
        <c:noMultiLvlLbl val="0"/>
      </c:catAx>
      <c:valAx>
        <c:axId val="198358568"/>
        <c:scaling>
          <c:orientation val="minMax"/>
        </c:scaling>
        <c:delete val="1"/>
        <c:axPos val="b"/>
        <c:numFmt formatCode="0.00%" sourceLinked="1"/>
        <c:majorTickMark val="none"/>
        <c:minorTickMark val="none"/>
        <c:tickLblPos val="nextTo"/>
        <c:crossAx val="19835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g!$O$2:$O$9</c:f>
              <c:strCache>
                <c:ptCount val="8"/>
                <c:pt idx="0">
                  <c:v>Nieto(a)</c:v>
                </c:pt>
                <c:pt idx="1">
                  <c:v>Padre, madre</c:v>
                </c:pt>
                <c:pt idx="2">
                  <c:v>Hermano(a), hermanas</c:v>
                </c:pt>
                <c:pt idx="3">
                  <c:v>Otro(a) pariente del jefe</c:v>
                </c:pt>
                <c:pt idx="4">
                  <c:v>Otro(a) no pariente</c:v>
                </c:pt>
                <c:pt idx="5">
                  <c:v>Hijo(a), hijastro(a)</c:v>
                </c:pt>
                <c:pt idx="6">
                  <c:v>Pareja </c:v>
                </c:pt>
                <c:pt idx="7">
                  <c:v>Jefe(a) del hogar</c:v>
                </c:pt>
              </c:strCache>
            </c:strRef>
          </c:cat>
          <c:val>
            <c:numRef>
              <c:f>g!$P$2:$P$9</c:f>
              <c:numCache>
                <c:formatCode>0%</c:formatCode>
                <c:ptCount val="8"/>
                <c:pt idx="0">
                  <c:v>0.01</c:v>
                </c:pt>
                <c:pt idx="1">
                  <c:v>0.01</c:v>
                </c:pt>
                <c:pt idx="2">
                  <c:v>0.03</c:v>
                </c:pt>
                <c:pt idx="3">
                  <c:v>0.03</c:v>
                </c:pt>
                <c:pt idx="4">
                  <c:v>0.05</c:v>
                </c:pt>
                <c:pt idx="5">
                  <c:v>0.15</c:v>
                </c:pt>
                <c:pt idx="6">
                  <c:v>0.24</c:v>
                </c:pt>
                <c:pt idx="7">
                  <c:v>0.49</c:v>
                </c:pt>
              </c:numCache>
            </c:numRef>
          </c:val>
          <c:extLst>
            <c:ext xmlns:c16="http://schemas.microsoft.com/office/drawing/2014/chart" uri="{C3380CC4-5D6E-409C-BE32-E72D297353CC}">
              <c16:uniqueId val="{00000000-718C-E147-BA6C-18B54DA3707B}"/>
            </c:ext>
          </c:extLst>
        </c:ser>
        <c:dLbls>
          <c:dLblPos val="outEnd"/>
          <c:showLegendKey val="0"/>
          <c:showVal val="1"/>
          <c:showCatName val="0"/>
          <c:showSerName val="0"/>
          <c:showPercent val="0"/>
          <c:showBubbleSize val="0"/>
        </c:dLbls>
        <c:gapWidth val="182"/>
        <c:axId val="198359352"/>
        <c:axId val="198359744"/>
      </c:barChart>
      <c:catAx>
        <c:axId val="198359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8359744"/>
        <c:crosses val="autoZero"/>
        <c:auto val="1"/>
        <c:lblAlgn val="ctr"/>
        <c:lblOffset val="100"/>
        <c:noMultiLvlLbl val="0"/>
      </c:catAx>
      <c:valAx>
        <c:axId val="198359744"/>
        <c:scaling>
          <c:orientation val="minMax"/>
        </c:scaling>
        <c:delete val="1"/>
        <c:axPos val="b"/>
        <c:numFmt formatCode="0%" sourceLinked="1"/>
        <c:majorTickMark val="none"/>
        <c:minorTickMark val="none"/>
        <c:tickLblPos val="nextTo"/>
        <c:crossAx val="198359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07394793514808"/>
          <c:y val="1.6770956727754163E-2"/>
          <c:w val="0.51492605206485198"/>
          <c:h val="0.92660058532506451"/>
        </c:manualLayout>
      </c:layout>
      <c:barChart>
        <c:barDir val="bar"/>
        <c:grouping val="clustered"/>
        <c:varyColors val="0"/>
        <c:ser>
          <c:idx val="0"/>
          <c:order val="0"/>
          <c:tx>
            <c:strRef>
              <c:f>ingresos_percapita!$J$1</c:f>
              <c:strCache>
                <c:ptCount val="1"/>
                <c:pt idx="0">
                  <c:v>INGRESOS PER CAPITA</c:v>
                </c:pt>
              </c:strCache>
            </c:strRef>
          </c:tx>
          <c:spPr>
            <a:solidFill>
              <a:schemeClr val="accent6"/>
            </a:solidFill>
            <a:ln>
              <a:noFill/>
            </a:ln>
            <a:effectLst/>
          </c:spPr>
          <c:invertIfNegative val="0"/>
          <c:dLbls>
            <c:dLbl>
              <c:idx val="0"/>
              <c:layout>
                <c:manualLayout>
                  <c:x val="-5.1161799189938177E-2"/>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B7-9847-A809-588A8783D5C5}"/>
                </c:ext>
              </c:extLst>
            </c:dLbl>
            <c:dLbl>
              <c:idx val="1"/>
              <c:layout>
                <c:manualLayout>
                  <c:x val="-0.16201236410147099"/>
                  <c:y val="5.3477109609086472E-3"/>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B7-9847-A809-588A8783D5C5}"/>
                </c:ext>
              </c:extLst>
            </c:dLbl>
            <c:dLbl>
              <c:idx val="2"/>
              <c:layout>
                <c:manualLayout>
                  <c:x val="-0.17480281389895552"/>
                  <c:y val="-8.1120006847561013E-17"/>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B7-9847-A809-588A8783D5C5}"/>
                </c:ext>
              </c:extLst>
            </c:dLbl>
            <c:dLbl>
              <c:idx val="3"/>
              <c:layout>
                <c:manualLayout>
                  <c:x val="-0.17906629716478362"/>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B7-9847-A809-588A8783D5C5}"/>
                </c:ext>
              </c:extLst>
            </c:dLbl>
            <c:dLbl>
              <c:idx val="4"/>
              <c:layout>
                <c:manualLayout>
                  <c:x val="-0.17480281389895544"/>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B7-9847-A809-588A8783D5C5}"/>
                </c:ext>
              </c:extLst>
            </c:dLbl>
            <c:dLbl>
              <c:idx val="5"/>
              <c:layout>
                <c:manualLayout>
                  <c:x val="-0.1790662971647837"/>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B7-9847-A809-588A8783D5C5}"/>
                </c:ext>
              </c:extLst>
            </c:dLbl>
            <c:dLbl>
              <c:idx val="6"/>
              <c:layout>
                <c:manualLayout>
                  <c:x val="-0.17053933063312735"/>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B7-9847-A809-588A8783D5C5}"/>
                </c:ext>
              </c:extLst>
            </c:dLbl>
            <c:dLbl>
              <c:idx val="7"/>
              <c:layout>
                <c:manualLayout>
                  <c:x val="-0.16627584736729908"/>
                  <c:y val="0"/>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B7-9847-A809-588A8783D5C5}"/>
                </c:ext>
              </c:extLst>
            </c:dLbl>
            <c:dLbl>
              <c:idx val="8"/>
              <c:layout>
                <c:manualLayout>
                  <c:x val="-0.15348539756981455"/>
                  <c:y val="-1.0140000855945127E-17"/>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B7-9847-A809-588A8783D5C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ingresos_percapita!$I$2:$I$10</c:f>
              <c:strCache>
                <c:ptCount val="9"/>
                <c:pt idx="0">
                  <c:v>Unipersonal</c:v>
                </c:pt>
                <c:pt idx="1">
                  <c:v>Nuclear sin hijos</c:v>
                </c:pt>
                <c:pt idx="2">
                  <c:v>No familares sin nucleo</c:v>
                </c:pt>
                <c:pt idx="3">
                  <c:v>Nuclear monoparenta masculina</c:v>
                </c:pt>
                <c:pt idx="4">
                  <c:v>Familiar sin nucleo</c:v>
                </c:pt>
                <c:pt idx="5">
                  <c:v>Familiar Compuesto</c:v>
                </c:pt>
                <c:pt idx="6">
                  <c:v>Nuclear con hijos</c:v>
                </c:pt>
                <c:pt idx="7">
                  <c:v>Nuclear monoparental femenina</c:v>
                </c:pt>
                <c:pt idx="8">
                  <c:v>Familiar Extenso</c:v>
                </c:pt>
              </c:strCache>
            </c:strRef>
          </c:cat>
          <c:val>
            <c:numRef>
              <c:f>ingresos_percapita!$J$2:$J$10</c:f>
              <c:numCache>
                <c:formatCode>_(* #,##0_);_(* \(#,##0\);_(* "-"_);_(@_)</c:formatCode>
                <c:ptCount val="9"/>
                <c:pt idx="0">
                  <c:v>2708780</c:v>
                </c:pt>
                <c:pt idx="1">
                  <c:v>2070614</c:v>
                </c:pt>
                <c:pt idx="2">
                  <c:v>1908799</c:v>
                </c:pt>
                <c:pt idx="3">
                  <c:v>1427201</c:v>
                </c:pt>
                <c:pt idx="4">
                  <c:v>1399943</c:v>
                </c:pt>
                <c:pt idx="5">
                  <c:v>1344540</c:v>
                </c:pt>
                <c:pt idx="6">
                  <c:v>1193713</c:v>
                </c:pt>
                <c:pt idx="7">
                  <c:v>1047197</c:v>
                </c:pt>
                <c:pt idx="8">
                  <c:v>840733.5</c:v>
                </c:pt>
              </c:numCache>
            </c:numRef>
          </c:val>
          <c:extLst>
            <c:ext xmlns:c16="http://schemas.microsoft.com/office/drawing/2014/chart" uri="{C3380CC4-5D6E-409C-BE32-E72D297353CC}">
              <c16:uniqueId val="{00000000-DA3E-1447-9909-655639BA9FEB}"/>
            </c:ext>
          </c:extLst>
        </c:ser>
        <c:dLbls>
          <c:dLblPos val="outEnd"/>
          <c:showLegendKey val="0"/>
          <c:showVal val="1"/>
          <c:showCatName val="0"/>
          <c:showSerName val="0"/>
          <c:showPercent val="0"/>
          <c:showBubbleSize val="0"/>
        </c:dLbls>
        <c:gapWidth val="182"/>
        <c:axId val="198360528"/>
        <c:axId val="198360920"/>
      </c:barChart>
      <c:catAx>
        <c:axId val="1983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8360920"/>
        <c:crosses val="autoZero"/>
        <c:auto val="1"/>
        <c:lblAlgn val="ctr"/>
        <c:lblOffset val="100"/>
        <c:noMultiLvlLbl val="0"/>
      </c:catAx>
      <c:valAx>
        <c:axId val="198360920"/>
        <c:scaling>
          <c:orientation val="minMax"/>
        </c:scaling>
        <c:delete val="1"/>
        <c:axPos val="b"/>
        <c:numFmt formatCode="_(* #,##0_);_(* \(#,##0\);_(* &quot;-&quot;_);_(@_)" sourceLinked="1"/>
        <c:majorTickMark val="none"/>
        <c:minorTickMark val="none"/>
        <c:tickLblPos val="nextTo"/>
        <c:crossAx val="198360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617078205030196"/>
          <c:y val="0.12350937414021251"/>
          <c:w val="0.720122606033469"/>
          <c:h val="0.86390748577392873"/>
        </c:manualLayout>
      </c:layout>
      <c:pieChart>
        <c:varyColors val="1"/>
        <c:ser>
          <c:idx val="1"/>
          <c:order val="0"/>
          <c:dPt>
            <c:idx val="0"/>
            <c:bubble3D val="0"/>
            <c:spPr>
              <a:solidFill>
                <a:schemeClr val="accent2">
                  <a:shade val="4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328-EA45-B87E-9D8345618CD3}"/>
              </c:ext>
            </c:extLst>
          </c:dPt>
          <c:dPt>
            <c:idx val="1"/>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328-EA45-B87E-9D8345618CD3}"/>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328-EA45-B87E-9D8345618CD3}"/>
              </c:ext>
            </c:extLst>
          </c:dPt>
          <c:dPt>
            <c:idx val="3"/>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328-EA45-B87E-9D8345618CD3}"/>
              </c:ext>
            </c:extLst>
          </c:dPt>
          <c:dPt>
            <c:idx val="4"/>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328-EA45-B87E-9D8345618CD3}"/>
              </c:ext>
            </c:extLst>
          </c:dPt>
          <c:dPt>
            <c:idx val="5"/>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328-EA45-B87E-9D8345618CD3}"/>
              </c:ext>
            </c:extLst>
          </c:dPt>
          <c:dPt>
            <c:idx val="6"/>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328-EA45-B87E-9D8345618CD3}"/>
              </c:ext>
            </c:extLst>
          </c:dPt>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28-EA45-B87E-9D8345618CD3}"/>
                </c:ext>
              </c:extLst>
            </c:dLbl>
            <c:dLbl>
              <c:idx val="1"/>
              <c:layout>
                <c:manualLayout>
                  <c:x val="-0.27739251040221907"/>
                  <c:y val="1.663893510815307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bg1"/>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328-EA45-B87E-9D8345618CD3}"/>
                </c:ext>
              </c:extLst>
            </c:dLbl>
            <c:dLbl>
              <c:idx val="2"/>
              <c:layout>
                <c:manualLayout>
                  <c:x val="0.19879796578825701"/>
                  <c:y val="-0.19412090959511935"/>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bg1"/>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328-EA45-B87E-9D8345618CD3}"/>
                </c:ext>
              </c:extLst>
            </c:dLbl>
            <c:dLbl>
              <c:idx val="3"/>
              <c:layout>
                <c:manualLayout>
                  <c:x val="0.1895515487748497"/>
                  <c:y val="5.546311702717692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chemeClr val="bg1"/>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328-EA45-B87E-9D8345618CD3}"/>
                </c:ext>
              </c:extLst>
            </c:dLbl>
            <c:dLbl>
              <c:idx val="4"/>
              <c:layout>
                <c:manualLayout>
                  <c:x val="-8.8201780348333231E-2"/>
                  <c:y val="5.7738571115847764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328-EA45-B87E-9D8345618CD3}"/>
                </c:ext>
              </c:extLst>
            </c:dLbl>
            <c:dLbl>
              <c:idx val="5"/>
              <c:layout>
                <c:manualLayout>
                  <c:x val="-1.4358429359030991E-2"/>
                  <c:y val="-2.020849989054677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328-EA45-B87E-9D8345618CD3}"/>
                </c:ext>
              </c:extLst>
            </c:dLbl>
            <c:dLbl>
              <c:idx val="6"/>
              <c:layout>
                <c:manualLayout>
                  <c:x val="0.1119344305262813"/>
                  <c:y val="-3.487057878164563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Garamond" panose="02020404030301010803" pitchFamily="18" charset="0"/>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328-EA45-B87E-9D8345618CD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Garamond" panose="02020404030301010803" pitchFamily="18" charset="0"/>
                    <a:ea typeface="+mn-ea"/>
                    <a:cs typeface="+mn-cs"/>
                  </a:defRPr>
                </a:pPr>
                <a:endParaRPr lang="es-CO"/>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Sheet6!$K$1:$K$7</c:f>
              <c:strCache>
                <c:ptCount val="7"/>
                <c:pt idx="0">
                  <c:v>Estado Civil</c:v>
                </c:pt>
                <c:pt idx="1">
                  <c:v>Soltero</c:v>
                </c:pt>
                <c:pt idx="2">
                  <c:v>Viven en pareja hace 2 o más años </c:v>
                </c:pt>
                <c:pt idx="3">
                  <c:v>Casado</c:v>
                </c:pt>
                <c:pt idx="4">
                  <c:v>Vive en pareja hace menos de 2 años</c:v>
                </c:pt>
                <c:pt idx="5">
                  <c:v>Separado</c:v>
                </c:pt>
                <c:pt idx="6">
                  <c:v>Viudo</c:v>
                </c:pt>
              </c:strCache>
            </c:strRef>
          </c:cat>
          <c:val>
            <c:numRef>
              <c:f>Sheet6!$M$1:$M$7</c:f>
              <c:numCache>
                <c:formatCode>0.00%</c:formatCode>
                <c:ptCount val="7"/>
                <c:pt idx="1">
                  <c:v>0.46627546869169434</c:v>
                </c:pt>
                <c:pt idx="2">
                  <c:v>0.25819806795447448</c:v>
                </c:pt>
                <c:pt idx="3">
                  <c:v>0.14579405195275652</c:v>
                </c:pt>
                <c:pt idx="4">
                  <c:v>7.4968314328224067E-2</c:v>
                </c:pt>
                <c:pt idx="5">
                  <c:v>3.4342330724679709E-2</c:v>
                </c:pt>
                <c:pt idx="6">
                  <c:v>2.042186501686493E-2</c:v>
                </c:pt>
              </c:numCache>
            </c:numRef>
          </c:val>
          <c:extLst>
            <c:ext xmlns:c16="http://schemas.microsoft.com/office/drawing/2014/chart" uri="{C3380CC4-5D6E-409C-BE32-E72D297353CC}">
              <c16:uniqueId val="{0000000E-8328-EA45-B87E-9D8345618CD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tx>
            <c:strRef>
              <c:f>'j-n'!$B$13</c:f>
              <c:strCache>
                <c:ptCount val="1"/>
                <c:pt idx="0">
                  <c:v>Población LGBTI</c:v>
                </c:pt>
              </c:strCache>
            </c:strRef>
          </c:tx>
          <c:dPt>
            <c:idx val="0"/>
            <c:bubble3D val="0"/>
            <c:spPr>
              <a:solidFill>
                <a:schemeClr val="accent2">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566-F54C-994B-72DD6AC0B36C}"/>
              </c:ext>
            </c:extLst>
          </c:dPt>
          <c:dPt>
            <c:idx val="1"/>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566-F54C-994B-72DD6AC0B36C}"/>
              </c:ext>
            </c:extLst>
          </c:dPt>
          <c:dPt>
            <c:idx val="2"/>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566-F54C-994B-72DD6AC0B36C}"/>
              </c:ext>
            </c:extLst>
          </c:dPt>
          <c:dLbls>
            <c:dLbl>
              <c:idx val="0"/>
              <c:layout>
                <c:manualLayout>
                  <c:x val="0.29126213592232991"/>
                  <c:y val="5.5265581823764086E-2"/>
                </c:manualLayout>
              </c:layout>
              <c:tx>
                <c:rich>
                  <a:bodyPr/>
                  <a:lstStyle/>
                  <a:p>
                    <a:fld id="{12289573-F778-FF4C-B9FF-0DF9642504C9}" type="CATEGORYNAME">
                      <a:rPr lang="en-US">
                        <a:solidFill>
                          <a:schemeClr val="tx1"/>
                        </a:solidFill>
                      </a:rPr>
                      <a:pPr/>
                      <a:t>[NOMBRE DE CATEGORÍA]</a:t>
                    </a:fld>
                    <a:r>
                      <a:rPr lang="en-US" baseline="0"/>
                      <a:t>
</a:t>
                    </a:r>
                    <a:fld id="{71B483ED-5A7A-CE4B-8F9B-60E384DF39E0}" type="PERCENTAGE">
                      <a:rPr lang="en-US" baseline="0">
                        <a:solidFill>
                          <a:schemeClr val="tx1"/>
                        </a:solidFill>
                      </a:rPr>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66-F54C-994B-72DD6AC0B36C}"/>
                </c:ext>
              </c:extLst>
            </c:dLbl>
            <c:dLbl>
              <c:idx val="1"/>
              <c:layout>
                <c:manualLayout>
                  <c:x val="-0.16228553955027467"/>
                  <c:y val="-0.1371531697929837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Garamond" panose="02020404030301010803" pitchFamily="18" charset="0"/>
                        <a:ea typeface="+mn-ea"/>
                        <a:cs typeface="+mn-cs"/>
                      </a:defRPr>
                    </a:pPr>
                    <a:fld id="{32DAA926-161D-0746-A8E1-C2D35B2D7387}" type="CATEGORYNAME">
                      <a:rPr lang="en-US">
                        <a:solidFill>
                          <a:schemeClr val="tx1"/>
                        </a:solidFill>
                      </a:rPr>
                      <a:pPr>
                        <a:defRPr sz="800" b="0">
                          <a:latin typeface="Garamond" panose="02020404030301010803" pitchFamily="18" charset="0"/>
                        </a:defRPr>
                      </a:pPr>
                      <a:t>[NOMBRE DE CATEGORÍA]</a:t>
                    </a:fld>
                    <a:r>
                      <a:rPr lang="en-US" baseline="0">
                        <a:solidFill>
                          <a:schemeClr val="tx1"/>
                        </a:solidFill>
                      </a:rPr>
                      <a:t>
</a:t>
                    </a:r>
                    <a:fld id="{D15B6C47-7EBE-FB48-8A91-C8377DEB9D5D}" type="PERCENTAGE">
                      <a:rPr lang="en-US" baseline="0">
                        <a:solidFill>
                          <a:schemeClr val="tx1"/>
                        </a:solidFill>
                      </a:rPr>
                      <a:pPr>
                        <a:defRPr sz="800" b="0">
                          <a:latin typeface="Garamond" panose="02020404030301010803" pitchFamily="18" charset="0"/>
                        </a:defRPr>
                      </a:pPr>
                      <a:t>[PORCENTAJE]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lt1"/>
                      </a:solidFill>
                      <a:latin typeface="Garamond" panose="02020404030301010803" pitchFamily="18" charset="0"/>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layout>
                    <c:manualLayout>
                      <c:w val="0.38326398520573279"/>
                      <c:h val="0.19637703408044213"/>
                    </c:manualLayout>
                  </c15:layout>
                  <c15:dlblFieldTable/>
                  <c15:showDataLabelsRange val="0"/>
                </c:ext>
                <c:ext xmlns:c16="http://schemas.microsoft.com/office/drawing/2014/chart" uri="{C3380CC4-5D6E-409C-BE32-E72D297353CC}">
                  <c16:uniqueId val="{00000003-A566-F54C-994B-72DD6AC0B36C}"/>
                </c:ext>
              </c:extLst>
            </c:dLbl>
            <c:dLbl>
              <c:idx val="2"/>
              <c:layout>
                <c:manualLayout>
                  <c:x val="9.0205421015732257E-2"/>
                  <c:y val="-0.13627375818086562"/>
                </c:manualLayout>
              </c:layout>
              <c:tx>
                <c:rich>
                  <a:bodyPr/>
                  <a:lstStyle/>
                  <a:p>
                    <a:fld id="{B1F46B44-F167-B243-8C0F-604AF3A61231}" type="CATEGORYNAME">
                      <a:rPr lang="en-US">
                        <a:solidFill>
                          <a:schemeClr val="tx1"/>
                        </a:solidFill>
                      </a:rPr>
                      <a:pPr/>
                      <a:t>[NOMBRE DE CATEGORÍA]</a:t>
                    </a:fld>
                    <a:r>
                      <a:rPr lang="en-US" baseline="0"/>
                      <a:t>
</a:t>
                    </a:r>
                    <a:fld id="{BEC90535-7BD8-3748-A742-6193DC4DDABA}" type="PERCENTAGE">
                      <a:rPr lang="en-US" baseline="0">
                        <a:solidFill>
                          <a:schemeClr val="tx1"/>
                        </a:solidFill>
                      </a:rPr>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566-F54C-994B-72DD6AC0B3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Garamond" panose="02020404030301010803" pitchFamily="18"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'j-n'!$A$14:$A$16</c:f>
              <c:strCache>
                <c:ptCount val="3"/>
                <c:pt idx="0">
                  <c:v>Afiliado a Seguridad social</c:v>
                </c:pt>
                <c:pt idx="1">
                  <c:v>No afiliado a seguridad social</c:v>
                </c:pt>
                <c:pt idx="2">
                  <c:v>No sabe</c:v>
                </c:pt>
              </c:strCache>
            </c:strRef>
          </c:cat>
          <c:val>
            <c:numRef>
              <c:f>'j-n'!$B$14:$B$16</c:f>
              <c:numCache>
                <c:formatCode>0.00%</c:formatCode>
                <c:ptCount val="3"/>
                <c:pt idx="0">
                  <c:v>0.90940653127323756</c:v>
                </c:pt>
                <c:pt idx="1">
                  <c:v>7.0177632958048922E-2</c:v>
                </c:pt>
                <c:pt idx="2">
                  <c:v>2.0415835768713499E-2</c:v>
                </c:pt>
              </c:numCache>
            </c:numRef>
          </c:val>
          <c:extLst>
            <c:ext xmlns:c16="http://schemas.microsoft.com/office/drawing/2014/chart" uri="{C3380CC4-5D6E-409C-BE32-E72D297353CC}">
              <c16:uniqueId val="{00000006-A566-F54C-994B-72DD6AC0B36C}"/>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r>
              <a:rPr lang="en-US"/>
              <a:t>Porcentaje afiliación a seguridad social cisgénero-personas trans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Garamond" panose="02020404030301010803" pitchFamily="18" charset="0"/>
              <a:ea typeface="+mn-ea"/>
              <a:cs typeface="+mn-cs"/>
            </a:defRPr>
          </a:pPr>
          <a:endParaRPr lang="es-CO"/>
        </a:p>
      </c:txPr>
    </c:title>
    <c:autoTitleDeleted val="0"/>
    <c:plotArea>
      <c:layout>
        <c:manualLayout>
          <c:layoutTarget val="inner"/>
          <c:xMode val="edge"/>
          <c:yMode val="edge"/>
          <c:x val="0.28500351560135406"/>
          <c:y val="0.19818918274958303"/>
          <c:w val="0.58489595216919588"/>
          <c:h val="0.64977346023312488"/>
        </c:manualLayout>
      </c:layout>
      <c:barChart>
        <c:barDir val="bar"/>
        <c:grouping val="clustered"/>
        <c:varyColors val="0"/>
        <c:ser>
          <c:idx val="0"/>
          <c:order val="0"/>
          <c:tx>
            <c:strRef>
              <c:f>'j-n'!$J$45</c:f>
              <c:strCache>
                <c:ptCount val="1"/>
                <c:pt idx="0">
                  <c:v>Personas cisgénero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'j-n'!$K$44:$M$44</c:f>
              <c:strCache>
                <c:ptCount val="3"/>
                <c:pt idx="0">
                  <c:v>Afiliado</c:v>
                </c:pt>
                <c:pt idx="1">
                  <c:v>No afiliado</c:v>
                </c:pt>
                <c:pt idx="2">
                  <c:v>No sabe</c:v>
                </c:pt>
              </c:strCache>
            </c:strRef>
          </c:cat>
          <c:val>
            <c:numRef>
              <c:f>'j-n'!$K$45:$M$45</c:f>
              <c:numCache>
                <c:formatCode>0.00%</c:formatCode>
                <c:ptCount val="3"/>
                <c:pt idx="0">
                  <c:v>0.91823403064963816</c:v>
                </c:pt>
                <c:pt idx="1">
                  <c:v>6.8499863415911896E-2</c:v>
                </c:pt>
                <c:pt idx="2">
                  <c:v>1.3266159554787382E-2</c:v>
                </c:pt>
              </c:numCache>
            </c:numRef>
          </c:val>
          <c:extLst>
            <c:ext xmlns:c16="http://schemas.microsoft.com/office/drawing/2014/chart" uri="{C3380CC4-5D6E-409C-BE32-E72D297353CC}">
              <c16:uniqueId val="{00000000-6A6F-C647-BA30-34CFB65010A5}"/>
            </c:ext>
          </c:extLst>
        </c:ser>
        <c:ser>
          <c:idx val="1"/>
          <c:order val="1"/>
          <c:tx>
            <c:strRef>
              <c:f>'j-n'!$J$46</c:f>
              <c:strCache>
                <c:ptCount val="1"/>
                <c:pt idx="0">
                  <c:v>Personas trans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'j-n'!$K$44:$M$44</c:f>
              <c:strCache>
                <c:ptCount val="3"/>
                <c:pt idx="0">
                  <c:v>Afiliado</c:v>
                </c:pt>
                <c:pt idx="1">
                  <c:v>No afiliado</c:v>
                </c:pt>
                <c:pt idx="2">
                  <c:v>No sabe</c:v>
                </c:pt>
              </c:strCache>
            </c:strRef>
          </c:cat>
          <c:val>
            <c:numRef>
              <c:f>'j-n'!$K$46:$M$46</c:f>
              <c:numCache>
                <c:formatCode>0.00%</c:formatCode>
                <c:ptCount val="3"/>
                <c:pt idx="0">
                  <c:v>0.79154233468786028</c:v>
                </c:pt>
                <c:pt idx="1">
                  <c:v>9.2579282050625225E-2</c:v>
                </c:pt>
                <c:pt idx="2">
                  <c:v>0.1158784058107846</c:v>
                </c:pt>
              </c:numCache>
            </c:numRef>
          </c:val>
          <c:extLst>
            <c:ext xmlns:c16="http://schemas.microsoft.com/office/drawing/2014/chart" uri="{C3380CC4-5D6E-409C-BE32-E72D297353CC}">
              <c16:uniqueId val="{00000001-6A6F-C647-BA30-34CFB65010A5}"/>
            </c:ext>
          </c:extLst>
        </c:ser>
        <c:dLbls>
          <c:dLblPos val="outEnd"/>
          <c:showLegendKey val="0"/>
          <c:showVal val="1"/>
          <c:showCatName val="0"/>
          <c:showSerName val="0"/>
          <c:showPercent val="0"/>
          <c:showBubbleSize val="0"/>
        </c:dLbls>
        <c:gapWidth val="182"/>
        <c:axId val="288864088"/>
        <c:axId val="288864480"/>
      </c:barChart>
      <c:catAx>
        <c:axId val="288864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88864480"/>
        <c:crosses val="autoZero"/>
        <c:auto val="1"/>
        <c:lblAlgn val="ctr"/>
        <c:lblOffset val="100"/>
        <c:noMultiLvlLbl val="0"/>
      </c:catAx>
      <c:valAx>
        <c:axId val="288864480"/>
        <c:scaling>
          <c:orientation val="minMax"/>
        </c:scaling>
        <c:delete val="1"/>
        <c:axPos val="b"/>
        <c:numFmt formatCode="0%" sourceLinked="0"/>
        <c:majorTickMark val="none"/>
        <c:minorTickMark val="none"/>
        <c:tickLblPos val="nextTo"/>
        <c:crossAx val="28886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87284-D566-CC41-85E0-3926AA73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2582</Words>
  <Characters>14205</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Características de los hogares de personas de los sectores LGBTI en Bogotá.</dc:title>
  <dc:subject>Boletín 7.</dc:subject>
  <dc:creator>Carol Gisselle Pinzon Masmela</dc:creator>
  <cp:keywords/>
  <dc:description/>
  <cp:lastModifiedBy>Juliana Moncada</cp:lastModifiedBy>
  <cp:revision>12</cp:revision>
  <dcterms:created xsi:type="dcterms:W3CDTF">2019-11-28T23:02:00Z</dcterms:created>
  <dcterms:modified xsi:type="dcterms:W3CDTF">2020-07-22T16:37:00Z</dcterms:modified>
</cp:coreProperties>
</file>