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8.xml" ContentType="application/vnd.openxmlformats-officedocument.themeOverrid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9.xml" ContentType="application/vnd.openxmlformats-officedocument.themeOverrid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0.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1.xml" ContentType="application/vnd.openxmlformats-officedocument.themeOverrid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2.xml" ContentType="application/vnd.openxmlformats-officedocument.themeOverrid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3.xml" ContentType="application/vnd.openxmlformats-officedocument.themeOverrid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4.xml" ContentType="application/vnd.openxmlformats-officedocument.themeOverrid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5.xml" ContentType="application/vnd.openxmlformats-officedocument.themeOverrid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6.xml" ContentType="application/vnd.openxmlformats-officedocument.themeOverrid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7.xml" ContentType="application/vnd.openxmlformats-officedocument.themeOverrid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31108922" w:displacedByCustomXml="next"/>
    <w:bookmarkEnd w:id="0" w:displacedByCustomXml="next"/>
    <w:sdt>
      <w:sdtPr>
        <w:id w:val="-638493810"/>
        <w:docPartObj>
          <w:docPartGallery w:val="Cover Pages"/>
          <w:docPartUnique/>
        </w:docPartObj>
      </w:sdtPr>
      <w:sdtEndPr>
        <w:rPr>
          <w:lang w:val="es-MX"/>
        </w:rPr>
      </w:sdtEndPr>
      <w:sdtContent>
        <w:p w14:paraId="247BA966" w14:textId="0895BED6" w:rsidR="00890DCF" w:rsidRDefault="00890DCF">
          <w:r>
            <w:rPr>
              <w:noProof/>
            </w:rPr>
            <mc:AlternateContent>
              <mc:Choice Requires="wpg">
                <w:drawing>
                  <wp:anchor distT="0" distB="0" distL="114300" distR="114300" simplePos="0" relativeHeight="251662336" behindDoc="0" locked="0" layoutInCell="1" allowOverlap="1" wp14:anchorId="371E6ABF" wp14:editId="11A95707">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D991ACF" id="Grupo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">
                    <v:shape id="Rectángulo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" path="m,l7312660,r,1129665l3619500,733425,,1091565,,xe" fillcolor="#4f81bd [3204]" stroked="f" strokeweight="2pt">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" stroked="f" strokeweight="2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14:anchorId="59F2AB49" wp14:editId="37CD50FF">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B24A9A" w14:textId="17434CFE" w:rsidR="00890DCF" w:rsidRDefault="00890DCF">
                                <w:pPr>
                                  <w:jc w:val="right"/>
                                  <w:rPr>
                                    <w:color w:val="4F81BD" w:themeColor="accent1"/>
                                    <w:sz w:val="64"/>
                                    <w:szCs w:val="64"/>
                                  </w:rPr>
                                </w:pPr>
                                <w:sdt>
                                  <w:sdtPr>
                                    <w:rPr>
                                      <w:rFonts w:ascii="OpenSans-Bold" w:eastAsia="Times New Roman" w:hAnsi="OpenSans-Bold" w:cs="Times New Roman"/>
                                      <w:color w:val="00253F"/>
                                      <w:sz w:val="34"/>
                                      <w:szCs w:val="34"/>
                                      <w:lang w:eastAsia="es-ES_tradnl"/>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890DCF">
                                      <w:rPr>
                                        <w:rFonts w:ascii="OpenSans-Bold" w:eastAsia="Times New Roman" w:hAnsi="OpenSans-Bold" w:cs="Times New Roman"/>
                                        <w:color w:val="00253F"/>
                                        <w:sz w:val="34"/>
                                        <w:szCs w:val="34"/>
                                        <w:lang w:eastAsia="es-ES_tradnl"/>
                                      </w:rPr>
                                      <w:t>Análisis de la Encuesta Multipropósito de Bogotá- EMB 2017 sobre tipología de estructura familiar basada en la relación de parentesco</w:t>
                                    </w:r>
                                    <w:r>
                                      <w:rPr>
                                        <w:rFonts w:ascii="OpenSans-Bold" w:eastAsia="Times New Roman" w:hAnsi="OpenSans-Bold" w:cs="Times New Roman"/>
                                        <w:color w:val="00253F"/>
                                        <w:sz w:val="34"/>
                                        <w:szCs w:val="34"/>
                                        <w:lang w:eastAsia="es-ES_tradnl"/>
                                      </w:rPr>
                                      <w:t>.</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7FE4B542" w14:textId="659345FF" w:rsidR="00890DCF" w:rsidRDefault="00890DCF">
                                    <w:pPr>
                                      <w:jc w:val="right"/>
                                      <w:rPr>
                                        <w:smallCaps/>
                                        <w:color w:val="404040" w:themeColor="text1" w:themeTint="BF"/>
                                        <w:sz w:val="36"/>
                                        <w:szCs w:val="36"/>
                                      </w:rPr>
                                    </w:pPr>
                                    <w:r>
                                      <w:rPr>
                                        <w:color w:val="404040" w:themeColor="text1" w:themeTint="BF"/>
                                        <w:sz w:val="36"/>
                                        <w:szCs w:val="36"/>
                                      </w:rPr>
                                      <w:t>Boletín 5.</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59F2AB49" id="_x0000_t202" coordsize="21600,21600" o:spt="202" path="m,l,21600r21600,l21600,xe">
                    <v:stroke joinstyle="miter"/>
                    <v:path gradientshapeok="t" o:connecttype="rect"/>
                  </v:shapetype>
                  <v:shape id="Cuadro de texto 154" o:spid="_x0000_s1026"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" filled="f" stroked="f" strokeweight=".5pt">
                    <v:textbox inset="126pt,0,54pt,0">
                      <w:txbxContent>
                        <w:p w14:paraId="11B24A9A" w14:textId="17434CFE" w:rsidR="00890DCF" w:rsidRDefault="00890DCF">
                          <w:pPr>
                            <w:jc w:val="right"/>
                            <w:rPr>
                              <w:color w:val="4F81BD" w:themeColor="accent1"/>
                              <w:sz w:val="64"/>
                              <w:szCs w:val="64"/>
                            </w:rPr>
                          </w:pPr>
                          <w:sdt>
                            <w:sdtPr>
                              <w:rPr>
                                <w:rFonts w:ascii="OpenSans-Bold" w:eastAsia="Times New Roman" w:hAnsi="OpenSans-Bold" w:cs="Times New Roman"/>
                                <w:color w:val="00253F"/>
                                <w:sz w:val="34"/>
                                <w:szCs w:val="34"/>
                                <w:lang w:eastAsia="es-ES_tradnl"/>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890DCF">
                                <w:rPr>
                                  <w:rFonts w:ascii="OpenSans-Bold" w:eastAsia="Times New Roman" w:hAnsi="OpenSans-Bold" w:cs="Times New Roman"/>
                                  <w:color w:val="00253F"/>
                                  <w:sz w:val="34"/>
                                  <w:szCs w:val="34"/>
                                  <w:lang w:eastAsia="es-ES_tradnl"/>
                                </w:rPr>
                                <w:t>Análisis de la Encuesta Multipropósito de Bogotá- EMB 2017 sobre tipología de estructura familiar basada en la relación de parentesco</w:t>
                              </w:r>
                              <w:r>
                                <w:rPr>
                                  <w:rFonts w:ascii="OpenSans-Bold" w:eastAsia="Times New Roman" w:hAnsi="OpenSans-Bold" w:cs="Times New Roman"/>
                                  <w:color w:val="00253F"/>
                                  <w:sz w:val="34"/>
                                  <w:szCs w:val="34"/>
                                  <w:lang w:eastAsia="es-ES_tradnl"/>
                                </w:rPr>
                                <w:t>.</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7FE4B542" w14:textId="659345FF" w:rsidR="00890DCF" w:rsidRDefault="00890DCF">
                              <w:pPr>
                                <w:jc w:val="right"/>
                                <w:rPr>
                                  <w:smallCaps/>
                                  <w:color w:val="404040" w:themeColor="text1" w:themeTint="BF"/>
                                  <w:sz w:val="36"/>
                                  <w:szCs w:val="36"/>
                                </w:rPr>
                              </w:pPr>
                              <w:r>
                                <w:rPr>
                                  <w:color w:val="404040" w:themeColor="text1" w:themeTint="BF"/>
                                  <w:sz w:val="36"/>
                                  <w:szCs w:val="36"/>
                                </w:rPr>
                                <w:t>Boletín 5.</w:t>
                              </w:r>
                            </w:p>
                          </w:sdtContent>
                        </w:sdt>
                      </w:txbxContent>
                    </v:textbox>
                    <w10:wrap type="square" anchorx="page" anchory="page"/>
                  </v:shape>
                </w:pict>
              </mc:Fallback>
            </mc:AlternateContent>
          </w:r>
        </w:p>
        <w:p w14:paraId="78D0EC88" w14:textId="3D0E87F8" w:rsidR="00890DCF" w:rsidRDefault="00890DCF">
          <w:pPr>
            <w:rPr>
              <w:rFonts w:asciiTheme="majorHAnsi" w:eastAsiaTheme="majorEastAsia" w:hAnsiTheme="majorHAnsi" w:cstheme="majorBidi"/>
              <w:color w:val="365F91" w:themeColor="accent1" w:themeShade="BF"/>
              <w:sz w:val="32"/>
              <w:szCs w:val="32"/>
              <w:lang w:val="es-MX"/>
            </w:rPr>
          </w:pPr>
          <w:r>
            <w:rPr>
              <w:noProof/>
            </w:rPr>
            <mc:AlternateContent>
              <mc:Choice Requires="wps">
                <w:drawing>
                  <wp:anchor distT="0" distB="0" distL="114300" distR="114300" simplePos="0" relativeHeight="251666432" behindDoc="0" locked="0" layoutInCell="1" allowOverlap="1" wp14:anchorId="7183106E" wp14:editId="4A55946C">
                    <wp:simplePos x="0" y="0"/>
                    <wp:positionH relativeFrom="page">
                      <wp:posOffset>84455</wp:posOffset>
                    </wp:positionH>
                    <wp:positionV relativeFrom="page">
                      <wp:posOffset>8120565</wp:posOffset>
                    </wp:positionV>
                    <wp:extent cx="7315200" cy="1009650"/>
                    <wp:effectExtent l="0" t="0" r="0" b="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7A9F37" w14:textId="77777777" w:rsidR="00890DCF" w:rsidRPr="00CE0B27" w:rsidRDefault="00890DCF" w:rsidP="00890DCF">
                                <w:pPr>
                                  <w:pStyle w:val="Sinespaciado"/>
                                  <w:jc w:val="center"/>
                                  <w:rPr>
                                    <w:color w:val="4F81BD" w:themeColor="accent1"/>
                                    <w:sz w:val="32"/>
                                    <w:szCs w:val="28"/>
                                    <w:lang w:val="es-ES"/>
                                  </w:rPr>
                                </w:pPr>
                                <w:r w:rsidRPr="00CE0B27">
                                  <w:rPr>
                                    <w:color w:val="4F81BD" w:themeColor="accent1"/>
                                    <w:sz w:val="32"/>
                                    <w:szCs w:val="28"/>
                                    <w:lang w:val="es-ES"/>
                                  </w:rPr>
                                  <w:t>Secretaría Distrital de Planeación.</w:t>
                                </w:r>
                              </w:p>
                              <w:p w14:paraId="5E3AD739" w14:textId="77777777" w:rsidR="00890DCF" w:rsidRPr="00CE0B27" w:rsidRDefault="00890DCF" w:rsidP="00890DCF">
                                <w:pPr>
                                  <w:pStyle w:val="Sinespaciado"/>
                                  <w:jc w:val="center"/>
                                  <w:rPr>
                                    <w:color w:val="595959" w:themeColor="text1" w:themeTint="A6"/>
                                    <w:sz w:val="32"/>
                                    <w:szCs w:val="20"/>
                                    <w:lang w:val="es-ES"/>
                                  </w:rPr>
                                </w:pPr>
                                <w:r w:rsidRPr="00CE0B27">
                                  <w:rPr>
                                    <w:color w:val="595959" w:themeColor="text1" w:themeTint="A6"/>
                                    <w:sz w:val="32"/>
                                    <w:szCs w:val="20"/>
                                    <w:lang w:val="es-ES"/>
                                  </w:rPr>
                                  <w:t>Alcaldía Mayor de Bogotá.</w:t>
                                </w:r>
                              </w:p>
                              <w:p w14:paraId="125F822C" w14:textId="77777777" w:rsidR="00890DCF" w:rsidRPr="00CE0B27" w:rsidRDefault="00890DCF" w:rsidP="00890DCF">
                                <w:pPr>
                                  <w:pStyle w:val="Sinespaciado"/>
                                  <w:jc w:val="center"/>
                                  <w:rPr>
                                    <w:color w:val="595959" w:themeColor="text1" w:themeTint="A6"/>
                                    <w:sz w:val="21"/>
                                    <w:szCs w:val="20"/>
                                    <w:lang w:val="es-ES"/>
                                  </w:rPr>
                                </w:pPr>
                              </w:p>
                              <w:p w14:paraId="75118B00" w14:textId="77777777" w:rsidR="00890DCF" w:rsidRPr="00CE0B27" w:rsidRDefault="00890DCF" w:rsidP="00890DCF">
                                <w:pPr>
                                  <w:pStyle w:val="Sinespaciado"/>
                                  <w:jc w:val="center"/>
                                  <w:rPr>
                                    <w:color w:val="595959" w:themeColor="text1" w:themeTint="A6"/>
                                    <w:sz w:val="32"/>
                                    <w:szCs w:val="20"/>
                                    <w:lang w:val="es-ES"/>
                                  </w:rPr>
                                </w:pPr>
                                <w:r w:rsidRPr="00CE0B27">
                                  <w:rPr>
                                    <w:color w:val="595959" w:themeColor="text1" w:themeTint="A6"/>
                                    <w:sz w:val="32"/>
                                    <w:szCs w:val="20"/>
                                    <w:lang w:val="es-ES"/>
                                  </w:rPr>
                                  <w:t>201</w:t>
                                </w:r>
                                <w:r>
                                  <w:rPr>
                                    <w:color w:val="595959" w:themeColor="text1" w:themeTint="A6"/>
                                    <w:sz w:val="32"/>
                                    <w:szCs w:val="20"/>
                                    <w:lang w:val="es-ES"/>
                                  </w:rPr>
                                  <w:t>8</w:t>
                                </w:r>
                                <w:r w:rsidRPr="00CE0B27">
                                  <w:rPr>
                                    <w:color w:val="595959" w:themeColor="text1" w:themeTint="A6"/>
                                    <w:sz w:val="32"/>
                                    <w:szCs w:val="20"/>
                                    <w:lang w:val="es-ES"/>
                                  </w:rPr>
                                  <w:t>.</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7183106E" id="Cuadro de texto 153" o:spid="_x0000_s1027" type="#_x0000_t202" style="position:absolute;margin-left:6.65pt;margin-top:639.4pt;width:8in;height:79.5pt;z-index:251666432;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" filled="f" stroked="f" strokeweight=".5pt">
                    <v:textbox style="mso-fit-shape-to-text:t" inset="126pt,0,54pt,0">
                      <w:txbxContent>
                        <w:p w14:paraId="3F7A9F37" w14:textId="77777777" w:rsidR="00890DCF" w:rsidRPr="00CE0B27" w:rsidRDefault="00890DCF" w:rsidP="00890DCF">
                          <w:pPr>
                            <w:pStyle w:val="Sinespaciado"/>
                            <w:jc w:val="center"/>
                            <w:rPr>
                              <w:color w:val="4F81BD" w:themeColor="accent1"/>
                              <w:sz w:val="32"/>
                              <w:szCs w:val="28"/>
                              <w:lang w:val="es-ES"/>
                            </w:rPr>
                          </w:pPr>
                          <w:r w:rsidRPr="00CE0B27">
                            <w:rPr>
                              <w:color w:val="4F81BD" w:themeColor="accent1"/>
                              <w:sz w:val="32"/>
                              <w:szCs w:val="28"/>
                              <w:lang w:val="es-ES"/>
                            </w:rPr>
                            <w:t>Secretaría Distrital de Planeación.</w:t>
                          </w:r>
                        </w:p>
                        <w:p w14:paraId="5E3AD739" w14:textId="77777777" w:rsidR="00890DCF" w:rsidRPr="00CE0B27" w:rsidRDefault="00890DCF" w:rsidP="00890DCF">
                          <w:pPr>
                            <w:pStyle w:val="Sinespaciado"/>
                            <w:jc w:val="center"/>
                            <w:rPr>
                              <w:color w:val="595959" w:themeColor="text1" w:themeTint="A6"/>
                              <w:sz w:val="32"/>
                              <w:szCs w:val="20"/>
                              <w:lang w:val="es-ES"/>
                            </w:rPr>
                          </w:pPr>
                          <w:r w:rsidRPr="00CE0B27">
                            <w:rPr>
                              <w:color w:val="595959" w:themeColor="text1" w:themeTint="A6"/>
                              <w:sz w:val="32"/>
                              <w:szCs w:val="20"/>
                              <w:lang w:val="es-ES"/>
                            </w:rPr>
                            <w:t>Alcaldía Mayor de Bogotá.</w:t>
                          </w:r>
                        </w:p>
                        <w:p w14:paraId="125F822C" w14:textId="77777777" w:rsidR="00890DCF" w:rsidRPr="00CE0B27" w:rsidRDefault="00890DCF" w:rsidP="00890DCF">
                          <w:pPr>
                            <w:pStyle w:val="Sinespaciado"/>
                            <w:jc w:val="center"/>
                            <w:rPr>
                              <w:color w:val="595959" w:themeColor="text1" w:themeTint="A6"/>
                              <w:sz w:val="21"/>
                              <w:szCs w:val="20"/>
                              <w:lang w:val="es-ES"/>
                            </w:rPr>
                          </w:pPr>
                        </w:p>
                        <w:p w14:paraId="75118B00" w14:textId="77777777" w:rsidR="00890DCF" w:rsidRPr="00CE0B27" w:rsidRDefault="00890DCF" w:rsidP="00890DCF">
                          <w:pPr>
                            <w:pStyle w:val="Sinespaciado"/>
                            <w:jc w:val="center"/>
                            <w:rPr>
                              <w:color w:val="595959" w:themeColor="text1" w:themeTint="A6"/>
                              <w:sz w:val="32"/>
                              <w:szCs w:val="20"/>
                              <w:lang w:val="es-ES"/>
                            </w:rPr>
                          </w:pPr>
                          <w:r w:rsidRPr="00CE0B27">
                            <w:rPr>
                              <w:color w:val="595959" w:themeColor="text1" w:themeTint="A6"/>
                              <w:sz w:val="32"/>
                              <w:szCs w:val="20"/>
                              <w:lang w:val="es-ES"/>
                            </w:rPr>
                            <w:t>201</w:t>
                          </w:r>
                          <w:r>
                            <w:rPr>
                              <w:color w:val="595959" w:themeColor="text1" w:themeTint="A6"/>
                              <w:sz w:val="32"/>
                              <w:szCs w:val="20"/>
                              <w:lang w:val="es-ES"/>
                            </w:rPr>
                            <w:t>8</w:t>
                          </w:r>
                          <w:r w:rsidRPr="00CE0B27">
                            <w:rPr>
                              <w:color w:val="595959" w:themeColor="text1" w:themeTint="A6"/>
                              <w:sz w:val="32"/>
                              <w:szCs w:val="20"/>
                              <w:lang w:val="es-ES"/>
                            </w:rPr>
                            <w:t>.</w:t>
                          </w:r>
                        </w:p>
                      </w:txbxContent>
                    </v:textbox>
                    <w10:wrap type="square" anchorx="page" anchory="page"/>
                  </v:shape>
                </w:pict>
              </mc:Fallback>
            </mc:AlternateContent>
          </w:r>
          <w:r>
            <w:rPr>
              <w:noProof/>
              <w:lang w:val="es-MX"/>
            </w:rPr>
            <w:drawing>
              <wp:anchor distT="0" distB="0" distL="114300" distR="114300" simplePos="0" relativeHeight="251664384" behindDoc="0" locked="0" layoutInCell="1" allowOverlap="1" wp14:anchorId="3F232E96" wp14:editId="26D3208A">
                <wp:simplePos x="0" y="0"/>
                <wp:positionH relativeFrom="column">
                  <wp:posOffset>0</wp:posOffset>
                </wp:positionH>
                <wp:positionV relativeFrom="paragraph">
                  <wp:posOffset>220844</wp:posOffset>
                </wp:positionV>
                <wp:extent cx="5282631" cy="335281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bservatorio Poblacional.png"/>
                        <pic:cNvPicPr/>
                      </pic:nvPicPr>
                      <pic:blipFill>
                        <a:blip r:embed="rId10"/>
                        <a:stretch>
                          <a:fillRect/>
                        </a:stretch>
                      </pic:blipFill>
                      <pic:spPr>
                        <a:xfrm>
                          <a:off x="0" y="0"/>
                          <a:ext cx="5282631" cy="3352814"/>
                        </a:xfrm>
                        <a:prstGeom prst="rect">
                          <a:avLst/>
                        </a:prstGeom>
                      </pic:spPr>
                    </pic:pic>
                  </a:graphicData>
                </a:graphic>
                <wp14:sizeRelH relativeFrom="page">
                  <wp14:pctWidth>0</wp14:pctWidth>
                </wp14:sizeRelH>
                <wp14:sizeRelV relativeFrom="page">
                  <wp14:pctHeight>0</wp14:pctHeight>
                </wp14:sizeRelV>
              </wp:anchor>
            </w:drawing>
          </w:r>
          <w:r>
            <w:rPr>
              <w:lang w:val="es-MX"/>
            </w:rPr>
            <w:br w:type="page"/>
          </w:r>
        </w:p>
      </w:sdtContent>
    </w:sdt>
    <w:p w14:paraId="3B9241A3" w14:textId="77777777" w:rsidR="00890DCF" w:rsidRDefault="00890DCF" w:rsidP="00E147F7">
      <w:pPr>
        <w:pStyle w:val="Ttulo1"/>
        <w:spacing w:after="120"/>
        <w:rPr>
          <w:lang w:val="es-MX"/>
        </w:rPr>
        <w:sectPr w:rsidR="00890DCF" w:rsidSect="00890DCF">
          <w:footerReference w:type="default" r:id="rId11"/>
          <w:pgSz w:w="12240" w:h="15840"/>
          <w:pgMar w:top="1417" w:right="1701" w:bottom="1417" w:left="1701" w:header="708" w:footer="708" w:gutter="0"/>
          <w:pgNumType w:start="0"/>
          <w:cols w:num="2" w:space="708"/>
          <w:titlePg/>
          <w:docGrid w:linePitch="360"/>
        </w:sectPr>
      </w:pPr>
    </w:p>
    <w:p w14:paraId="2970DEAD" w14:textId="77777777" w:rsidR="00890DCF" w:rsidRPr="00890DCF" w:rsidRDefault="00890DCF" w:rsidP="00890DCF">
      <w:pPr>
        <w:jc w:val="right"/>
        <w:rPr>
          <w:rFonts w:ascii="Calibri" w:eastAsia="Times New Roman" w:hAnsi="Calibri" w:cs="Arial"/>
          <w:b/>
          <w:bCs/>
          <w:color w:val="222222"/>
          <w:sz w:val="32"/>
          <w:lang w:eastAsia="es-ES_tradnl"/>
        </w:rPr>
      </w:pPr>
      <w:r w:rsidRPr="00890DCF">
        <w:rPr>
          <w:rFonts w:ascii="Calibri" w:eastAsia="Times New Roman" w:hAnsi="Calibri" w:cs="Arial"/>
          <w:b/>
          <w:color w:val="222222"/>
          <w:sz w:val="32"/>
          <w:lang w:eastAsia="es-ES_tradnl"/>
        </w:rPr>
        <w:lastRenderedPageBreak/>
        <w:t>Enrique Peñalosa Londoño</w:t>
      </w:r>
      <w:r w:rsidRPr="00890DCF">
        <w:rPr>
          <w:rFonts w:ascii="Calibri" w:eastAsia="Times New Roman" w:hAnsi="Calibri" w:cs="Arial"/>
          <w:b/>
          <w:bCs/>
          <w:color w:val="222222"/>
          <w:sz w:val="32"/>
          <w:lang w:eastAsia="es-ES_tradnl"/>
        </w:rPr>
        <w:t xml:space="preserve"> </w:t>
      </w:r>
    </w:p>
    <w:p w14:paraId="6A1B5AC7" w14:textId="77777777" w:rsidR="00890DCF" w:rsidRPr="00890DCF" w:rsidRDefault="00890DCF" w:rsidP="00890DCF">
      <w:pPr>
        <w:jc w:val="right"/>
        <w:rPr>
          <w:rFonts w:ascii="Calibri" w:eastAsia="Times New Roman" w:hAnsi="Calibri" w:cs="Arial"/>
          <w:color w:val="1F497D" w:themeColor="text2"/>
          <w:sz w:val="28"/>
          <w:lang w:eastAsia="es-ES_tradnl"/>
        </w:rPr>
      </w:pPr>
      <w:r w:rsidRPr="00890DCF">
        <w:rPr>
          <w:rFonts w:ascii="Calibri" w:eastAsia="Times New Roman" w:hAnsi="Calibri" w:cs="Arial"/>
          <w:b/>
          <w:bCs/>
          <w:color w:val="1F497D" w:themeColor="text2"/>
          <w:sz w:val="28"/>
          <w:lang w:eastAsia="es-ES_tradnl"/>
        </w:rPr>
        <w:t>Alcalde Mayor de Bogotá D.C.</w:t>
      </w:r>
    </w:p>
    <w:p w14:paraId="36766C85" w14:textId="77777777" w:rsidR="00890DCF" w:rsidRPr="00890DCF" w:rsidRDefault="00890DCF" w:rsidP="00890DCF">
      <w:pPr>
        <w:spacing w:after="0" w:line="240" w:lineRule="auto"/>
        <w:jc w:val="right"/>
        <w:rPr>
          <w:rFonts w:ascii="Calibri" w:eastAsia="Times New Roman" w:hAnsi="Calibri" w:cs="Arial"/>
          <w:color w:val="222222"/>
          <w:sz w:val="24"/>
          <w:lang w:eastAsia="es-ES_tradnl"/>
        </w:rPr>
      </w:pPr>
    </w:p>
    <w:p w14:paraId="782DF731" w14:textId="77777777" w:rsidR="00890DCF" w:rsidRPr="00890DCF" w:rsidRDefault="00890DCF" w:rsidP="00890DCF">
      <w:pPr>
        <w:jc w:val="right"/>
        <w:rPr>
          <w:rFonts w:ascii="Calibri" w:eastAsia="Times New Roman" w:hAnsi="Calibri" w:cs="Arial"/>
          <w:b/>
          <w:color w:val="222222"/>
          <w:sz w:val="32"/>
          <w:lang w:eastAsia="es-ES_tradnl"/>
        </w:rPr>
      </w:pPr>
      <w:r w:rsidRPr="00890DCF">
        <w:rPr>
          <w:rFonts w:ascii="Calibri" w:eastAsia="Times New Roman" w:hAnsi="Calibri" w:cs="Arial"/>
          <w:b/>
          <w:color w:val="222222"/>
          <w:sz w:val="32"/>
          <w:lang w:eastAsia="es-ES_tradnl"/>
        </w:rPr>
        <w:t>Andrés Ortiz Gómez </w:t>
      </w:r>
    </w:p>
    <w:p w14:paraId="1670FA94" w14:textId="77777777" w:rsidR="00890DCF" w:rsidRPr="00890DCF" w:rsidRDefault="00890DCF" w:rsidP="00890DCF">
      <w:pPr>
        <w:jc w:val="right"/>
        <w:rPr>
          <w:rFonts w:ascii="Calibri" w:eastAsia="Times New Roman" w:hAnsi="Calibri" w:cs="Arial"/>
          <w:color w:val="1F497D" w:themeColor="text2"/>
          <w:sz w:val="28"/>
          <w:lang w:eastAsia="es-ES_tradnl"/>
        </w:rPr>
      </w:pPr>
      <w:r w:rsidRPr="00890DCF">
        <w:rPr>
          <w:rFonts w:ascii="Calibri" w:eastAsia="Times New Roman" w:hAnsi="Calibri" w:cs="Arial"/>
          <w:b/>
          <w:bCs/>
          <w:color w:val="1F497D" w:themeColor="text2"/>
          <w:sz w:val="28"/>
          <w:lang w:eastAsia="es-ES_tradnl"/>
        </w:rPr>
        <w:t>Secretario Distrital de Planeación</w:t>
      </w:r>
    </w:p>
    <w:p w14:paraId="0749C946" w14:textId="77777777" w:rsidR="00890DCF" w:rsidRPr="00890DCF" w:rsidRDefault="00890DCF" w:rsidP="00890DCF">
      <w:pPr>
        <w:spacing w:after="0" w:line="240" w:lineRule="auto"/>
        <w:jc w:val="right"/>
        <w:rPr>
          <w:rFonts w:ascii="Calibri" w:eastAsia="Times New Roman" w:hAnsi="Calibri" w:cs="Arial"/>
          <w:color w:val="222222"/>
          <w:sz w:val="24"/>
          <w:lang w:eastAsia="es-ES_tradnl"/>
        </w:rPr>
      </w:pPr>
    </w:p>
    <w:p w14:paraId="34BB3D2D" w14:textId="77777777" w:rsidR="00890DCF" w:rsidRPr="00890DCF" w:rsidRDefault="00890DCF" w:rsidP="00890DCF">
      <w:pPr>
        <w:spacing w:after="0" w:line="240" w:lineRule="auto"/>
        <w:jc w:val="right"/>
        <w:rPr>
          <w:rFonts w:ascii="Calibri" w:eastAsia="Times New Roman" w:hAnsi="Calibri" w:cs="Arial"/>
          <w:color w:val="222222"/>
          <w:sz w:val="24"/>
          <w:lang w:eastAsia="es-ES_tradnl"/>
        </w:rPr>
      </w:pPr>
    </w:p>
    <w:p w14:paraId="0E26AA69" w14:textId="77777777" w:rsidR="00890DCF" w:rsidRPr="00890DCF" w:rsidRDefault="00890DCF" w:rsidP="00890DCF">
      <w:pPr>
        <w:spacing w:after="0" w:line="240" w:lineRule="auto"/>
        <w:jc w:val="right"/>
        <w:rPr>
          <w:rFonts w:ascii="Calibri" w:eastAsia="Times New Roman" w:hAnsi="Calibri" w:cs="Arial"/>
          <w:color w:val="222222"/>
          <w:sz w:val="24"/>
          <w:lang w:eastAsia="es-ES_tradnl"/>
        </w:rPr>
      </w:pPr>
    </w:p>
    <w:p w14:paraId="7C64476C" w14:textId="77777777" w:rsidR="00890DCF" w:rsidRPr="00890DCF" w:rsidRDefault="00890DCF" w:rsidP="00890DCF">
      <w:pPr>
        <w:jc w:val="right"/>
        <w:rPr>
          <w:rFonts w:ascii="Calibri" w:eastAsia="Times New Roman" w:hAnsi="Calibri" w:cs="Arial"/>
          <w:b/>
          <w:color w:val="222222"/>
          <w:sz w:val="28"/>
          <w:lang w:eastAsia="es-ES_tradnl"/>
        </w:rPr>
      </w:pPr>
      <w:r w:rsidRPr="00890DCF">
        <w:rPr>
          <w:rFonts w:ascii="Calibri" w:eastAsia="Times New Roman" w:hAnsi="Calibri" w:cs="Arial"/>
          <w:b/>
          <w:color w:val="222222"/>
          <w:sz w:val="28"/>
          <w:lang w:eastAsia="es-ES_tradnl"/>
        </w:rPr>
        <w:t>Paola Gómez Campos </w:t>
      </w:r>
    </w:p>
    <w:p w14:paraId="2E14ECCD" w14:textId="77777777" w:rsidR="00890DCF" w:rsidRPr="00890DCF" w:rsidRDefault="00890DCF" w:rsidP="00890DCF">
      <w:pPr>
        <w:jc w:val="right"/>
        <w:rPr>
          <w:rFonts w:ascii="Calibri" w:eastAsia="Times New Roman" w:hAnsi="Calibri" w:cs="Arial"/>
          <w:color w:val="1F497D" w:themeColor="text2"/>
          <w:sz w:val="24"/>
          <w:lang w:eastAsia="es-ES_tradnl"/>
        </w:rPr>
      </w:pPr>
      <w:r w:rsidRPr="00890DCF">
        <w:rPr>
          <w:rFonts w:ascii="Calibri" w:eastAsia="Times New Roman" w:hAnsi="Calibri" w:cs="Arial"/>
          <w:b/>
          <w:bCs/>
          <w:color w:val="1F497D" w:themeColor="text2"/>
          <w:sz w:val="24"/>
          <w:lang w:eastAsia="es-ES_tradnl"/>
        </w:rPr>
        <w:t>Subsecretaria de Planeación Socioeconómica</w:t>
      </w:r>
      <w:r w:rsidRPr="00890DCF">
        <w:rPr>
          <w:rFonts w:ascii="Calibri" w:eastAsia="Times New Roman" w:hAnsi="Calibri" w:cs="Arial"/>
          <w:color w:val="1F497D" w:themeColor="text2"/>
          <w:sz w:val="24"/>
          <w:lang w:eastAsia="es-ES_tradnl"/>
        </w:rPr>
        <w:t> </w:t>
      </w:r>
    </w:p>
    <w:p w14:paraId="73CD43F8" w14:textId="77777777" w:rsidR="00890DCF" w:rsidRPr="00890DCF" w:rsidRDefault="00890DCF" w:rsidP="00890DCF">
      <w:pPr>
        <w:spacing w:after="0" w:line="240" w:lineRule="auto"/>
        <w:jc w:val="right"/>
        <w:rPr>
          <w:rFonts w:ascii="Calibri" w:eastAsia="Times New Roman" w:hAnsi="Calibri" w:cs="Arial"/>
          <w:color w:val="222222"/>
          <w:sz w:val="24"/>
          <w:lang w:eastAsia="es-ES_tradnl"/>
        </w:rPr>
      </w:pPr>
    </w:p>
    <w:p w14:paraId="24B57695" w14:textId="77777777" w:rsidR="00890DCF" w:rsidRPr="00890DCF" w:rsidRDefault="00890DCF" w:rsidP="00890DCF">
      <w:pPr>
        <w:spacing w:after="0" w:line="240" w:lineRule="auto"/>
        <w:jc w:val="right"/>
        <w:rPr>
          <w:rFonts w:ascii="Calibri" w:eastAsia="Times New Roman" w:hAnsi="Calibri" w:cs="Arial"/>
          <w:color w:val="222222"/>
          <w:sz w:val="24"/>
          <w:lang w:eastAsia="es-ES_tradnl"/>
        </w:rPr>
      </w:pPr>
    </w:p>
    <w:p w14:paraId="609304C6" w14:textId="77777777" w:rsidR="00890DCF" w:rsidRPr="00890DCF" w:rsidRDefault="00890DCF" w:rsidP="00890DCF">
      <w:pPr>
        <w:jc w:val="right"/>
        <w:rPr>
          <w:rFonts w:ascii="Calibri" w:eastAsia="Times New Roman" w:hAnsi="Calibri" w:cs="Arial"/>
          <w:b/>
          <w:color w:val="222222"/>
          <w:sz w:val="28"/>
          <w:lang w:eastAsia="es-ES_tradnl"/>
        </w:rPr>
      </w:pPr>
      <w:r w:rsidRPr="00890DCF">
        <w:rPr>
          <w:rFonts w:ascii="Calibri" w:eastAsia="Times New Roman" w:hAnsi="Calibri" w:cs="Arial"/>
          <w:b/>
          <w:color w:val="222222"/>
          <w:sz w:val="28"/>
          <w:lang w:eastAsia="es-ES_tradnl"/>
        </w:rPr>
        <w:t>Diego Alejandro Peña Restrepo</w:t>
      </w:r>
    </w:p>
    <w:p w14:paraId="032B072F" w14:textId="77777777" w:rsidR="00890DCF" w:rsidRPr="00890DCF" w:rsidRDefault="00890DCF" w:rsidP="00890DCF">
      <w:pPr>
        <w:jc w:val="right"/>
        <w:rPr>
          <w:rFonts w:ascii="Calibri" w:eastAsia="Times New Roman" w:hAnsi="Calibri" w:cs="Arial"/>
          <w:b/>
          <w:bCs/>
          <w:color w:val="1F497D" w:themeColor="text2"/>
          <w:sz w:val="24"/>
          <w:lang w:eastAsia="es-ES_tradnl"/>
        </w:rPr>
      </w:pPr>
      <w:r w:rsidRPr="00890DCF">
        <w:rPr>
          <w:rFonts w:ascii="Calibri" w:eastAsia="Times New Roman" w:hAnsi="Calibri" w:cs="Arial"/>
          <w:b/>
          <w:bCs/>
          <w:color w:val="1F497D" w:themeColor="text2"/>
          <w:sz w:val="24"/>
          <w:lang w:eastAsia="es-ES_tradnl"/>
        </w:rPr>
        <w:t>Director de Equidad y Políticas Poblacionales</w:t>
      </w:r>
    </w:p>
    <w:p w14:paraId="24BF5517" w14:textId="77777777" w:rsidR="00890DCF" w:rsidRPr="00890DCF" w:rsidRDefault="00890DCF" w:rsidP="00890DCF">
      <w:pPr>
        <w:spacing w:after="0" w:line="240" w:lineRule="auto"/>
        <w:jc w:val="right"/>
        <w:rPr>
          <w:rFonts w:ascii="Calibri" w:eastAsia="Times New Roman" w:hAnsi="Calibri" w:cs="Arial"/>
          <w:color w:val="1F497D" w:themeColor="text2"/>
          <w:sz w:val="24"/>
          <w:lang w:eastAsia="es-ES_tradnl"/>
        </w:rPr>
      </w:pPr>
    </w:p>
    <w:p w14:paraId="5B3023FB" w14:textId="77777777" w:rsidR="00890DCF" w:rsidRPr="00890DCF" w:rsidRDefault="00890DCF" w:rsidP="00890DCF">
      <w:pPr>
        <w:spacing w:after="0" w:line="240" w:lineRule="auto"/>
        <w:jc w:val="right"/>
        <w:rPr>
          <w:rFonts w:ascii="Calibri" w:eastAsia="Times New Roman" w:hAnsi="Calibri" w:cs="Arial"/>
          <w:color w:val="222222"/>
          <w:sz w:val="24"/>
          <w:lang w:eastAsia="es-ES_tradnl"/>
        </w:rPr>
      </w:pPr>
      <w:r w:rsidRPr="00890DCF">
        <w:rPr>
          <w:rFonts w:ascii="Calibri" w:eastAsia="Times New Roman" w:hAnsi="Calibri" w:cs="Arial"/>
          <w:color w:val="1F497D" w:themeColor="text2"/>
          <w:sz w:val="24"/>
          <w:lang w:eastAsia="es-ES_tradnl"/>
        </w:rPr>
        <w:t> </w:t>
      </w:r>
    </w:p>
    <w:p w14:paraId="60E12FBF" w14:textId="77777777" w:rsidR="00890DCF" w:rsidRPr="00890DCF" w:rsidRDefault="00890DCF" w:rsidP="00890DCF">
      <w:pPr>
        <w:jc w:val="right"/>
        <w:rPr>
          <w:rFonts w:ascii="Calibri" w:eastAsia="Times New Roman" w:hAnsi="Calibri" w:cs="Arial"/>
          <w:b/>
          <w:color w:val="222222"/>
          <w:sz w:val="28"/>
          <w:lang w:eastAsia="es-ES_tradnl"/>
        </w:rPr>
      </w:pPr>
      <w:r w:rsidRPr="00890DCF">
        <w:rPr>
          <w:rFonts w:ascii="Calibri" w:eastAsia="Times New Roman" w:hAnsi="Calibri" w:cs="Arial"/>
          <w:b/>
          <w:color w:val="222222"/>
          <w:sz w:val="28"/>
          <w:lang w:eastAsia="es-ES_tradnl"/>
        </w:rPr>
        <w:t>Juliana Moncada Guayazán</w:t>
      </w:r>
    </w:p>
    <w:p w14:paraId="39F18AE1" w14:textId="77777777" w:rsidR="00890DCF" w:rsidRPr="00890DCF" w:rsidRDefault="00890DCF" w:rsidP="00890DCF">
      <w:pPr>
        <w:jc w:val="right"/>
        <w:rPr>
          <w:rFonts w:ascii="Calibri" w:eastAsia="Times New Roman" w:hAnsi="Calibri" w:cs="Arial"/>
          <w:color w:val="1F497D" w:themeColor="text2"/>
          <w:sz w:val="24"/>
          <w:lang w:eastAsia="es-ES_tradnl"/>
        </w:rPr>
      </w:pPr>
      <w:r w:rsidRPr="00890DCF">
        <w:rPr>
          <w:rFonts w:ascii="Calibri" w:eastAsia="Times New Roman" w:hAnsi="Calibri" w:cs="Arial"/>
          <w:b/>
          <w:bCs/>
          <w:color w:val="1F497D" w:themeColor="text2"/>
          <w:sz w:val="24"/>
          <w:lang w:eastAsia="es-ES_tradnl"/>
        </w:rPr>
        <w:t>Equipo de trabajo del Observatorio Poblacional Diferencial y de Familias</w:t>
      </w:r>
    </w:p>
    <w:p w14:paraId="0269A113" w14:textId="77777777" w:rsidR="00890DCF" w:rsidRPr="00890DCF" w:rsidRDefault="00890DCF" w:rsidP="00890DCF">
      <w:pPr>
        <w:rPr>
          <w:rFonts w:ascii="Calibri" w:eastAsia="Times New Roman" w:hAnsi="Calibri" w:cs="Arial"/>
          <w:b/>
          <w:bCs/>
          <w:color w:val="222222"/>
          <w:sz w:val="24"/>
          <w:lang w:eastAsia="es-ES_tradnl"/>
        </w:rPr>
      </w:pPr>
    </w:p>
    <w:p w14:paraId="29550662" w14:textId="77777777" w:rsidR="00890DCF" w:rsidRPr="00890DCF" w:rsidRDefault="00890DCF" w:rsidP="00890DCF">
      <w:pPr>
        <w:jc w:val="right"/>
        <w:rPr>
          <w:rFonts w:ascii="Calibri" w:eastAsia="Times New Roman" w:hAnsi="Calibri" w:cs="Arial"/>
          <w:b/>
          <w:bCs/>
          <w:color w:val="1F497D" w:themeColor="text2"/>
          <w:sz w:val="28"/>
          <w:lang w:eastAsia="es-ES_tradnl"/>
        </w:rPr>
      </w:pPr>
      <w:r w:rsidRPr="00890DCF">
        <w:rPr>
          <w:rFonts w:ascii="Calibri" w:eastAsia="Times New Roman" w:hAnsi="Calibri" w:cs="Arial"/>
          <w:b/>
          <w:bCs/>
          <w:color w:val="1F497D" w:themeColor="text2"/>
          <w:sz w:val="28"/>
          <w:lang w:eastAsia="es-ES_tradnl"/>
        </w:rPr>
        <w:t xml:space="preserve">Coordinación Editorial </w:t>
      </w:r>
    </w:p>
    <w:p w14:paraId="3DE2A516" w14:textId="77777777" w:rsidR="00890DCF" w:rsidRPr="00890DCF" w:rsidRDefault="00890DCF" w:rsidP="00890DCF">
      <w:pPr>
        <w:jc w:val="right"/>
        <w:rPr>
          <w:rFonts w:ascii="Calibri" w:eastAsia="Times New Roman" w:hAnsi="Calibri" w:cs="Arial"/>
          <w:b/>
          <w:color w:val="222222"/>
          <w:sz w:val="28"/>
          <w:lang w:eastAsia="es-ES_tradnl"/>
        </w:rPr>
      </w:pPr>
      <w:r w:rsidRPr="00890DCF">
        <w:rPr>
          <w:rFonts w:ascii="Calibri" w:eastAsia="Times New Roman" w:hAnsi="Calibri" w:cs="Arial"/>
          <w:b/>
          <w:bCs/>
          <w:color w:val="222222"/>
          <w:sz w:val="28"/>
          <w:lang w:eastAsia="es-ES_tradnl"/>
        </w:rPr>
        <w:t>Oficina Asesora de Prensa y Comunicaciones - SDP</w:t>
      </w:r>
    </w:p>
    <w:p w14:paraId="3AE41269" w14:textId="77777777" w:rsidR="00890DCF" w:rsidRPr="00890DCF" w:rsidRDefault="00890DCF" w:rsidP="00890DCF">
      <w:pPr>
        <w:jc w:val="right"/>
        <w:rPr>
          <w:rFonts w:ascii="Calibri" w:eastAsia="Times New Roman" w:hAnsi="Calibri" w:cs="Arial"/>
          <w:color w:val="1F497D" w:themeColor="text2"/>
          <w:sz w:val="28"/>
          <w:lang w:eastAsia="es-ES_tradnl"/>
        </w:rPr>
      </w:pPr>
      <w:r w:rsidRPr="00890DCF">
        <w:rPr>
          <w:rFonts w:ascii="Calibri" w:eastAsia="Times New Roman" w:hAnsi="Calibri" w:cs="Arial"/>
          <w:b/>
          <w:bCs/>
          <w:color w:val="1F497D" w:themeColor="text2"/>
          <w:sz w:val="28"/>
          <w:lang w:eastAsia="es-ES_tradnl"/>
        </w:rPr>
        <w:t xml:space="preserve">Diseño y diagramación </w:t>
      </w:r>
    </w:p>
    <w:p w14:paraId="5AA322AE" w14:textId="77777777" w:rsidR="00890DCF" w:rsidRPr="00890DCF" w:rsidRDefault="00890DCF" w:rsidP="00890DCF">
      <w:pPr>
        <w:jc w:val="right"/>
        <w:rPr>
          <w:rFonts w:ascii="Calibri" w:eastAsia="Times New Roman" w:hAnsi="Calibri" w:cs="Arial"/>
          <w:b/>
          <w:color w:val="222222"/>
          <w:sz w:val="28"/>
          <w:lang w:eastAsia="es-ES_tradnl"/>
        </w:rPr>
      </w:pPr>
      <w:r w:rsidRPr="00890DCF">
        <w:rPr>
          <w:rFonts w:ascii="Calibri" w:eastAsia="Times New Roman" w:hAnsi="Calibri" w:cs="Arial"/>
          <w:b/>
          <w:bCs/>
          <w:color w:val="222222"/>
          <w:sz w:val="28"/>
          <w:lang w:eastAsia="es-ES_tradnl"/>
        </w:rPr>
        <w:t>Oficina Asesora de Prensa y Comunicaciones - SDP</w:t>
      </w:r>
    </w:p>
    <w:p w14:paraId="3F765390" w14:textId="77777777" w:rsidR="00890DCF" w:rsidRPr="00890DCF" w:rsidRDefault="00890DCF" w:rsidP="00890DCF">
      <w:pPr>
        <w:jc w:val="center"/>
        <w:rPr>
          <w:rFonts w:ascii="Calibri" w:eastAsia="Times New Roman" w:hAnsi="Calibri" w:cs="Arial"/>
          <w:b/>
          <w:bCs/>
          <w:color w:val="222222"/>
          <w:sz w:val="24"/>
          <w:lang w:eastAsia="es-ES_tradnl"/>
        </w:rPr>
      </w:pPr>
    </w:p>
    <w:p w14:paraId="397099CC" w14:textId="77777777" w:rsidR="00890DCF" w:rsidRPr="00890DCF" w:rsidRDefault="00890DCF" w:rsidP="00890DCF">
      <w:pPr>
        <w:jc w:val="right"/>
        <w:rPr>
          <w:rFonts w:ascii="Calibri" w:eastAsia="Times New Roman" w:hAnsi="Calibri" w:cs="Arial"/>
          <w:color w:val="808080" w:themeColor="background1" w:themeShade="80"/>
          <w:sz w:val="28"/>
          <w:lang w:eastAsia="es-ES_tradnl"/>
        </w:rPr>
      </w:pPr>
      <w:r w:rsidRPr="00890DCF">
        <w:rPr>
          <w:rFonts w:ascii="Calibri" w:eastAsia="Times New Roman" w:hAnsi="Calibri" w:cs="Arial"/>
          <w:color w:val="808080" w:themeColor="background1" w:themeShade="80"/>
          <w:sz w:val="28"/>
          <w:lang w:eastAsia="es-ES_tradnl"/>
        </w:rPr>
        <w:t>Año de publicación 2019 Bogotá D.C.  </w:t>
      </w:r>
    </w:p>
    <w:p w14:paraId="3B60C803" w14:textId="77777777" w:rsidR="00890DCF" w:rsidRDefault="00890DCF" w:rsidP="00E147F7">
      <w:pPr>
        <w:pStyle w:val="Ttulo1"/>
        <w:spacing w:after="120"/>
        <w:rPr>
          <w:lang w:val="es-MX"/>
        </w:rPr>
        <w:sectPr w:rsidR="00890DCF" w:rsidSect="00890DCF">
          <w:pgSz w:w="12240" w:h="15840"/>
          <w:pgMar w:top="1417" w:right="1701" w:bottom="1417" w:left="1701" w:header="708" w:footer="708" w:gutter="0"/>
          <w:pgNumType w:start="0"/>
          <w:cols w:space="708"/>
          <w:titlePg/>
          <w:docGrid w:linePitch="360"/>
        </w:sectPr>
      </w:pPr>
      <w:bookmarkStart w:id="1" w:name="_GoBack"/>
      <w:bookmarkEnd w:id="1"/>
    </w:p>
    <w:p w14:paraId="104C5554" w14:textId="74ECCC26" w:rsidR="00DD5DB3" w:rsidRDefault="00202972" w:rsidP="00E147F7">
      <w:pPr>
        <w:pStyle w:val="Ttulo1"/>
        <w:spacing w:after="120"/>
        <w:rPr>
          <w:lang w:val="es-MX"/>
        </w:rPr>
      </w:pPr>
      <w:r>
        <w:rPr>
          <w:lang w:val="es-MX"/>
        </w:rPr>
        <w:lastRenderedPageBreak/>
        <w:t>Introducción</w:t>
      </w:r>
    </w:p>
    <w:p w14:paraId="3BC9AE9A" w14:textId="13C0A8E1" w:rsidR="00E147F7" w:rsidRPr="00E147F7" w:rsidRDefault="00E147F7" w:rsidP="00E147F7">
      <w:pPr>
        <w:spacing w:line="360" w:lineRule="auto"/>
        <w:jc w:val="both"/>
        <w:rPr>
          <w:rFonts w:ascii="Garamond" w:hAnsi="Garamond"/>
          <w:sz w:val="20"/>
          <w:szCs w:val="20"/>
          <w:lang w:val="es-MX"/>
        </w:rPr>
      </w:pPr>
      <w:r w:rsidRPr="00E147F7">
        <w:rPr>
          <w:rFonts w:ascii="Garamond" w:hAnsi="Garamond"/>
          <w:sz w:val="20"/>
          <w:szCs w:val="20"/>
          <w:lang w:val="es-MX"/>
        </w:rPr>
        <w:t>A partir de la información obtenida en la Encuesta Multipropósito de Bogotá- EMB del año 2017 se realiza un análisis para cada uno de los hogares encuestados con el fin de identificar su tipología familiar por el parentesco que existe entre sus integrantes, esto considerando la ausencia de información primaria sobre las familias de la ciudad.</w:t>
      </w:r>
      <w:r w:rsidR="0030529C" w:rsidRPr="0030529C">
        <w:t xml:space="preserve"> </w:t>
      </w:r>
    </w:p>
    <w:p w14:paraId="569E1B0F" w14:textId="7FFAB8E4" w:rsidR="005E3CC0" w:rsidRDefault="00E147F7" w:rsidP="005E3CC0">
      <w:pPr>
        <w:spacing w:line="360" w:lineRule="auto"/>
        <w:jc w:val="both"/>
        <w:rPr>
          <w:rFonts w:ascii="Garamond" w:hAnsi="Garamond"/>
          <w:sz w:val="20"/>
          <w:szCs w:val="20"/>
          <w:lang w:val="es-MX"/>
        </w:rPr>
      </w:pPr>
      <w:r w:rsidRPr="00E147F7">
        <w:rPr>
          <w:rFonts w:ascii="Garamond" w:hAnsi="Garamond"/>
          <w:sz w:val="20"/>
          <w:szCs w:val="20"/>
          <w:lang w:val="es-MX"/>
        </w:rPr>
        <w:t>La EMB 2017 recogió información en Bogotá de 222 mil personas de 77 mil hogares que representan</w:t>
      </w:r>
      <w:r>
        <w:rPr>
          <w:rFonts w:ascii="Garamond" w:hAnsi="Garamond"/>
          <w:sz w:val="20"/>
          <w:szCs w:val="20"/>
          <w:lang w:val="es-MX"/>
        </w:rPr>
        <w:t xml:space="preserve"> </w:t>
      </w:r>
      <w:r w:rsidRPr="00E147F7">
        <w:rPr>
          <w:rFonts w:ascii="Garamond" w:hAnsi="Garamond"/>
          <w:sz w:val="20"/>
          <w:szCs w:val="20"/>
          <w:lang w:val="es-MX"/>
        </w:rPr>
        <w:t xml:space="preserve">2.697.440 hogares del área urbana y 2.385 del área rural. En </w:t>
      </w:r>
      <w:r w:rsidR="005E3CC0">
        <w:rPr>
          <w:rFonts w:ascii="Garamond" w:hAnsi="Garamond"/>
          <w:sz w:val="20"/>
          <w:szCs w:val="20"/>
          <w:lang w:val="es-MX"/>
        </w:rPr>
        <w:t>las áreas</w:t>
      </w:r>
      <w:r w:rsidRPr="00E147F7">
        <w:rPr>
          <w:rFonts w:ascii="Garamond" w:hAnsi="Garamond"/>
          <w:sz w:val="20"/>
          <w:szCs w:val="20"/>
          <w:lang w:val="es-MX"/>
        </w:rPr>
        <w:t xml:space="preserve"> urbana la información se recogió de manera muestral y a nivel rural se hizo de manera censal (caso de todos los hogares de la localidad de Sumapaz y de los hogares rurales de Usaquén, Chapinero, Santa Fe, San Cristóbal, Usme, Suba y Ciudad Bolívar)</w:t>
      </w:r>
      <w:r>
        <w:rPr>
          <w:rStyle w:val="Refdenotaalpie"/>
          <w:rFonts w:ascii="Garamond" w:hAnsi="Garamond"/>
          <w:sz w:val="20"/>
          <w:szCs w:val="20"/>
          <w:lang w:val="es-MX"/>
        </w:rPr>
        <w:footnoteReference w:id="1"/>
      </w:r>
      <w:r w:rsidR="005E3CC0">
        <w:rPr>
          <w:rFonts w:ascii="Garamond" w:hAnsi="Garamond"/>
          <w:sz w:val="20"/>
          <w:szCs w:val="20"/>
          <w:lang w:val="es-MX"/>
        </w:rPr>
        <w:t xml:space="preserve"> </w:t>
      </w:r>
    </w:p>
    <w:p w14:paraId="4B4F3006" w14:textId="0200C4EB" w:rsidR="00E147F7" w:rsidRPr="00E147F7" w:rsidRDefault="00E147F7" w:rsidP="00E147F7">
      <w:pPr>
        <w:spacing w:line="360" w:lineRule="auto"/>
        <w:jc w:val="both"/>
        <w:rPr>
          <w:rFonts w:ascii="Garamond" w:hAnsi="Garamond"/>
          <w:sz w:val="20"/>
          <w:szCs w:val="20"/>
          <w:lang w:val="es-MX"/>
        </w:rPr>
      </w:pPr>
      <w:r w:rsidRPr="00E147F7">
        <w:rPr>
          <w:rFonts w:ascii="Garamond" w:hAnsi="Garamond"/>
          <w:sz w:val="20"/>
          <w:szCs w:val="20"/>
          <w:lang w:val="es-MX"/>
        </w:rPr>
        <w:t>Para el desarrollo de dicho análisis se tomó como referencia el documento del Departamento Nacional de Planeación</w:t>
      </w:r>
      <w:r>
        <w:rPr>
          <w:rFonts w:ascii="Garamond" w:hAnsi="Garamond"/>
          <w:sz w:val="20"/>
          <w:szCs w:val="20"/>
          <w:lang w:val="es-MX"/>
        </w:rPr>
        <w:t>-</w:t>
      </w:r>
      <w:r w:rsidRPr="00E147F7">
        <w:rPr>
          <w:rFonts w:ascii="Garamond" w:hAnsi="Garamond"/>
          <w:sz w:val="20"/>
          <w:szCs w:val="20"/>
          <w:lang w:val="es-MX"/>
        </w:rPr>
        <w:t xml:space="preserve"> DNP llamado “Tipologías de familias en Colombia: Evolución 1993-2014”</w:t>
      </w:r>
      <w:r>
        <w:rPr>
          <w:rFonts w:ascii="Garamond" w:hAnsi="Garamond"/>
          <w:sz w:val="20"/>
          <w:szCs w:val="20"/>
          <w:lang w:val="es-MX"/>
        </w:rPr>
        <w:t xml:space="preserve"> </w:t>
      </w:r>
      <w:r w:rsidRPr="00E147F7">
        <w:rPr>
          <w:rFonts w:ascii="Garamond" w:hAnsi="Garamond"/>
          <w:sz w:val="20"/>
          <w:szCs w:val="20"/>
          <w:lang w:val="es-MX"/>
        </w:rPr>
        <w:t>del Observatorio de Políticas de las Familias.</w:t>
      </w:r>
    </w:p>
    <w:p w14:paraId="64145FDD" w14:textId="70A75C5C" w:rsidR="00E147F7" w:rsidRPr="00E147F7" w:rsidRDefault="00E147F7" w:rsidP="00E147F7">
      <w:pPr>
        <w:spacing w:line="360" w:lineRule="auto"/>
        <w:jc w:val="both"/>
        <w:rPr>
          <w:rFonts w:ascii="Garamond" w:hAnsi="Garamond"/>
          <w:sz w:val="20"/>
          <w:szCs w:val="20"/>
          <w:lang w:val="es-MX"/>
        </w:rPr>
      </w:pPr>
      <w:r w:rsidRPr="00E147F7">
        <w:rPr>
          <w:rFonts w:ascii="Garamond" w:hAnsi="Garamond"/>
          <w:sz w:val="20"/>
          <w:szCs w:val="20"/>
          <w:lang w:val="es-MX"/>
        </w:rPr>
        <w:t>Este boletín presenta para cada una de las localidades de la capital y para cada uno de los estratos socioeconómicos, cifras de las tipologías familiares con base en la información que se tiene del parentesco de los integrantes del hogar con el jefe del hogar.</w:t>
      </w:r>
    </w:p>
    <w:p w14:paraId="57927787" w14:textId="4D2C4F0D" w:rsidR="00E147F7" w:rsidRDefault="00E147F7" w:rsidP="00E147F7">
      <w:pPr>
        <w:spacing w:line="360" w:lineRule="auto"/>
        <w:jc w:val="both"/>
        <w:rPr>
          <w:rFonts w:ascii="Garamond" w:hAnsi="Garamond"/>
          <w:sz w:val="20"/>
          <w:szCs w:val="20"/>
          <w:lang w:val="es-MX"/>
        </w:rPr>
      </w:pPr>
      <w:r w:rsidRPr="00E147F7">
        <w:rPr>
          <w:rFonts w:ascii="Garamond" w:hAnsi="Garamond"/>
          <w:sz w:val="20"/>
          <w:szCs w:val="20"/>
          <w:lang w:val="es-MX"/>
        </w:rPr>
        <w:t xml:space="preserve">Esta información es clave para comprender mejor las dinámicas sociales que se presentan en la ciudad capitalina, y sobre todo para poder entender las necesidades que en materia de </w:t>
      </w:r>
      <w:r>
        <w:rPr>
          <w:rFonts w:ascii="Garamond" w:hAnsi="Garamond"/>
          <w:sz w:val="20"/>
          <w:szCs w:val="20"/>
          <w:lang w:val="es-MX"/>
        </w:rPr>
        <w:t>p</w:t>
      </w:r>
      <w:r w:rsidRPr="00E147F7">
        <w:rPr>
          <w:rFonts w:ascii="Garamond" w:hAnsi="Garamond"/>
          <w:sz w:val="20"/>
          <w:szCs w:val="20"/>
          <w:lang w:val="es-MX"/>
        </w:rPr>
        <w:t>olítica</w:t>
      </w:r>
      <w:r>
        <w:rPr>
          <w:rFonts w:ascii="Garamond" w:hAnsi="Garamond"/>
          <w:sz w:val="20"/>
          <w:szCs w:val="20"/>
          <w:lang w:val="es-MX"/>
        </w:rPr>
        <w:t xml:space="preserve"> p</w:t>
      </w:r>
      <w:r w:rsidRPr="00E147F7">
        <w:rPr>
          <w:rFonts w:ascii="Garamond" w:hAnsi="Garamond"/>
          <w:sz w:val="20"/>
          <w:szCs w:val="20"/>
          <w:lang w:val="es-MX"/>
        </w:rPr>
        <w:t xml:space="preserve">ública se </w:t>
      </w:r>
      <w:r w:rsidRPr="00E147F7">
        <w:rPr>
          <w:rFonts w:ascii="Garamond" w:hAnsi="Garamond"/>
          <w:sz w:val="20"/>
          <w:szCs w:val="20"/>
          <w:lang w:val="es-MX"/>
        </w:rPr>
        <w:t>pueden tener de manera específica para cada localidad y por estrato socioeconómico</w:t>
      </w:r>
      <w:r w:rsidR="002775D1">
        <w:rPr>
          <w:rFonts w:ascii="Garamond" w:hAnsi="Garamond"/>
          <w:sz w:val="20"/>
          <w:szCs w:val="20"/>
          <w:lang w:val="es-MX"/>
        </w:rPr>
        <w:t>.</w:t>
      </w:r>
    </w:p>
    <w:p w14:paraId="53A961B4" w14:textId="0F3B6DC1" w:rsidR="00525D7E" w:rsidRPr="00525D7E" w:rsidRDefault="00525D7E" w:rsidP="00E147F7">
      <w:pPr>
        <w:pStyle w:val="Ttulo1"/>
        <w:spacing w:after="120"/>
        <w:rPr>
          <w:lang w:val="es-MX"/>
        </w:rPr>
      </w:pPr>
      <w:r>
        <w:rPr>
          <w:lang w:val="es-MX"/>
        </w:rPr>
        <w:t>Antecedentes</w:t>
      </w:r>
    </w:p>
    <w:p w14:paraId="2E2A0A19" w14:textId="093CF5B9" w:rsidR="00525D7E" w:rsidRDefault="00DC35EB" w:rsidP="00A16521">
      <w:pPr>
        <w:spacing w:line="360" w:lineRule="auto"/>
        <w:jc w:val="both"/>
        <w:rPr>
          <w:rFonts w:ascii="Garamond" w:hAnsi="Garamond"/>
          <w:sz w:val="20"/>
          <w:szCs w:val="20"/>
          <w:lang w:val="es-MX"/>
        </w:rPr>
      </w:pPr>
      <w:r w:rsidRPr="00357ECA">
        <w:rPr>
          <w:rFonts w:ascii="Garamond" w:hAnsi="Garamond"/>
          <w:sz w:val="20"/>
          <w:szCs w:val="20"/>
          <w:lang w:val="es-MX"/>
        </w:rPr>
        <w:t xml:space="preserve">De acuerdo con </w:t>
      </w:r>
      <w:r w:rsidR="00DD5DB3" w:rsidRPr="00357ECA">
        <w:rPr>
          <w:rFonts w:ascii="Garamond" w:hAnsi="Garamond"/>
          <w:sz w:val="20"/>
          <w:szCs w:val="20"/>
          <w:lang w:val="es-MX"/>
        </w:rPr>
        <w:t xml:space="preserve">investigaciones realizadas por </w:t>
      </w:r>
      <w:r w:rsidRPr="00357ECA">
        <w:rPr>
          <w:rFonts w:ascii="Garamond" w:hAnsi="Garamond"/>
          <w:sz w:val="20"/>
          <w:szCs w:val="20"/>
          <w:lang w:val="es-MX"/>
        </w:rPr>
        <w:t>el Obs</w:t>
      </w:r>
      <w:r w:rsidR="00DD5DB3" w:rsidRPr="00357ECA">
        <w:rPr>
          <w:rFonts w:ascii="Garamond" w:hAnsi="Garamond"/>
          <w:sz w:val="20"/>
          <w:szCs w:val="20"/>
          <w:lang w:val="es-MX"/>
        </w:rPr>
        <w:t>ervatorio para la Política de</w:t>
      </w:r>
      <w:r w:rsidRPr="00357ECA">
        <w:rPr>
          <w:rFonts w:ascii="Garamond" w:hAnsi="Garamond"/>
          <w:sz w:val="20"/>
          <w:szCs w:val="20"/>
          <w:lang w:val="es-MX"/>
        </w:rPr>
        <w:t xml:space="preserve"> Familia </w:t>
      </w:r>
      <w:r w:rsidR="00DD5DB3" w:rsidRPr="00357ECA">
        <w:rPr>
          <w:rFonts w:ascii="Garamond" w:hAnsi="Garamond"/>
          <w:sz w:val="20"/>
          <w:szCs w:val="20"/>
          <w:lang w:val="es-MX"/>
        </w:rPr>
        <w:t>del</w:t>
      </w:r>
      <w:r w:rsidRPr="00357ECA">
        <w:rPr>
          <w:rFonts w:ascii="Garamond" w:hAnsi="Garamond"/>
          <w:sz w:val="20"/>
          <w:szCs w:val="20"/>
          <w:lang w:val="es-MX"/>
        </w:rPr>
        <w:t xml:space="preserve"> </w:t>
      </w:r>
      <w:r w:rsidR="00876A93">
        <w:rPr>
          <w:rFonts w:ascii="Garamond" w:hAnsi="Garamond"/>
          <w:sz w:val="20"/>
          <w:szCs w:val="20"/>
          <w:lang w:val="es-MX"/>
        </w:rPr>
        <w:t>DNP</w:t>
      </w:r>
      <w:r w:rsidRPr="00357ECA">
        <w:rPr>
          <w:rFonts w:ascii="Garamond" w:hAnsi="Garamond"/>
          <w:sz w:val="20"/>
          <w:szCs w:val="20"/>
          <w:lang w:val="es-MX"/>
        </w:rPr>
        <w:t>, e</w:t>
      </w:r>
      <w:r w:rsidR="000A1067" w:rsidRPr="00357ECA">
        <w:rPr>
          <w:rFonts w:ascii="Garamond" w:hAnsi="Garamond"/>
          <w:sz w:val="20"/>
          <w:szCs w:val="20"/>
          <w:lang w:val="es-MX"/>
        </w:rPr>
        <w:t xml:space="preserve">n las últimas décadas la composición y lo que tradicionalmente se ha entendido </w:t>
      </w:r>
      <w:r w:rsidR="00DD5DB3" w:rsidRPr="00357ECA">
        <w:rPr>
          <w:rFonts w:ascii="Garamond" w:hAnsi="Garamond"/>
          <w:sz w:val="20"/>
          <w:szCs w:val="20"/>
          <w:lang w:val="es-MX"/>
        </w:rPr>
        <w:t>como</w:t>
      </w:r>
      <w:r w:rsidR="000A1067" w:rsidRPr="00357ECA">
        <w:rPr>
          <w:rFonts w:ascii="Garamond" w:hAnsi="Garamond"/>
          <w:sz w:val="20"/>
          <w:szCs w:val="20"/>
          <w:lang w:val="es-MX"/>
        </w:rPr>
        <w:t xml:space="preserve"> </w:t>
      </w:r>
      <w:r w:rsidR="000A1067" w:rsidRPr="00357ECA">
        <w:rPr>
          <w:rFonts w:ascii="Garamond" w:hAnsi="Garamond"/>
          <w:i/>
          <w:sz w:val="20"/>
          <w:szCs w:val="20"/>
          <w:lang w:val="es-MX"/>
        </w:rPr>
        <w:t>familia</w:t>
      </w:r>
      <w:r w:rsidR="000A1067" w:rsidRPr="00357ECA">
        <w:rPr>
          <w:rFonts w:ascii="Garamond" w:hAnsi="Garamond"/>
          <w:sz w:val="20"/>
          <w:szCs w:val="20"/>
          <w:lang w:val="es-MX"/>
        </w:rPr>
        <w:t xml:space="preserve"> </w:t>
      </w:r>
      <w:r w:rsidR="00225A0B" w:rsidRPr="00357ECA">
        <w:rPr>
          <w:rFonts w:ascii="Garamond" w:hAnsi="Garamond"/>
          <w:sz w:val="20"/>
          <w:szCs w:val="20"/>
          <w:lang w:val="es-MX"/>
        </w:rPr>
        <w:t xml:space="preserve">se </w:t>
      </w:r>
      <w:r w:rsidR="00DD5DB3" w:rsidRPr="00357ECA">
        <w:rPr>
          <w:rFonts w:ascii="Garamond" w:hAnsi="Garamond"/>
          <w:sz w:val="20"/>
          <w:szCs w:val="20"/>
          <w:lang w:val="es-MX"/>
        </w:rPr>
        <w:t xml:space="preserve">ha </w:t>
      </w:r>
      <w:r w:rsidR="00A16521" w:rsidRPr="00357ECA">
        <w:rPr>
          <w:rFonts w:ascii="Garamond" w:hAnsi="Garamond"/>
          <w:sz w:val="20"/>
          <w:szCs w:val="20"/>
          <w:lang w:val="es-MX"/>
        </w:rPr>
        <w:t>modifica</w:t>
      </w:r>
      <w:r w:rsidR="00225A0B" w:rsidRPr="00357ECA">
        <w:rPr>
          <w:rFonts w:ascii="Garamond" w:hAnsi="Garamond"/>
          <w:sz w:val="20"/>
          <w:szCs w:val="20"/>
          <w:lang w:val="es-MX"/>
        </w:rPr>
        <w:t>do sustancialmente</w:t>
      </w:r>
      <w:r w:rsidR="009176E7">
        <w:rPr>
          <w:rStyle w:val="Refdenotaalpie"/>
          <w:rFonts w:ascii="Garamond" w:hAnsi="Garamond"/>
          <w:sz w:val="20"/>
          <w:szCs w:val="20"/>
          <w:lang w:val="es-MX"/>
        </w:rPr>
        <w:footnoteReference w:id="2"/>
      </w:r>
      <w:r w:rsidR="00A16521" w:rsidRPr="00357ECA">
        <w:rPr>
          <w:rFonts w:ascii="Garamond" w:hAnsi="Garamond"/>
          <w:sz w:val="20"/>
          <w:szCs w:val="20"/>
          <w:lang w:val="es-MX"/>
        </w:rPr>
        <w:t xml:space="preserve">. </w:t>
      </w:r>
    </w:p>
    <w:p w14:paraId="37AAC394" w14:textId="14CB25C1" w:rsidR="00525D7E" w:rsidRDefault="00525D7E" w:rsidP="00525D7E">
      <w:pPr>
        <w:spacing w:line="360" w:lineRule="auto"/>
        <w:jc w:val="both"/>
        <w:rPr>
          <w:rFonts w:ascii="Garamond" w:hAnsi="Garamond"/>
          <w:sz w:val="20"/>
          <w:szCs w:val="20"/>
          <w:lang w:val="es-MX"/>
        </w:rPr>
      </w:pPr>
      <w:r>
        <w:rPr>
          <w:rFonts w:ascii="Garamond" w:hAnsi="Garamond"/>
          <w:sz w:val="20"/>
          <w:szCs w:val="20"/>
          <w:lang w:val="es-MX"/>
        </w:rPr>
        <w:t xml:space="preserve">La Política Pública para </w:t>
      </w:r>
      <w:r w:rsidR="00503FAA">
        <w:rPr>
          <w:rFonts w:ascii="Garamond" w:hAnsi="Garamond"/>
          <w:sz w:val="20"/>
          <w:szCs w:val="20"/>
          <w:lang w:val="es-MX"/>
        </w:rPr>
        <w:t>las familias</w:t>
      </w:r>
      <w:r>
        <w:rPr>
          <w:rFonts w:ascii="Garamond" w:hAnsi="Garamond"/>
          <w:sz w:val="20"/>
          <w:szCs w:val="20"/>
          <w:lang w:val="es-MX"/>
        </w:rPr>
        <w:t xml:space="preserve"> del </w:t>
      </w:r>
      <w:r w:rsidR="00A7112F">
        <w:rPr>
          <w:rFonts w:ascii="Garamond" w:hAnsi="Garamond"/>
          <w:sz w:val="20"/>
          <w:szCs w:val="20"/>
          <w:lang w:val="es-MX"/>
        </w:rPr>
        <w:t>d</w:t>
      </w:r>
      <w:r>
        <w:rPr>
          <w:rFonts w:ascii="Garamond" w:hAnsi="Garamond"/>
          <w:sz w:val="20"/>
          <w:szCs w:val="20"/>
          <w:lang w:val="es-MX"/>
        </w:rPr>
        <w:t>istrito</w:t>
      </w:r>
      <w:r w:rsidRPr="00525D7E">
        <w:rPr>
          <w:rFonts w:ascii="Garamond" w:hAnsi="Garamond"/>
          <w:sz w:val="20"/>
          <w:szCs w:val="20"/>
          <w:lang w:val="es-MX"/>
        </w:rPr>
        <w:t xml:space="preserve"> se sustenta desde la concepción misma de familia a partir de la Constitución Política de Colombia de</w:t>
      </w:r>
      <w:r>
        <w:rPr>
          <w:rFonts w:ascii="Garamond" w:hAnsi="Garamond"/>
          <w:sz w:val="20"/>
          <w:szCs w:val="20"/>
          <w:lang w:val="es-MX"/>
        </w:rPr>
        <w:t xml:space="preserve"> 1991 en sus artículos 5° y 42°. </w:t>
      </w:r>
      <w:r w:rsidRPr="00525D7E">
        <w:rPr>
          <w:rFonts w:ascii="Garamond" w:hAnsi="Garamond"/>
          <w:sz w:val="20"/>
          <w:szCs w:val="20"/>
          <w:lang w:val="es-MX"/>
        </w:rPr>
        <w:t xml:space="preserve">Bajo este sustento legal se identificó a la </w:t>
      </w:r>
      <w:r w:rsidR="00A908E6">
        <w:rPr>
          <w:rFonts w:ascii="Garamond" w:hAnsi="Garamond"/>
          <w:sz w:val="20"/>
          <w:szCs w:val="20"/>
          <w:lang w:val="es-MX"/>
        </w:rPr>
        <w:t>f</w:t>
      </w:r>
      <w:r w:rsidRPr="00525D7E">
        <w:rPr>
          <w:rFonts w:ascii="Garamond" w:hAnsi="Garamond"/>
          <w:sz w:val="20"/>
          <w:szCs w:val="20"/>
          <w:lang w:val="es-MX"/>
        </w:rPr>
        <w:t xml:space="preserve">amilia como </w:t>
      </w:r>
      <w:r w:rsidR="00876A93">
        <w:rPr>
          <w:rFonts w:ascii="Garamond" w:hAnsi="Garamond"/>
          <w:sz w:val="20"/>
          <w:szCs w:val="20"/>
          <w:lang w:val="es-MX"/>
        </w:rPr>
        <w:t xml:space="preserve">sujeto de acción pública que el </w:t>
      </w:r>
      <w:r w:rsidRPr="00525D7E">
        <w:rPr>
          <w:rFonts w:ascii="Garamond" w:hAnsi="Garamond"/>
          <w:sz w:val="20"/>
          <w:szCs w:val="20"/>
          <w:lang w:val="es-MX"/>
        </w:rPr>
        <w:t>Estado tiene la obligación de proteger. Esto implicó que no solamente el Estado debe garantizar los derechos de los ciudadanos como individuos sino que además se debe proteger a la familia.</w:t>
      </w:r>
    </w:p>
    <w:p w14:paraId="11A63971" w14:textId="33DD5F1C" w:rsidR="00A7112F" w:rsidRDefault="006F1629" w:rsidP="00525D7E">
      <w:pPr>
        <w:spacing w:line="360" w:lineRule="auto"/>
        <w:jc w:val="both"/>
        <w:rPr>
          <w:rFonts w:ascii="Garamond" w:hAnsi="Garamond"/>
          <w:sz w:val="20"/>
          <w:szCs w:val="20"/>
          <w:lang w:val="es-MX"/>
        </w:rPr>
      </w:pPr>
      <w:r w:rsidRPr="006F1629">
        <w:rPr>
          <w:rFonts w:ascii="Garamond" w:hAnsi="Garamond"/>
          <w:sz w:val="20"/>
          <w:szCs w:val="20"/>
          <w:lang w:val="es-MX"/>
        </w:rPr>
        <w:t xml:space="preserve">Reconociendo a la Familia como un grupo titular de derechos a partir de la Carta Política, el </w:t>
      </w:r>
      <w:r w:rsidR="00A7112F">
        <w:rPr>
          <w:rFonts w:ascii="Garamond" w:hAnsi="Garamond"/>
          <w:sz w:val="20"/>
          <w:szCs w:val="20"/>
          <w:lang w:val="es-MX"/>
        </w:rPr>
        <w:t>d</w:t>
      </w:r>
      <w:r w:rsidRPr="006F1629">
        <w:rPr>
          <w:rFonts w:ascii="Garamond" w:hAnsi="Garamond"/>
          <w:sz w:val="20"/>
          <w:szCs w:val="20"/>
          <w:lang w:val="es-MX"/>
        </w:rPr>
        <w:t>istrito de Bogotá expidió el Decreto 545 de 2011, por el cual adoptó la Política Pública para las Familia</w:t>
      </w:r>
      <w:r>
        <w:rPr>
          <w:rFonts w:ascii="Garamond" w:hAnsi="Garamond"/>
          <w:sz w:val="20"/>
          <w:szCs w:val="20"/>
          <w:lang w:val="es-MX"/>
        </w:rPr>
        <w:t>s</w:t>
      </w:r>
      <w:r w:rsidR="005811CE">
        <w:rPr>
          <w:rFonts w:ascii="Garamond" w:hAnsi="Garamond"/>
          <w:sz w:val="20"/>
          <w:szCs w:val="20"/>
          <w:lang w:val="es-MX"/>
        </w:rPr>
        <w:t>-</w:t>
      </w:r>
      <w:r w:rsidRPr="006F1629">
        <w:rPr>
          <w:rFonts w:ascii="Garamond" w:hAnsi="Garamond"/>
          <w:sz w:val="20"/>
          <w:szCs w:val="20"/>
          <w:lang w:val="es-MX"/>
        </w:rPr>
        <w:t xml:space="preserve"> (PPPF) en Bogotá y bajo el cual el </w:t>
      </w:r>
      <w:r>
        <w:rPr>
          <w:rFonts w:ascii="Garamond" w:hAnsi="Garamond"/>
          <w:sz w:val="20"/>
          <w:szCs w:val="20"/>
          <w:lang w:val="es-MX"/>
        </w:rPr>
        <w:t>d</w:t>
      </w:r>
      <w:r w:rsidRPr="006F1629">
        <w:rPr>
          <w:rFonts w:ascii="Garamond" w:hAnsi="Garamond"/>
          <w:sz w:val="20"/>
          <w:szCs w:val="20"/>
          <w:lang w:val="es-MX"/>
        </w:rPr>
        <w:t>istrito materializó los derechos y principios de este sujeto colectivo de derechos orientando acciones para su protección</w:t>
      </w:r>
      <w:r w:rsidR="00525D7E" w:rsidRPr="00525D7E">
        <w:rPr>
          <w:rFonts w:ascii="Garamond" w:hAnsi="Garamond"/>
          <w:sz w:val="20"/>
          <w:szCs w:val="20"/>
          <w:lang w:val="es-MX"/>
        </w:rPr>
        <w:t>.</w:t>
      </w:r>
    </w:p>
    <w:p w14:paraId="059109E1" w14:textId="551F089E" w:rsidR="00525D7E" w:rsidRDefault="00525D7E" w:rsidP="00525D7E">
      <w:pPr>
        <w:spacing w:line="360" w:lineRule="auto"/>
        <w:jc w:val="both"/>
        <w:rPr>
          <w:rFonts w:ascii="Garamond" w:hAnsi="Garamond"/>
          <w:sz w:val="20"/>
          <w:szCs w:val="20"/>
          <w:lang w:val="es-MX"/>
        </w:rPr>
      </w:pPr>
      <w:r>
        <w:rPr>
          <w:rFonts w:ascii="Garamond" w:hAnsi="Garamond"/>
          <w:sz w:val="20"/>
          <w:szCs w:val="20"/>
          <w:lang w:val="es-MX"/>
        </w:rPr>
        <w:t xml:space="preserve">A partir del documento de Política Pública para </w:t>
      </w:r>
      <w:r w:rsidR="00130F60">
        <w:rPr>
          <w:rFonts w:ascii="Garamond" w:hAnsi="Garamond"/>
          <w:sz w:val="20"/>
          <w:szCs w:val="20"/>
          <w:lang w:val="es-MX"/>
        </w:rPr>
        <w:t xml:space="preserve">las familias </w:t>
      </w:r>
      <w:r>
        <w:rPr>
          <w:rFonts w:ascii="Garamond" w:hAnsi="Garamond"/>
          <w:sz w:val="20"/>
          <w:szCs w:val="20"/>
          <w:lang w:val="es-MX"/>
        </w:rPr>
        <w:t xml:space="preserve">del </w:t>
      </w:r>
      <w:r w:rsidR="00130F60">
        <w:rPr>
          <w:rFonts w:ascii="Garamond" w:hAnsi="Garamond"/>
          <w:sz w:val="20"/>
          <w:szCs w:val="20"/>
          <w:lang w:val="es-MX"/>
        </w:rPr>
        <w:t>d</w:t>
      </w:r>
      <w:r>
        <w:rPr>
          <w:rFonts w:ascii="Garamond" w:hAnsi="Garamond"/>
          <w:sz w:val="20"/>
          <w:szCs w:val="20"/>
          <w:lang w:val="es-MX"/>
        </w:rPr>
        <w:t>istrito 2011-2025</w:t>
      </w:r>
      <w:r w:rsidR="006E64C9">
        <w:rPr>
          <w:rFonts w:ascii="Garamond" w:hAnsi="Garamond"/>
          <w:sz w:val="20"/>
          <w:szCs w:val="20"/>
          <w:lang w:val="es-MX"/>
        </w:rPr>
        <w:t>, se entiende a la familia como:</w:t>
      </w:r>
    </w:p>
    <w:p w14:paraId="14EA4BA9" w14:textId="28CDABAA" w:rsidR="00525D7E" w:rsidRPr="00525D7E" w:rsidRDefault="00525D7E" w:rsidP="00525D7E">
      <w:pPr>
        <w:spacing w:line="360" w:lineRule="auto"/>
        <w:jc w:val="both"/>
        <w:rPr>
          <w:rFonts w:ascii="Garamond" w:hAnsi="Garamond"/>
          <w:sz w:val="20"/>
          <w:szCs w:val="20"/>
          <w:lang w:val="es-MX"/>
        </w:rPr>
      </w:pPr>
      <w:r>
        <w:rPr>
          <w:rFonts w:ascii="Garamond" w:hAnsi="Garamond"/>
          <w:sz w:val="20"/>
          <w:szCs w:val="20"/>
          <w:lang w:val="es-MX"/>
        </w:rPr>
        <w:t>“</w:t>
      </w:r>
      <w:r w:rsidRPr="006E64C9">
        <w:rPr>
          <w:rFonts w:ascii="Garamond" w:hAnsi="Garamond"/>
          <w:i/>
          <w:sz w:val="20"/>
          <w:szCs w:val="20"/>
          <w:lang w:val="es-MX"/>
        </w:rPr>
        <w:t xml:space="preserve">Organizaciones sociales, construidas históricamente, constituidas por personas que se reconocen y son reconocidas en la diversidad de sus estructuras, arreglos, formas, relaciones, roles y subjetividades; las cuales están conformadas por grupos </w:t>
      </w:r>
      <w:r w:rsidRPr="006E64C9">
        <w:rPr>
          <w:rFonts w:ascii="Garamond" w:hAnsi="Garamond"/>
          <w:i/>
          <w:sz w:val="20"/>
          <w:szCs w:val="20"/>
          <w:lang w:val="es-MX"/>
        </w:rPr>
        <w:lastRenderedPageBreak/>
        <w:t>de dos o más personas de diferente o del mismo sexo, con hijos o sin ellos, unidas por una relación de parentesco por consanguinidad, afinidad, adopción o por afecto, en las que se establecen vínculos de apoyo emocional, económico, de cuidado o de afecto, que comparten domicilio, residencia o lugar de habitación de manera habitual y son sujetos colectivos de derecho</w:t>
      </w:r>
      <w:r w:rsidR="006E64C9">
        <w:rPr>
          <w:rStyle w:val="Refdenotaalpie"/>
          <w:rFonts w:ascii="Garamond" w:hAnsi="Garamond"/>
          <w:i/>
          <w:sz w:val="20"/>
          <w:szCs w:val="20"/>
          <w:lang w:val="es-MX"/>
        </w:rPr>
        <w:footnoteReference w:id="3"/>
      </w:r>
      <w:r w:rsidR="006E64C9">
        <w:rPr>
          <w:rFonts w:ascii="Garamond" w:hAnsi="Garamond"/>
          <w:i/>
          <w:sz w:val="20"/>
          <w:szCs w:val="20"/>
          <w:lang w:val="es-MX"/>
        </w:rPr>
        <w:t>”</w:t>
      </w:r>
    </w:p>
    <w:p w14:paraId="4514F8E5" w14:textId="602B58E2" w:rsidR="006F1629" w:rsidRPr="006F1629" w:rsidRDefault="006F1629" w:rsidP="006F1629">
      <w:pPr>
        <w:spacing w:line="360" w:lineRule="auto"/>
        <w:jc w:val="both"/>
        <w:rPr>
          <w:rFonts w:ascii="Garamond" w:hAnsi="Garamond"/>
          <w:sz w:val="20"/>
          <w:szCs w:val="20"/>
          <w:lang w:val="es-MX"/>
        </w:rPr>
      </w:pPr>
      <w:r w:rsidRPr="006F1629">
        <w:rPr>
          <w:rFonts w:ascii="Garamond" w:hAnsi="Garamond"/>
          <w:sz w:val="20"/>
          <w:szCs w:val="20"/>
          <w:lang w:val="es-MX"/>
        </w:rPr>
        <w:t xml:space="preserve">Lo </w:t>
      </w:r>
      <w:r w:rsidR="0070511A">
        <w:rPr>
          <w:rFonts w:ascii="Garamond" w:hAnsi="Garamond"/>
          <w:sz w:val="20"/>
          <w:szCs w:val="20"/>
          <w:lang w:val="es-MX"/>
        </w:rPr>
        <w:t>anterior,</w:t>
      </w:r>
      <w:r w:rsidRPr="006F1629">
        <w:rPr>
          <w:rFonts w:ascii="Garamond" w:hAnsi="Garamond"/>
          <w:sz w:val="20"/>
          <w:szCs w:val="20"/>
          <w:lang w:val="es-MX"/>
        </w:rPr>
        <w:t xml:space="preserve"> generó la necesidad de estudiar las dinámicas sociales, políticas, económicas y culturales desde enfoques diferenciales que muestren las realidades de las familias bogotanas.</w:t>
      </w:r>
    </w:p>
    <w:p w14:paraId="3B46E568" w14:textId="615947CC" w:rsidR="006F1629" w:rsidRPr="006F1629" w:rsidRDefault="006F1629" w:rsidP="006F1629">
      <w:pPr>
        <w:spacing w:line="360" w:lineRule="auto"/>
        <w:jc w:val="both"/>
        <w:rPr>
          <w:rFonts w:ascii="Garamond" w:hAnsi="Garamond"/>
          <w:sz w:val="20"/>
          <w:szCs w:val="20"/>
          <w:lang w:val="es-MX"/>
        </w:rPr>
      </w:pPr>
      <w:r w:rsidRPr="006F1629">
        <w:rPr>
          <w:rFonts w:ascii="Garamond" w:hAnsi="Garamond"/>
          <w:sz w:val="20"/>
          <w:szCs w:val="20"/>
          <w:lang w:val="es-MX"/>
        </w:rPr>
        <w:t xml:space="preserve">La información con la que se cuenta en la actualidad no es suficiente para cuantificar y hacer una clasificación de las formas familiares que predominan en la realidad bogotana. Por esta razón es preciso recopilar información con fuentes primarias que, con márgenes de error razonables, permitan inferir sobre aspectos de interés para la </w:t>
      </w:r>
      <w:r w:rsidR="005811CE">
        <w:rPr>
          <w:rFonts w:ascii="Garamond" w:hAnsi="Garamond"/>
          <w:sz w:val="20"/>
          <w:szCs w:val="20"/>
          <w:lang w:val="es-MX"/>
        </w:rPr>
        <w:t>P</w:t>
      </w:r>
      <w:r w:rsidRPr="006F1629">
        <w:rPr>
          <w:rFonts w:ascii="Garamond" w:hAnsi="Garamond"/>
          <w:sz w:val="20"/>
          <w:szCs w:val="20"/>
          <w:lang w:val="es-MX"/>
        </w:rPr>
        <w:t xml:space="preserve">olítica </w:t>
      </w:r>
      <w:r w:rsidR="005811CE">
        <w:rPr>
          <w:rFonts w:ascii="Garamond" w:hAnsi="Garamond"/>
          <w:sz w:val="20"/>
          <w:szCs w:val="20"/>
          <w:lang w:val="es-MX"/>
        </w:rPr>
        <w:t>P</w:t>
      </w:r>
      <w:r w:rsidRPr="006F1629">
        <w:rPr>
          <w:rFonts w:ascii="Garamond" w:hAnsi="Garamond"/>
          <w:sz w:val="20"/>
          <w:szCs w:val="20"/>
          <w:lang w:val="es-MX"/>
        </w:rPr>
        <w:t xml:space="preserve">ública </w:t>
      </w:r>
      <w:r w:rsidR="005811CE">
        <w:rPr>
          <w:rFonts w:ascii="Garamond" w:hAnsi="Garamond"/>
          <w:sz w:val="20"/>
          <w:szCs w:val="20"/>
          <w:lang w:val="es-MX"/>
        </w:rPr>
        <w:t>P</w:t>
      </w:r>
      <w:r w:rsidRPr="006F1629">
        <w:rPr>
          <w:rFonts w:ascii="Garamond" w:hAnsi="Garamond"/>
          <w:sz w:val="20"/>
          <w:szCs w:val="20"/>
          <w:lang w:val="es-MX"/>
        </w:rPr>
        <w:t xml:space="preserve">ara las </w:t>
      </w:r>
      <w:r w:rsidR="005811CE">
        <w:rPr>
          <w:rFonts w:ascii="Garamond" w:hAnsi="Garamond"/>
          <w:sz w:val="20"/>
          <w:szCs w:val="20"/>
          <w:lang w:val="es-MX"/>
        </w:rPr>
        <w:t>F</w:t>
      </w:r>
      <w:r w:rsidRPr="006F1629">
        <w:rPr>
          <w:rFonts w:ascii="Garamond" w:hAnsi="Garamond"/>
          <w:sz w:val="20"/>
          <w:szCs w:val="20"/>
          <w:lang w:val="es-MX"/>
        </w:rPr>
        <w:t>amilias</w:t>
      </w:r>
      <w:r w:rsidR="003B7909">
        <w:rPr>
          <w:rFonts w:ascii="Garamond" w:hAnsi="Garamond"/>
          <w:sz w:val="20"/>
          <w:szCs w:val="20"/>
          <w:lang w:val="es-MX"/>
        </w:rPr>
        <w:t xml:space="preserve"> del distrito a</w:t>
      </w:r>
      <w:r w:rsidRPr="006F1629">
        <w:rPr>
          <w:rFonts w:ascii="Garamond" w:hAnsi="Garamond"/>
          <w:sz w:val="20"/>
          <w:szCs w:val="20"/>
          <w:lang w:val="es-MX"/>
        </w:rPr>
        <w:t xml:space="preserve"> partir de la información de </w:t>
      </w:r>
      <w:r w:rsidR="00A7112F">
        <w:rPr>
          <w:rFonts w:ascii="Garamond" w:hAnsi="Garamond"/>
          <w:sz w:val="20"/>
          <w:szCs w:val="20"/>
          <w:lang w:val="es-MX"/>
        </w:rPr>
        <w:t>esta encuesta.</w:t>
      </w:r>
    </w:p>
    <w:p w14:paraId="029DD799" w14:textId="29DBA677" w:rsidR="00C010B7" w:rsidRPr="00357ECA" w:rsidRDefault="006F1629" w:rsidP="006F1629">
      <w:pPr>
        <w:spacing w:line="360" w:lineRule="auto"/>
        <w:jc w:val="both"/>
        <w:rPr>
          <w:rFonts w:ascii="Garamond" w:hAnsi="Garamond"/>
          <w:sz w:val="20"/>
          <w:szCs w:val="20"/>
          <w:lang w:val="es-MX"/>
        </w:rPr>
      </w:pPr>
      <w:r w:rsidRPr="006F1629">
        <w:rPr>
          <w:rFonts w:ascii="Garamond" w:hAnsi="Garamond"/>
          <w:sz w:val="20"/>
          <w:szCs w:val="20"/>
          <w:lang w:val="es-MX"/>
        </w:rPr>
        <w:t>Es importante destacar que todos los estudios realizados han considerado al hogar como la unidad de muestreo, pero para un acertado análisis debe entonces identificarse para estos hogares su conformación familiar y hacer un análisis sobre las tipologías familiares que predominan en cada uno de los estratos y en las localidades de la ciudad y poder referirnos a los hogares familiares como objeto de estudios futuros</w:t>
      </w:r>
      <w:r w:rsidR="002775D1">
        <w:rPr>
          <w:rFonts w:ascii="Garamond" w:hAnsi="Garamond"/>
          <w:sz w:val="20"/>
          <w:szCs w:val="20"/>
          <w:lang w:val="es-MX"/>
        </w:rPr>
        <w:t>.</w:t>
      </w:r>
    </w:p>
    <w:p w14:paraId="4DE220F0" w14:textId="77777777" w:rsidR="00C440BB" w:rsidRPr="00357ECA" w:rsidRDefault="00C440BB">
      <w:pPr>
        <w:rPr>
          <w:rFonts w:asciiTheme="majorHAnsi" w:eastAsiaTheme="majorEastAsia" w:hAnsiTheme="majorHAnsi" w:cstheme="majorBidi"/>
          <w:color w:val="365F91" w:themeColor="accent1" w:themeShade="BF"/>
          <w:sz w:val="20"/>
          <w:szCs w:val="20"/>
          <w:lang w:val="es-MX"/>
        </w:rPr>
      </w:pPr>
      <w:r w:rsidRPr="00357ECA">
        <w:rPr>
          <w:sz w:val="20"/>
          <w:szCs w:val="20"/>
          <w:lang w:val="es-MX"/>
        </w:rPr>
        <w:br w:type="page"/>
      </w:r>
    </w:p>
    <w:p w14:paraId="12BF0447" w14:textId="560B412F" w:rsidR="00646175" w:rsidRDefault="00C440BB" w:rsidP="003E206D">
      <w:pPr>
        <w:pStyle w:val="Ttulo1"/>
        <w:jc w:val="both"/>
        <w:rPr>
          <w:i/>
          <w:lang w:val="es-MX"/>
        </w:rPr>
      </w:pPr>
      <w:r w:rsidRPr="003073BE">
        <w:rPr>
          <w:szCs w:val="20"/>
          <w:lang w:val="es-MX"/>
        </w:rPr>
        <w:lastRenderedPageBreak/>
        <w:t xml:space="preserve">Análisis de la Encuesta </w:t>
      </w:r>
      <w:r w:rsidR="006548B1">
        <w:rPr>
          <w:szCs w:val="20"/>
          <w:lang w:val="es-MX"/>
        </w:rPr>
        <w:t xml:space="preserve">Multipropósito de Bogotá- EMB 2017 sobre </w:t>
      </w:r>
      <w:r w:rsidR="006548B1">
        <w:rPr>
          <w:b/>
          <w:i/>
          <w:lang w:val="es-MX"/>
        </w:rPr>
        <w:t xml:space="preserve">Tipología de estructura familiar </w:t>
      </w:r>
      <w:r w:rsidR="006548B1" w:rsidRPr="006548B1">
        <w:rPr>
          <w:i/>
          <w:lang w:val="es-MX"/>
        </w:rPr>
        <w:t>basada en la relación de parentesco</w:t>
      </w:r>
    </w:p>
    <w:p w14:paraId="08D09B2B" w14:textId="77777777" w:rsidR="003E206D" w:rsidRPr="003E206D" w:rsidRDefault="003E206D" w:rsidP="003E206D">
      <w:pPr>
        <w:rPr>
          <w:lang w:val="es-MX"/>
        </w:rPr>
      </w:pPr>
    </w:p>
    <w:p w14:paraId="35B589D7" w14:textId="47974F03" w:rsidR="006548B1" w:rsidRDefault="006548B1" w:rsidP="006548B1">
      <w:pPr>
        <w:spacing w:line="360" w:lineRule="auto"/>
        <w:jc w:val="both"/>
        <w:rPr>
          <w:rFonts w:ascii="Garamond" w:hAnsi="Garamond"/>
          <w:sz w:val="20"/>
          <w:szCs w:val="20"/>
          <w:lang w:val="es-MX"/>
        </w:rPr>
      </w:pPr>
      <w:r>
        <w:rPr>
          <w:rFonts w:ascii="Garamond" w:hAnsi="Garamond"/>
          <w:sz w:val="20"/>
          <w:szCs w:val="20"/>
          <w:lang w:val="es-MX"/>
        </w:rPr>
        <w:t>Frente a la clasificación de los hogares por la relación de parentesco entre sus integrantes</w:t>
      </w:r>
      <w:r>
        <w:rPr>
          <w:rStyle w:val="Refdenotaalpie"/>
          <w:rFonts w:ascii="Garamond" w:hAnsi="Garamond"/>
          <w:sz w:val="20"/>
          <w:szCs w:val="20"/>
          <w:lang w:val="es-MX"/>
        </w:rPr>
        <w:footnoteReference w:id="4"/>
      </w:r>
      <w:r>
        <w:rPr>
          <w:rFonts w:ascii="Garamond" w:hAnsi="Garamond"/>
          <w:sz w:val="20"/>
          <w:szCs w:val="20"/>
          <w:lang w:val="es-MX"/>
        </w:rPr>
        <w:t xml:space="preserve"> se tiene que los hogares se pueden catalogar en dos grandes grupos: </w:t>
      </w:r>
      <w:r w:rsidR="00C93723">
        <w:rPr>
          <w:rFonts w:ascii="Garamond" w:hAnsi="Garamond"/>
          <w:sz w:val="20"/>
          <w:szCs w:val="20"/>
          <w:lang w:val="es-MX"/>
        </w:rPr>
        <w:t>h</w:t>
      </w:r>
      <w:r>
        <w:rPr>
          <w:rFonts w:ascii="Garamond" w:hAnsi="Garamond"/>
          <w:sz w:val="20"/>
          <w:szCs w:val="20"/>
          <w:lang w:val="es-MX"/>
        </w:rPr>
        <w:t xml:space="preserve">ogares </w:t>
      </w:r>
      <w:r w:rsidR="00C93723">
        <w:rPr>
          <w:rFonts w:ascii="Garamond" w:hAnsi="Garamond"/>
          <w:sz w:val="20"/>
          <w:szCs w:val="20"/>
          <w:lang w:val="es-MX"/>
        </w:rPr>
        <w:t>f</w:t>
      </w:r>
      <w:r>
        <w:rPr>
          <w:rFonts w:ascii="Garamond" w:hAnsi="Garamond"/>
          <w:sz w:val="20"/>
          <w:szCs w:val="20"/>
          <w:lang w:val="es-MX"/>
        </w:rPr>
        <w:t xml:space="preserve">amiliares y </w:t>
      </w:r>
      <w:r w:rsidR="00C93723">
        <w:rPr>
          <w:rFonts w:ascii="Garamond" w:hAnsi="Garamond"/>
          <w:sz w:val="20"/>
          <w:szCs w:val="20"/>
          <w:lang w:val="es-MX"/>
        </w:rPr>
        <w:t>h</w:t>
      </w:r>
      <w:r>
        <w:rPr>
          <w:rFonts w:ascii="Garamond" w:hAnsi="Garamond"/>
          <w:sz w:val="20"/>
          <w:szCs w:val="20"/>
          <w:lang w:val="es-MX"/>
        </w:rPr>
        <w:t xml:space="preserve">ogares no </w:t>
      </w:r>
      <w:r w:rsidR="00C93723">
        <w:rPr>
          <w:rFonts w:ascii="Garamond" w:hAnsi="Garamond"/>
          <w:sz w:val="20"/>
          <w:szCs w:val="20"/>
          <w:lang w:val="es-MX"/>
        </w:rPr>
        <w:t>f</w:t>
      </w:r>
      <w:r>
        <w:rPr>
          <w:rFonts w:ascii="Garamond" w:hAnsi="Garamond"/>
          <w:sz w:val="20"/>
          <w:szCs w:val="20"/>
          <w:lang w:val="es-MX"/>
        </w:rPr>
        <w:t xml:space="preserve">amiliares. </w:t>
      </w:r>
    </w:p>
    <w:p w14:paraId="1075D8D2" w14:textId="5044E42A" w:rsidR="006548B1" w:rsidRDefault="006548B1" w:rsidP="006548B1">
      <w:pPr>
        <w:spacing w:line="360" w:lineRule="auto"/>
        <w:jc w:val="both"/>
        <w:rPr>
          <w:rFonts w:ascii="Garamond" w:hAnsi="Garamond"/>
          <w:sz w:val="20"/>
          <w:szCs w:val="20"/>
          <w:lang w:val="es-MX"/>
        </w:rPr>
      </w:pPr>
      <w:r>
        <w:rPr>
          <w:rFonts w:ascii="Garamond" w:hAnsi="Garamond"/>
          <w:sz w:val="20"/>
          <w:szCs w:val="20"/>
          <w:lang w:val="es-MX"/>
        </w:rPr>
        <w:t xml:space="preserve">Los </w:t>
      </w:r>
      <w:r w:rsidR="00A7112F">
        <w:rPr>
          <w:rFonts w:ascii="Garamond" w:hAnsi="Garamond"/>
          <w:sz w:val="20"/>
          <w:szCs w:val="20"/>
          <w:u w:val="single"/>
          <w:lang w:val="es-MX"/>
        </w:rPr>
        <w:t>H</w:t>
      </w:r>
      <w:r w:rsidRPr="00A12743">
        <w:rPr>
          <w:rFonts w:ascii="Garamond" w:hAnsi="Garamond"/>
          <w:sz w:val="20"/>
          <w:szCs w:val="20"/>
          <w:u w:val="single"/>
          <w:lang w:val="es-MX"/>
        </w:rPr>
        <w:t xml:space="preserve">ogares </w:t>
      </w:r>
      <w:r w:rsidR="00A7112F">
        <w:rPr>
          <w:rFonts w:ascii="Garamond" w:hAnsi="Garamond"/>
          <w:sz w:val="20"/>
          <w:szCs w:val="20"/>
          <w:u w:val="single"/>
          <w:lang w:val="es-MX"/>
        </w:rPr>
        <w:t>F</w:t>
      </w:r>
      <w:r w:rsidRPr="00A12743">
        <w:rPr>
          <w:rFonts w:ascii="Garamond" w:hAnsi="Garamond"/>
          <w:sz w:val="20"/>
          <w:szCs w:val="20"/>
          <w:u w:val="single"/>
          <w:lang w:val="es-MX"/>
        </w:rPr>
        <w:t>amiliares</w:t>
      </w:r>
      <w:r>
        <w:rPr>
          <w:rFonts w:ascii="Garamond" w:hAnsi="Garamond"/>
          <w:sz w:val="20"/>
          <w:szCs w:val="20"/>
          <w:lang w:val="es-MX"/>
        </w:rPr>
        <w:t xml:space="preserve"> se clasifican como:</w:t>
      </w:r>
    </w:p>
    <w:p w14:paraId="57C89ACA" w14:textId="7F959171" w:rsidR="006548B1" w:rsidRDefault="006548B1" w:rsidP="006548B1">
      <w:pPr>
        <w:pStyle w:val="Prrafodelista"/>
        <w:numPr>
          <w:ilvl w:val="0"/>
          <w:numId w:val="3"/>
        </w:numPr>
        <w:spacing w:line="360" w:lineRule="auto"/>
        <w:jc w:val="both"/>
        <w:rPr>
          <w:rFonts w:ascii="Garamond" w:hAnsi="Garamond"/>
          <w:sz w:val="20"/>
          <w:szCs w:val="20"/>
          <w:lang w:val="es-MX"/>
        </w:rPr>
      </w:pPr>
      <w:r>
        <w:rPr>
          <w:rFonts w:ascii="Garamond" w:hAnsi="Garamond"/>
          <w:sz w:val="20"/>
          <w:szCs w:val="20"/>
          <w:lang w:val="es-MX"/>
        </w:rPr>
        <w:t>Hogares Familiares</w:t>
      </w:r>
    </w:p>
    <w:p w14:paraId="27F98F5E" w14:textId="17CF16C9" w:rsidR="006548B1" w:rsidRDefault="006548B1" w:rsidP="006548B1">
      <w:pPr>
        <w:pStyle w:val="Prrafodelista"/>
        <w:numPr>
          <w:ilvl w:val="1"/>
          <w:numId w:val="3"/>
        </w:numPr>
        <w:spacing w:line="360" w:lineRule="auto"/>
        <w:jc w:val="both"/>
        <w:rPr>
          <w:rFonts w:ascii="Garamond" w:hAnsi="Garamond"/>
          <w:sz w:val="20"/>
          <w:szCs w:val="20"/>
          <w:lang w:val="es-MX"/>
        </w:rPr>
      </w:pPr>
      <w:r>
        <w:rPr>
          <w:rFonts w:ascii="Garamond" w:hAnsi="Garamond"/>
          <w:sz w:val="20"/>
          <w:szCs w:val="20"/>
          <w:lang w:val="es-MX"/>
        </w:rPr>
        <w:t>Nucleares</w:t>
      </w:r>
    </w:p>
    <w:p w14:paraId="5E5BE1E6" w14:textId="12B5F206" w:rsidR="006548B1" w:rsidRDefault="00CB0D3A" w:rsidP="006548B1">
      <w:pPr>
        <w:pStyle w:val="Prrafodelista"/>
        <w:numPr>
          <w:ilvl w:val="1"/>
          <w:numId w:val="3"/>
        </w:numPr>
        <w:spacing w:line="360" w:lineRule="auto"/>
        <w:jc w:val="both"/>
        <w:rPr>
          <w:rFonts w:ascii="Garamond" w:hAnsi="Garamond"/>
          <w:sz w:val="20"/>
          <w:szCs w:val="20"/>
          <w:lang w:val="es-MX"/>
        </w:rPr>
      </w:pPr>
      <w:r>
        <w:rPr>
          <w:rFonts w:ascii="Garamond" w:hAnsi="Garamond"/>
          <w:sz w:val="20"/>
          <w:szCs w:val="20"/>
          <w:lang w:val="es-MX"/>
        </w:rPr>
        <w:t>Amplios</w:t>
      </w:r>
    </w:p>
    <w:p w14:paraId="52395409" w14:textId="448334DD" w:rsidR="006548B1" w:rsidRDefault="006548B1" w:rsidP="006548B1">
      <w:pPr>
        <w:pStyle w:val="Prrafodelista"/>
        <w:numPr>
          <w:ilvl w:val="2"/>
          <w:numId w:val="3"/>
        </w:numPr>
        <w:spacing w:line="360" w:lineRule="auto"/>
        <w:jc w:val="both"/>
        <w:rPr>
          <w:rFonts w:ascii="Garamond" w:hAnsi="Garamond"/>
          <w:sz w:val="20"/>
          <w:szCs w:val="20"/>
          <w:lang w:val="es-MX"/>
        </w:rPr>
      </w:pPr>
      <w:r>
        <w:rPr>
          <w:rFonts w:ascii="Garamond" w:hAnsi="Garamond"/>
          <w:sz w:val="20"/>
          <w:szCs w:val="20"/>
          <w:lang w:val="es-MX"/>
        </w:rPr>
        <w:t>Extensos</w:t>
      </w:r>
    </w:p>
    <w:p w14:paraId="788FEAE2" w14:textId="7C27D9F6" w:rsidR="006548B1" w:rsidRDefault="006548B1" w:rsidP="006548B1">
      <w:pPr>
        <w:pStyle w:val="Prrafodelista"/>
        <w:numPr>
          <w:ilvl w:val="2"/>
          <w:numId w:val="3"/>
        </w:numPr>
        <w:spacing w:line="360" w:lineRule="auto"/>
        <w:jc w:val="both"/>
        <w:rPr>
          <w:rFonts w:ascii="Garamond" w:hAnsi="Garamond"/>
          <w:sz w:val="20"/>
          <w:szCs w:val="20"/>
          <w:lang w:val="es-MX"/>
        </w:rPr>
      </w:pPr>
      <w:r>
        <w:rPr>
          <w:rFonts w:ascii="Garamond" w:hAnsi="Garamond"/>
          <w:sz w:val="20"/>
          <w:szCs w:val="20"/>
          <w:lang w:val="es-MX"/>
        </w:rPr>
        <w:t>Compuestos</w:t>
      </w:r>
    </w:p>
    <w:p w14:paraId="1FE1BD23" w14:textId="78F6B651" w:rsidR="00CB0D3A" w:rsidRDefault="00CB0D3A" w:rsidP="00CB0D3A">
      <w:pPr>
        <w:pStyle w:val="Prrafodelista"/>
        <w:numPr>
          <w:ilvl w:val="1"/>
          <w:numId w:val="3"/>
        </w:numPr>
        <w:spacing w:line="360" w:lineRule="auto"/>
        <w:jc w:val="both"/>
        <w:rPr>
          <w:rFonts w:ascii="Garamond" w:hAnsi="Garamond"/>
          <w:sz w:val="20"/>
          <w:szCs w:val="20"/>
          <w:lang w:val="es-MX"/>
        </w:rPr>
      </w:pPr>
      <w:r>
        <w:rPr>
          <w:rFonts w:ascii="Garamond" w:hAnsi="Garamond"/>
          <w:sz w:val="20"/>
          <w:szCs w:val="20"/>
          <w:lang w:val="es-MX"/>
        </w:rPr>
        <w:t>Sin núcleo</w:t>
      </w:r>
    </w:p>
    <w:p w14:paraId="3941403A" w14:textId="697F84CD" w:rsidR="00CB0D3A" w:rsidRDefault="00677BE4" w:rsidP="006548B1">
      <w:pPr>
        <w:spacing w:line="360" w:lineRule="auto"/>
        <w:jc w:val="both"/>
        <w:rPr>
          <w:rFonts w:ascii="Garamond" w:hAnsi="Garamond"/>
          <w:sz w:val="20"/>
          <w:szCs w:val="20"/>
          <w:lang w:val="es-MX"/>
        </w:rPr>
      </w:pPr>
      <w:r>
        <w:rPr>
          <w:rFonts w:ascii="Garamond" w:hAnsi="Garamond"/>
          <w:sz w:val="20"/>
          <w:szCs w:val="20"/>
          <w:lang w:val="es-MX"/>
        </w:rPr>
        <w:t xml:space="preserve">Los </w:t>
      </w:r>
      <w:r w:rsidRPr="00CB0D3A">
        <w:rPr>
          <w:rFonts w:ascii="Garamond" w:hAnsi="Garamond"/>
          <w:i/>
          <w:sz w:val="20"/>
          <w:szCs w:val="20"/>
          <w:lang w:val="es-MX"/>
        </w:rPr>
        <w:t>hogares familiares nucleares</w:t>
      </w:r>
      <w:r>
        <w:rPr>
          <w:rFonts w:ascii="Garamond" w:hAnsi="Garamond"/>
          <w:sz w:val="20"/>
          <w:szCs w:val="20"/>
          <w:lang w:val="es-MX"/>
        </w:rPr>
        <w:t xml:space="preserve"> se definen como aquellos que están conformados por padre y madre</w:t>
      </w:r>
      <w:r w:rsidR="00AE72EE">
        <w:rPr>
          <w:rFonts w:ascii="Garamond" w:hAnsi="Garamond"/>
          <w:sz w:val="20"/>
          <w:szCs w:val="20"/>
          <w:lang w:val="es-MX"/>
        </w:rPr>
        <w:t xml:space="preserve"> con hijos,</w:t>
      </w:r>
      <w:r>
        <w:rPr>
          <w:rFonts w:ascii="Garamond" w:hAnsi="Garamond"/>
          <w:sz w:val="20"/>
          <w:szCs w:val="20"/>
          <w:lang w:val="es-MX"/>
        </w:rPr>
        <w:t xml:space="preserve"> pareja</w:t>
      </w:r>
      <w:r w:rsidR="00AE72EE">
        <w:rPr>
          <w:rFonts w:ascii="Garamond" w:hAnsi="Garamond"/>
          <w:sz w:val="20"/>
          <w:szCs w:val="20"/>
          <w:lang w:val="es-MX"/>
        </w:rPr>
        <w:t>s</w:t>
      </w:r>
      <w:r>
        <w:rPr>
          <w:rFonts w:ascii="Garamond" w:hAnsi="Garamond"/>
          <w:sz w:val="20"/>
          <w:szCs w:val="20"/>
          <w:lang w:val="es-MX"/>
        </w:rPr>
        <w:t xml:space="preserve"> sin hijos; o por padre o madre con hijos</w:t>
      </w:r>
      <w:r>
        <w:rPr>
          <w:rStyle w:val="Refdenotaalpie"/>
          <w:rFonts w:ascii="Garamond" w:hAnsi="Garamond"/>
          <w:sz w:val="20"/>
          <w:szCs w:val="20"/>
          <w:lang w:val="es-MX"/>
        </w:rPr>
        <w:footnoteReference w:id="5"/>
      </w:r>
      <w:r>
        <w:rPr>
          <w:rFonts w:ascii="Garamond" w:hAnsi="Garamond"/>
          <w:sz w:val="20"/>
          <w:szCs w:val="20"/>
          <w:lang w:val="es-MX"/>
        </w:rPr>
        <w:t>.</w:t>
      </w:r>
      <w:r w:rsidR="00C93723">
        <w:rPr>
          <w:rFonts w:ascii="Garamond" w:hAnsi="Garamond"/>
          <w:sz w:val="20"/>
          <w:szCs w:val="20"/>
          <w:lang w:val="es-MX"/>
        </w:rPr>
        <w:t xml:space="preserve"> </w:t>
      </w:r>
      <w:r w:rsidR="00CB0D3A">
        <w:rPr>
          <w:rFonts w:ascii="Garamond" w:hAnsi="Garamond"/>
          <w:sz w:val="20"/>
          <w:szCs w:val="20"/>
          <w:lang w:val="es-MX"/>
        </w:rPr>
        <w:t xml:space="preserve">Los </w:t>
      </w:r>
      <w:r w:rsidR="00CB0D3A" w:rsidRPr="00CB0D3A">
        <w:rPr>
          <w:rFonts w:ascii="Garamond" w:hAnsi="Garamond"/>
          <w:i/>
          <w:sz w:val="20"/>
          <w:szCs w:val="20"/>
          <w:lang w:val="es-MX"/>
        </w:rPr>
        <w:t>hogares familiares amplio</w:t>
      </w:r>
      <w:r w:rsidR="00CB0D3A">
        <w:rPr>
          <w:rFonts w:ascii="Garamond" w:hAnsi="Garamond"/>
          <w:i/>
          <w:sz w:val="20"/>
          <w:szCs w:val="20"/>
          <w:lang w:val="es-MX"/>
        </w:rPr>
        <w:t>s</w:t>
      </w:r>
      <w:r w:rsidR="00CB0D3A" w:rsidRPr="00CB0D3A">
        <w:rPr>
          <w:rFonts w:ascii="Garamond" w:hAnsi="Garamond"/>
          <w:i/>
          <w:sz w:val="20"/>
          <w:szCs w:val="20"/>
          <w:lang w:val="es-MX"/>
        </w:rPr>
        <w:t xml:space="preserve"> extensos</w:t>
      </w:r>
      <w:r w:rsidR="00CB0D3A">
        <w:rPr>
          <w:rFonts w:ascii="Garamond" w:hAnsi="Garamond"/>
          <w:sz w:val="20"/>
          <w:szCs w:val="20"/>
          <w:lang w:val="es-MX"/>
        </w:rPr>
        <w:t xml:space="preserve"> están conformados por un hogar nuclear más otros parientes. </w:t>
      </w:r>
    </w:p>
    <w:p w14:paraId="353A4C88" w14:textId="0B7CC36E" w:rsidR="00CB0D3A" w:rsidRDefault="00CB0D3A" w:rsidP="006548B1">
      <w:pPr>
        <w:spacing w:line="360" w:lineRule="auto"/>
        <w:jc w:val="both"/>
        <w:rPr>
          <w:rFonts w:ascii="Garamond" w:hAnsi="Garamond"/>
          <w:sz w:val="20"/>
          <w:szCs w:val="20"/>
          <w:lang w:val="es-MX"/>
        </w:rPr>
      </w:pPr>
      <w:r>
        <w:rPr>
          <w:rFonts w:ascii="Garamond" w:hAnsi="Garamond"/>
          <w:sz w:val="20"/>
          <w:szCs w:val="20"/>
          <w:lang w:val="es-MX"/>
        </w:rPr>
        <w:t xml:space="preserve">Por su parte los </w:t>
      </w:r>
      <w:r w:rsidRPr="00CB0D3A">
        <w:rPr>
          <w:rFonts w:ascii="Garamond" w:hAnsi="Garamond"/>
          <w:i/>
          <w:sz w:val="20"/>
          <w:szCs w:val="20"/>
          <w:lang w:val="es-MX"/>
        </w:rPr>
        <w:t>hogares familiares amplio</w:t>
      </w:r>
      <w:r>
        <w:rPr>
          <w:rFonts w:ascii="Garamond" w:hAnsi="Garamond"/>
          <w:i/>
          <w:sz w:val="20"/>
          <w:szCs w:val="20"/>
          <w:lang w:val="es-MX"/>
        </w:rPr>
        <w:t>s</w:t>
      </w:r>
      <w:r w:rsidRPr="00CB0D3A">
        <w:rPr>
          <w:rFonts w:ascii="Garamond" w:hAnsi="Garamond"/>
          <w:i/>
          <w:sz w:val="20"/>
          <w:szCs w:val="20"/>
          <w:lang w:val="es-MX"/>
        </w:rPr>
        <w:t xml:space="preserve"> compuesto</w:t>
      </w:r>
      <w:r>
        <w:rPr>
          <w:rFonts w:ascii="Garamond" w:hAnsi="Garamond"/>
          <w:i/>
          <w:sz w:val="20"/>
          <w:szCs w:val="20"/>
          <w:lang w:val="es-MX"/>
        </w:rPr>
        <w:t>s</w:t>
      </w:r>
      <w:r>
        <w:rPr>
          <w:rFonts w:ascii="Garamond" w:hAnsi="Garamond"/>
          <w:sz w:val="20"/>
          <w:szCs w:val="20"/>
          <w:lang w:val="es-MX"/>
        </w:rPr>
        <w:t xml:space="preserve"> son aquellos que están conformados por un hogar nuclear con o sin otros parientes más otros no parientes. En ese sentido los </w:t>
      </w:r>
      <w:r w:rsidRPr="00CB0D3A">
        <w:rPr>
          <w:rFonts w:ascii="Garamond" w:hAnsi="Garamond"/>
          <w:i/>
          <w:sz w:val="20"/>
          <w:szCs w:val="20"/>
          <w:lang w:val="es-MX"/>
        </w:rPr>
        <w:t>hogares familiares amplios</w:t>
      </w:r>
      <w:r>
        <w:rPr>
          <w:rFonts w:ascii="Garamond" w:hAnsi="Garamond"/>
          <w:sz w:val="20"/>
          <w:szCs w:val="20"/>
          <w:lang w:val="es-MX"/>
        </w:rPr>
        <w:t xml:space="preserve"> corresponden a </w:t>
      </w:r>
      <w:r w:rsidR="00556D4B">
        <w:rPr>
          <w:rFonts w:ascii="Garamond" w:hAnsi="Garamond"/>
          <w:sz w:val="20"/>
          <w:szCs w:val="20"/>
          <w:lang w:val="es-MX"/>
        </w:rPr>
        <w:t>los</w:t>
      </w:r>
      <w:r>
        <w:rPr>
          <w:rFonts w:ascii="Garamond" w:hAnsi="Garamond"/>
          <w:sz w:val="20"/>
          <w:szCs w:val="20"/>
          <w:lang w:val="es-MX"/>
        </w:rPr>
        <w:t xml:space="preserve"> hogares familiares integrados por un hogar nuclear más otros parientes o no parientes.</w:t>
      </w:r>
    </w:p>
    <w:p w14:paraId="13F0AD3E" w14:textId="4D8B649B" w:rsidR="00CB0D3A" w:rsidRDefault="00CB0D3A" w:rsidP="006548B1">
      <w:pPr>
        <w:spacing w:line="360" w:lineRule="auto"/>
        <w:jc w:val="both"/>
        <w:rPr>
          <w:rFonts w:ascii="Garamond" w:hAnsi="Garamond"/>
          <w:sz w:val="20"/>
          <w:szCs w:val="20"/>
          <w:lang w:val="es-MX"/>
        </w:rPr>
      </w:pPr>
      <w:r>
        <w:rPr>
          <w:rFonts w:ascii="Garamond" w:hAnsi="Garamond"/>
          <w:sz w:val="20"/>
          <w:szCs w:val="20"/>
          <w:lang w:val="es-MX"/>
        </w:rPr>
        <w:t xml:space="preserve">Ahora bien, en el caso de los hogares familiares sin núcleo son entendidos como aquellos en los que no existe una relación nuclear: padre/madre - hijo(a) o </w:t>
      </w:r>
      <w:r>
        <w:rPr>
          <w:rFonts w:ascii="Garamond" w:hAnsi="Garamond"/>
          <w:sz w:val="20"/>
          <w:szCs w:val="20"/>
          <w:lang w:val="es-MX"/>
        </w:rPr>
        <w:t>relación de pareja/esposos, pero en la que si hay relaciones de parentesco entre sus integrantes.</w:t>
      </w:r>
    </w:p>
    <w:p w14:paraId="779F5DA8" w14:textId="1EA4A447" w:rsidR="00CB0D3A" w:rsidRDefault="00A12743" w:rsidP="006548B1">
      <w:pPr>
        <w:spacing w:line="360" w:lineRule="auto"/>
        <w:jc w:val="both"/>
        <w:rPr>
          <w:rFonts w:ascii="Garamond" w:hAnsi="Garamond"/>
          <w:sz w:val="20"/>
          <w:szCs w:val="20"/>
          <w:lang w:val="es-MX"/>
        </w:rPr>
      </w:pPr>
      <w:r>
        <w:rPr>
          <w:rFonts w:ascii="Garamond" w:hAnsi="Garamond"/>
          <w:sz w:val="20"/>
          <w:szCs w:val="20"/>
          <w:lang w:val="es-MX"/>
        </w:rPr>
        <w:t xml:space="preserve">En cuanto a los </w:t>
      </w:r>
      <w:r w:rsidR="005811CE">
        <w:rPr>
          <w:rFonts w:ascii="Garamond" w:hAnsi="Garamond"/>
          <w:sz w:val="20"/>
          <w:szCs w:val="20"/>
          <w:u w:val="single"/>
          <w:lang w:val="es-MX"/>
        </w:rPr>
        <w:t>H</w:t>
      </w:r>
      <w:r w:rsidRPr="00A12743">
        <w:rPr>
          <w:rFonts w:ascii="Garamond" w:hAnsi="Garamond"/>
          <w:sz w:val="20"/>
          <w:szCs w:val="20"/>
          <w:u w:val="single"/>
          <w:lang w:val="es-MX"/>
        </w:rPr>
        <w:t xml:space="preserve">ogares </w:t>
      </w:r>
      <w:r w:rsidR="005811CE">
        <w:rPr>
          <w:rFonts w:ascii="Garamond" w:hAnsi="Garamond"/>
          <w:sz w:val="20"/>
          <w:szCs w:val="20"/>
          <w:u w:val="single"/>
          <w:lang w:val="es-MX"/>
        </w:rPr>
        <w:t>N</w:t>
      </w:r>
      <w:r w:rsidRPr="00A12743">
        <w:rPr>
          <w:rFonts w:ascii="Garamond" w:hAnsi="Garamond"/>
          <w:sz w:val="20"/>
          <w:szCs w:val="20"/>
          <w:u w:val="single"/>
          <w:lang w:val="es-MX"/>
        </w:rPr>
        <w:t xml:space="preserve">o </w:t>
      </w:r>
      <w:r w:rsidR="005811CE">
        <w:rPr>
          <w:rFonts w:ascii="Garamond" w:hAnsi="Garamond"/>
          <w:sz w:val="20"/>
          <w:szCs w:val="20"/>
          <w:u w:val="single"/>
          <w:lang w:val="es-MX"/>
        </w:rPr>
        <w:t>F</w:t>
      </w:r>
      <w:r w:rsidRPr="00A12743">
        <w:rPr>
          <w:rFonts w:ascii="Garamond" w:hAnsi="Garamond"/>
          <w:sz w:val="20"/>
          <w:szCs w:val="20"/>
          <w:u w:val="single"/>
          <w:lang w:val="es-MX"/>
        </w:rPr>
        <w:t>amiliares</w:t>
      </w:r>
      <w:r>
        <w:rPr>
          <w:rFonts w:ascii="Garamond" w:hAnsi="Garamond"/>
          <w:sz w:val="20"/>
          <w:szCs w:val="20"/>
          <w:lang w:val="es-MX"/>
        </w:rPr>
        <w:t xml:space="preserve">, estos se clasifican así: </w:t>
      </w:r>
    </w:p>
    <w:p w14:paraId="1C9E9478" w14:textId="79862ADB" w:rsidR="00A12743" w:rsidRPr="00A12743" w:rsidRDefault="00A12743" w:rsidP="00A12743">
      <w:pPr>
        <w:pStyle w:val="Prrafodelista"/>
        <w:numPr>
          <w:ilvl w:val="0"/>
          <w:numId w:val="3"/>
        </w:numPr>
        <w:spacing w:line="360" w:lineRule="auto"/>
        <w:jc w:val="both"/>
        <w:rPr>
          <w:rFonts w:ascii="Garamond" w:hAnsi="Garamond"/>
          <w:sz w:val="20"/>
          <w:szCs w:val="20"/>
          <w:lang w:val="es-MX"/>
        </w:rPr>
      </w:pPr>
      <w:r w:rsidRPr="00A12743">
        <w:rPr>
          <w:rFonts w:ascii="Garamond" w:hAnsi="Garamond"/>
          <w:sz w:val="20"/>
          <w:szCs w:val="20"/>
          <w:lang w:val="es-MX"/>
        </w:rPr>
        <w:t xml:space="preserve">Hogares </w:t>
      </w:r>
      <w:r w:rsidR="00A7112F">
        <w:rPr>
          <w:rFonts w:ascii="Garamond" w:hAnsi="Garamond"/>
          <w:sz w:val="20"/>
          <w:szCs w:val="20"/>
          <w:lang w:val="es-MX"/>
        </w:rPr>
        <w:t>N</w:t>
      </w:r>
      <w:r w:rsidRPr="00A12743">
        <w:rPr>
          <w:rFonts w:ascii="Garamond" w:hAnsi="Garamond"/>
          <w:sz w:val="20"/>
          <w:szCs w:val="20"/>
          <w:lang w:val="es-MX"/>
        </w:rPr>
        <w:t xml:space="preserve">o </w:t>
      </w:r>
      <w:r w:rsidR="00A7112F">
        <w:rPr>
          <w:rFonts w:ascii="Garamond" w:hAnsi="Garamond"/>
          <w:sz w:val="20"/>
          <w:szCs w:val="20"/>
          <w:lang w:val="es-MX"/>
        </w:rPr>
        <w:t>F</w:t>
      </w:r>
      <w:r w:rsidRPr="00A12743">
        <w:rPr>
          <w:rFonts w:ascii="Garamond" w:hAnsi="Garamond"/>
          <w:sz w:val="20"/>
          <w:szCs w:val="20"/>
          <w:lang w:val="es-MX"/>
        </w:rPr>
        <w:t>amiliares</w:t>
      </w:r>
    </w:p>
    <w:p w14:paraId="661429AA" w14:textId="52AD8C73" w:rsidR="00A12743" w:rsidRDefault="00A12743" w:rsidP="00A12743">
      <w:pPr>
        <w:pStyle w:val="Prrafodelista"/>
        <w:numPr>
          <w:ilvl w:val="1"/>
          <w:numId w:val="3"/>
        </w:numPr>
        <w:spacing w:line="360" w:lineRule="auto"/>
        <w:jc w:val="both"/>
        <w:rPr>
          <w:rFonts w:ascii="Garamond" w:hAnsi="Garamond"/>
          <w:sz w:val="20"/>
          <w:szCs w:val="20"/>
          <w:lang w:val="es-MX"/>
        </w:rPr>
      </w:pPr>
      <w:r>
        <w:rPr>
          <w:rFonts w:ascii="Garamond" w:hAnsi="Garamond"/>
          <w:sz w:val="20"/>
          <w:szCs w:val="20"/>
          <w:lang w:val="es-MX"/>
        </w:rPr>
        <w:t>Unipersonales: conformados por una sola persona (el jefe del hogar para el caso de la EMB).</w:t>
      </w:r>
    </w:p>
    <w:p w14:paraId="66F1EC5F" w14:textId="695DA856" w:rsidR="00A12743" w:rsidRDefault="00A12743" w:rsidP="00A12743">
      <w:pPr>
        <w:pStyle w:val="Prrafodelista"/>
        <w:numPr>
          <w:ilvl w:val="1"/>
          <w:numId w:val="3"/>
        </w:numPr>
        <w:spacing w:line="360" w:lineRule="auto"/>
        <w:jc w:val="both"/>
        <w:rPr>
          <w:rFonts w:ascii="Garamond" w:hAnsi="Garamond"/>
          <w:sz w:val="20"/>
          <w:szCs w:val="20"/>
          <w:lang w:val="es-MX"/>
        </w:rPr>
      </w:pPr>
      <w:r>
        <w:rPr>
          <w:rFonts w:ascii="Garamond" w:hAnsi="Garamond"/>
          <w:sz w:val="20"/>
          <w:szCs w:val="20"/>
          <w:lang w:val="es-MX"/>
        </w:rPr>
        <w:t>No familiares sin núcleo: Hogares en los que sus integrantes no tienen relaciones de parentesco, por ejemplo: amigos que viven juntos y comparten gastos.</w:t>
      </w:r>
    </w:p>
    <w:p w14:paraId="7BB1422E" w14:textId="7DFE24E5" w:rsidR="00940794" w:rsidRDefault="00A12743" w:rsidP="00A16521">
      <w:pPr>
        <w:spacing w:line="360" w:lineRule="auto"/>
        <w:jc w:val="both"/>
        <w:rPr>
          <w:rFonts w:ascii="Garamond" w:hAnsi="Garamond"/>
          <w:sz w:val="20"/>
          <w:szCs w:val="20"/>
          <w:lang w:val="es-MX"/>
        </w:rPr>
      </w:pPr>
      <w:r>
        <w:rPr>
          <w:rFonts w:ascii="Garamond" w:hAnsi="Garamond"/>
          <w:sz w:val="20"/>
          <w:szCs w:val="20"/>
          <w:lang w:val="es-MX"/>
        </w:rPr>
        <w:t>Con base en lo anterior, a continuación, se presenta</w:t>
      </w:r>
      <w:r w:rsidR="00B33292">
        <w:rPr>
          <w:rFonts w:ascii="Garamond" w:hAnsi="Garamond"/>
          <w:sz w:val="20"/>
          <w:szCs w:val="20"/>
          <w:lang w:val="es-MX"/>
        </w:rPr>
        <w:t>n una tabla y</w:t>
      </w:r>
      <w:r>
        <w:rPr>
          <w:rFonts w:ascii="Garamond" w:hAnsi="Garamond"/>
          <w:sz w:val="20"/>
          <w:szCs w:val="20"/>
          <w:lang w:val="es-MX"/>
        </w:rPr>
        <w:t xml:space="preserve"> un gráfico con los </w:t>
      </w:r>
      <w:r w:rsidR="00B33292">
        <w:rPr>
          <w:rFonts w:ascii="Garamond" w:hAnsi="Garamond"/>
          <w:sz w:val="20"/>
          <w:szCs w:val="20"/>
          <w:lang w:val="es-MX"/>
        </w:rPr>
        <w:t xml:space="preserve">valores y </w:t>
      </w:r>
      <w:r>
        <w:rPr>
          <w:rFonts w:ascii="Garamond" w:hAnsi="Garamond"/>
          <w:sz w:val="20"/>
          <w:szCs w:val="20"/>
          <w:lang w:val="es-MX"/>
        </w:rPr>
        <w:t>porcentajes de hogares familiares y no familiares para Bogotá a partir de la EMB 2017.</w:t>
      </w:r>
    </w:p>
    <w:p w14:paraId="384A8469" w14:textId="416C1FA8" w:rsidR="009B46DD" w:rsidRDefault="009B46DD" w:rsidP="00B33292">
      <w:pPr>
        <w:spacing w:after="0" w:line="360" w:lineRule="auto"/>
        <w:jc w:val="center"/>
        <w:rPr>
          <w:rFonts w:ascii="Garamond" w:hAnsi="Garamond"/>
          <w:b/>
          <w:sz w:val="18"/>
          <w:szCs w:val="20"/>
          <w:lang w:val="es-MX"/>
        </w:rPr>
      </w:pPr>
      <w:r w:rsidRPr="009B46DD">
        <w:rPr>
          <w:rFonts w:ascii="Garamond" w:hAnsi="Garamond"/>
          <w:b/>
          <w:sz w:val="18"/>
          <w:szCs w:val="20"/>
          <w:lang w:val="es-MX"/>
        </w:rPr>
        <w:t>Tabla 1. Hogares Bogotanos por tipología de estructura familiar</w:t>
      </w:r>
    </w:p>
    <w:tbl>
      <w:tblPr>
        <w:tblW w:w="4253" w:type="dxa"/>
        <w:tblCellMar>
          <w:left w:w="70" w:type="dxa"/>
          <w:right w:w="70" w:type="dxa"/>
        </w:tblCellMar>
        <w:tblLook w:val="04A0" w:firstRow="1" w:lastRow="0" w:firstColumn="1" w:lastColumn="0" w:noHBand="0" w:noVBand="1"/>
      </w:tblPr>
      <w:tblGrid>
        <w:gridCol w:w="3119"/>
        <w:gridCol w:w="1134"/>
      </w:tblGrid>
      <w:tr w:rsidR="0099117C" w:rsidRPr="00EE2D1C" w14:paraId="6E79F53F" w14:textId="77777777" w:rsidTr="00EE2D1C">
        <w:trPr>
          <w:trHeight w:val="300"/>
        </w:trPr>
        <w:tc>
          <w:tcPr>
            <w:tcW w:w="3119" w:type="dxa"/>
            <w:tcBorders>
              <w:top w:val="nil"/>
              <w:left w:val="nil"/>
              <w:bottom w:val="nil"/>
              <w:right w:val="nil"/>
            </w:tcBorders>
            <w:shd w:val="clear" w:color="000000" w:fill="FFFFFF"/>
            <w:noWrap/>
            <w:vAlign w:val="bottom"/>
            <w:hideMark/>
          </w:tcPr>
          <w:p w14:paraId="768AE38A" w14:textId="0F473AEE" w:rsidR="0099117C" w:rsidRPr="0099117C" w:rsidRDefault="0099117C" w:rsidP="0099117C">
            <w:pPr>
              <w:spacing w:after="0" w:line="240" w:lineRule="auto"/>
              <w:rPr>
                <w:rFonts w:ascii="Garamond" w:eastAsia="Times New Roman" w:hAnsi="Garamond" w:cs="Calibri"/>
                <w:b/>
                <w:bCs/>
                <w:color w:val="000000"/>
                <w:sz w:val="18"/>
                <w:szCs w:val="18"/>
                <w:lang w:eastAsia="es-ES_tradnl"/>
              </w:rPr>
            </w:pPr>
            <w:r w:rsidRPr="0099117C">
              <w:rPr>
                <w:rFonts w:ascii="Garamond" w:hAnsi="Garamond" w:cs="Calibri"/>
                <w:b/>
                <w:bCs/>
                <w:color w:val="000000"/>
                <w:sz w:val="18"/>
                <w:szCs w:val="18"/>
              </w:rPr>
              <w:t>HOGARES FAMILIARES</w:t>
            </w:r>
          </w:p>
        </w:tc>
        <w:tc>
          <w:tcPr>
            <w:tcW w:w="1134" w:type="dxa"/>
            <w:tcBorders>
              <w:top w:val="nil"/>
              <w:left w:val="nil"/>
              <w:bottom w:val="nil"/>
              <w:right w:val="nil"/>
            </w:tcBorders>
            <w:shd w:val="clear" w:color="000000" w:fill="FFFFFF"/>
            <w:noWrap/>
            <w:vAlign w:val="bottom"/>
            <w:hideMark/>
          </w:tcPr>
          <w:p w14:paraId="49481C7E" w14:textId="07DE52DE" w:rsidR="0099117C" w:rsidRPr="0099117C" w:rsidRDefault="0099117C" w:rsidP="0099117C">
            <w:pPr>
              <w:spacing w:after="0" w:line="240" w:lineRule="auto"/>
              <w:rPr>
                <w:rFonts w:ascii="Garamond" w:eastAsia="Times New Roman" w:hAnsi="Garamond" w:cs="Calibri"/>
                <w:b/>
                <w:bCs/>
                <w:color w:val="000000"/>
                <w:sz w:val="18"/>
                <w:szCs w:val="18"/>
                <w:lang w:eastAsia="es-ES_tradnl"/>
              </w:rPr>
            </w:pPr>
            <w:r w:rsidRPr="0099117C">
              <w:rPr>
                <w:rFonts w:ascii="Garamond" w:hAnsi="Garamond" w:cs="Calibri"/>
                <w:b/>
                <w:bCs/>
                <w:color w:val="000000"/>
                <w:sz w:val="18"/>
                <w:szCs w:val="18"/>
              </w:rPr>
              <w:t xml:space="preserve">      2.236.198 </w:t>
            </w:r>
          </w:p>
        </w:tc>
      </w:tr>
      <w:tr w:rsidR="0099117C" w:rsidRPr="00EE2D1C" w14:paraId="56296E92" w14:textId="77777777" w:rsidTr="00EE2D1C">
        <w:trPr>
          <w:trHeight w:val="300"/>
        </w:trPr>
        <w:tc>
          <w:tcPr>
            <w:tcW w:w="3119" w:type="dxa"/>
            <w:tcBorders>
              <w:top w:val="nil"/>
              <w:left w:val="nil"/>
              <w:bottom w:val="nil"/>
              <w:right w:val="nil"/>
            </w:tcBorders>
            <w:shd w:val="clear" w:color="000000" w:fill="FFFFFF"/>
            <w:noWrap/>
            <w:vAlign w:val="bottom"/>
            <w:hideMark/>
          </w:tcPr>
          <w:p w14:paraId="57C26C2B" w14:textId="4B4E3B90" w:rsidR="0099117C" w:rsidRPr="0099117C" w:rsidRDefault="0099117C" w:rsidP="0099117C">
            <w:pPr>
              <w:spacing w:after="0" w:line="240" w:lineRule="auto"/>
              <w:rPr>
                <w:rFonts w:ascii="Garamond" w:eastAsia="Times New Roman" w:hAnsi="Garamond" w:cs="Calibri"/>
                <w:color w:val="000000"/>
                <w:sz w:val="18"/>
                <w:szCs w:val="18"/>
                <w:u w:val="single"/>
                <w:lang w:eastAsia="es-ES_tradnl"/>
              </w:rPr>
            </w:pPr>
            <w:r w:rsidRPr="0099117C">
              <w:rPr>
                <w:rFonts w:ascii="Garamond" w:hAnsi="Garamond" w:cs="Calibri"/>
                <w:color w:val="000000"/>
                <w:sz w:val="18"/>
                <w:szCs w:val="18"/>
                <w:u w:val="single"/>
              </w:rPr>
              <w:t>Familiar Nuclear</w:t>
            </w:r>
          </w:p>
        </w:tc>
        <w:tc>
          <w:tcPr>
            <w:tcW w:w="1134" w:type="dxa"/>
            <w:tcBorders>
              <w:top w:val="nil"/>
              <w:left w:val="nil"/>
              <w:bottom w:val="nil"/>
              <w:right w:val="nil"/>
            </w:tcBorders>
            <w:shd w:val="clear" w:color="000000" w:fill="FFFFFF"/>
            <w:noWrap/>
            <w:vAlign w:val="bottom"/>
            <w:hideMark/>
          </w:tcPr>
          <w:p w14:paraId="58BC983E" w14:textId="7CF78F67" w:rsidR="0099117C" w:rsidRPr="0099117C" w:rsidRDefault="0099117C" w:rsidP="0099117C">
            <w:pPr>
              <w:spacing w:after="0" w:line="240" w:lineRule="auto"/>
              <w:rPr>
                <w:rFonts w:ascii="Garamond" w:eastAsia="Times New Roman" w:hAnsi="Garamond" w:cs="Calibri"/>
                <w:color w:val="000000"/>
                <w:sz w:val="18"/>
                <w:szCs w:val="18"/>
                <w:lang w:eastAsia="es-ES_tradnl"/>
              </w:rPr>
            </w:pPr>
            <w:r w:rsidRPr="0099117C">
              <w:rPr>
                <w:rFonts w:ascii="Garamond" w:hAnsi="Garamond" w:cs="Calibri"/>
                <w:color w:val="000000"/>
                <w:sz w:val="18"/>
                <w:szCs w:val="18"/>
              </w:rPr>
              <w:t xml:space="preserve">      1.723.379 </w:t>
            </w:r>
          </w:p>
        </w:tc>
      </w:tr>
      <w:tr w:rsidR="0099117C" w:rsidRPr="00EE2D1C" w14:paraId="733BD2B0" w14:textId="77777777" w:rsidTr="00EE2D1C">
        <w:trPr>
          <w:trHeight w:val="300"/>
        </w:trPr>
        <w:tc>
          <w:tcPr>
            <w:tcW w:w="3119" w:type="dxa"/>
            <w:tcBorders>
              <w:top w:val="nil"/>
              <w:left w:val="nil"/>
              <w:bottom w:val="nil"/>
              <w:right w:val="nil"/>
            </w:tcBorders>
            <w:shd w:val="clear" w:color="000000" w:fill="FFFFFF"/>
            <w:noWrap/>
            <w:vAlign w:val="bottom"/>
            <w:hideMark/>
          </w:tcPr>
          <w:p w14:paraId="0E83AE09" w14:textId="3E55DCFF" w:rsidR="0099117C" w:rsidRPr="0099117C" w:rsidRDefault="0099117C" w:rsidP="0099117C">
            <w:pPr>
              <w:spacing w:after="0" w:line="240" w:lineRule="auto"/>
              <w:rPr>
                <w:rFonts w:ascii="Garamond" w:eastAsia="Times New Roman" w:hAnsi="Garamond" w:cs="Calibri"/>
                <w:color w:val="000000"/>
                <w:sz w:val="18"/>
                <w:szCs w:val="18"/>
                <w:u w:val="single"/>
                <w:lang w:eastAsia="es-ES_tradnl"/>
              </w:rPr>
            </w:pPr>
            <w:r w:rsidRPr="0099117C">
              <w:rPr>
                <w:rFonts w:ascii="Garamond" w:hAnsi="Garamond" w:cs="Calibri"/>
                <w:color w:val="000000"/>
                <w:sz w:val="18"/>
                <w:szCs w:val="18"/>
                <w:u w:val="single"/>
              </w:rPr>
              <w:t>Familiar Amplio</w:t>
            </w:r>
          </w:p>
        </w:tc>
        <w:tc>
          <w:tcPr>
            <w:tcW w:w="1134" w:type="dxa"/>
            <w:tcBorders>
              <w:top w:val="nil"/>
              <w:left w:val="nil"/>
              <w:bottom w:val="nil"/>
              <w:right w:val="nil"/>
            </w:tcBorders>
            <w:shd w:val="clear" w:color="000000" w:fill="FFFFFF"/>
            <w:noWrap/>
            <w:vAlign w:val="bottom"/>
            <w:hideMark/>
          </w:tcPr>
          <w:p w14:paraId="6CB83E52" w14:textId="07F05C5F" w:rsidR="0099117C" w:rsidRPr="0099117C" w:rsidRDefault="0099117C" w:rsidP="0099117C">
            <w:pPr>
              <w:spacing w:after="0" w:line="240" w:lineRule="auto"/>
              <w:rPr>
                <w:rFonts w:ascii="Garamond" w:eastAsia="Times New Roman" w:hAnsi="Garamond" w:cs="Calibri"/>
                <w:color w:val="000000"/>
                <w:sz w:val="18"/>
                <w:szCs w:val="18"/>
                <w:lang w:eastAsia="es-ES_tradnl"/>
              </w:rPr>
            </w:pPr>
            <w:r w:rsidRPr="0099117C">
              <w:rPr>
                <w:rFonts w:ascii="Garamond" w:hAnsi="Garamond" w:cs="Calibri"/>
                <w:color w:val="000000"/>
                <w:sz w:val="18"/>
                <w:szCs w:val="18"/>
              </w:rPr>
              <w:t xml:space="preserve">        412.690 </w:t>
            </w:r>
          </w:p>
        </w:tc>
      </w:tr>
      <w:tr w:rsidR="0099117C" w:rsidRPr="00EE2D1C" w14:paraId="0C354CA0" w14:textId="77777777" w:rsidTr="00EE2D1C">
        <w:trPr>
          <w:trHeight w:val="300"/>
        </w:trPr>
        <w:tc>
          <w:tcPr>
            <w:tcW w:w="3119" w:type="dxa"/>
            <w:tcBorders>
              <w:top w:val="nil"/>
              <w:left w:val="nil"/>
              <w:bottom w:val="nil"/>
              <w:right w:val="nil"/>
            </w:tcBorders>
            <w:shd w:val="clear" w:color="000000" w:fill="FFFFFF"/>
            <w:noWrap/>
            <w:vAlign w:val="bottom"/>
            <w:hideMark/>
          </w:tcPr>
          <w:p w14:paraId="590E905D" w14:textId="44A726C6" w:rsidR="0099117C" w:rsidRPr="0099117C" w:rsidRDefault="0099117C" w:rsidP="0099117C">
            <w:pPr>
              <w:spacing w:after="0" w:line="240" w:lineRule="auto"/>
              <w:rPr>
                <w:rFonts w:ascii="Garamond" w:eastAsia="Times New Roman" w:hAnsi="Garamond" w:cs="Calibri"/>
                <w:color w:val="000000"/>
                <w:sz w:val="18"/>
                <w:szCs w:val="18"/>
                <w:lang w:eastAsia="es-ES_tradnl"/>
              </w:rPr>
            </w:pPr>
            <w:r w:rsidRPr="0099117C">
              <w:rPr>
                <w:rFonts w:ascii="Garamond" w:hAnsi="Garamond" w:cs="Calibri"/>
                <w:color w:val="000000"/>
                <w:sz w:val="18"/>
                <w:szCs w:val="18"/>
              </w:rPr>
              <w:t xml:space="preserve"> -Hogares familiares amplios extensos</w:t>
            </w:r>
          </w:p>
        </w:tc>
        <w:tc>
          <w:tcPr>
            <w:tcW w:w="1134" w:type="dxa"/>
            <w:tcBorders>
              <w:top w:val="nil"/>
              <w:left w:val="nil"/>
              <w:bottom w:val="nil"/>
              <w:right w:val="nil"/>
            </w:tcBorders>
            <w:shd w:val="clear" w:color="000000" w:fill="FFFFFF"/>
            <w:noWrap/>
            <w:vAlign w:val="bottom"/>
            <w:hideMark/>
          </w:tcPr>
          <w:p w14:paraId="1EC52551" w14:textId="73FB6356" w:rsidR="0099117C" w:rsidRPr="0099117C" w:rsidRDefault="0099117C" w:rsidP="0099117C">
            <w:pPr>
              <w:spacing w:after="0" w:line="240" w:lineRule="auto"/>
              <w:rPr>
                <w:rFonts w:ascii="Garamond" w:eastAsia="Times New Roman" w:hAnsi="Garamond" w:cs="Calibri"/>
                <w:color w:val="000000"/>
                <w:sz w:val="18"/>
                <w:szCs w:val="18"/>
                <w:lang w:eastAsia="es-ES_tradnl"/>
              </w:rPr>
            </w:pPr>
            <w:r w:rsidRPr="0099117C">
              <w:rPr>
                <w:rFonts w:ascii="Garamond" w:hAnsi="Garamond" w:cs="Calibri"/>
                <w:color w:val="000000"/>
                <w:sz w:val="18"/>
                <w:szCs w:val="18"/>
              </w:rPr>
              <w:t xml:space="preserve">        375.465 </w:t>
            </w:r>
          </w:p>
        </w:tc>
      </w:tr>
      <w:tr w:rsidR="0099117C" w:rsidRPr="00EE2D1C" w14:paraId="1A90D7E4" w14:textId="77777777" w:rsidTr="00EE2D1C">
        <w:trPr>
          <w:trHeight w:val="300"/>
        </w:trPr>
        <w:tc>
          <w:tcPr>
            <w:tcW w:w="3119" w:type="dxa"/>
            <w:tcBorders>
              <w:top w:val="nil"/>
              <w:left w:val="nil"/>
              <w:bottom w:val="nil"/>
              <w:right w:val="nil"/>
            </w:tcBorders>
            <w:shd w:val="clear" w:color="000000" w:fill="FFFFFF"/>
            <w:noWrap/>
            <w:vAlign w:val="bottom"/>
            <w:hideMark/>
          </w:tcPr>
          <w:p w14:paraId="73C95270" w14:textId="4EA3F0B3" w:rsidR="0099117C" w:rsidRPr="0099117C" w:rsidRDefault="0099117C" w:rsidP="0099117C">
            <w:pPr>
              <w:spacing w:after="0" w:line="240" w:lineRule="auto"/>
              <w:rPr>
                <w:rFonts w:ascii="Garamond" w:eastAsia="Times New Roman" w:hAnsi="Garamond" w:cs="Calibri"/>
                <w:color w:val="000000"/>
                <w:sz w:val="18"/>
                <w:szCs w:val="18"/>
                <w:lang w:eastAsia="es-ES_tradnl"/>
              </w:rPr>
            </w:pPr>
            <w:r w:rsidRPr="0099117C">
              <w:rPr>
                <w:rFonts w:ascii="Garamond" w:hAnsi="Garamond" w:cs="Calibri"/>
                <w:color w:val="000000"/>
                <w:sz w:val="18"/>
                <w:szCs w:val="18"/>
              </w:rPr>
              <w:t xml:space="preserve"> -Hogares familiares amplios compuestos</w:t>
            </w:r>
          </w:p>
        </w:tc>
        <w:tc>
          <w:tcPr>
            <w:tcW w:w="1134" w:type="dxa"/>
            <w:tcBorders>
              <w:top w:val="nil"/>
              <w:left w:val="nil"/>
              <w:bottom w:val="nil"/>
              <w:right w:val="nil"/>
            </w:tcBorders>
            <w:shd w:val="clear" w:color="000000" w:fill="FFFFFF"/>
            <w:noWrap/>
            <w:vAlign w:val="bottom"/>
            <w:hideMark/>
          </w:tcPr>
          <w:p w14:paraId="0D6C9B5C" w14:textId="316BF4D1" w:rsidR="0099117C" w:rsidRPr="0099117C" w:rsidRDefault="0099117C" w:rsidP="0099117C">
            <w:pPr>
              <w:spacing w:after="0" w:line="240" w:lineRule="auto"/>
              <w:rPr>
                <w:rFonts w:ascii="Garamond" w:eastAsia="Times New Roman" w:hAnsi="Garamond" w:cs="Calibri"/>
                <w:color w:val="000000"/>
                <w:sz w:val="18"/>
                <w:szCs w:val="18"/>
                <w:lang w:eastAsia="es-ES_tradnl"/>
              </w:rPr>
            </w:pPr>
            <w:r w:rsidRPr="0099117C">
              <w:rPr>
                <w:rFonts w:ascii="Garamond" w:hAnsi="Garamond" w:cs="Calibri"/>
                <w:color w:val="000000"/>
                <w:sz w:val="18"/>
                <w:szCs w:val="18"/>
              </w:rPr>
              <w:t xml:space="preserve">          37.226 </w:t>
            </w:r>
          </w:p>
        </w:tc>
      </w:tr>
      <w:tr w:rsidR="0099117C" w:rsidRPr="00EE2D1C" w14:paraId="60910789" w14:textId="77777777" w:rsidTr="00EE2D1C">
        <w:trPr>
          <w:trHeight w:val="300"/>
        </w:trPr>
        <w:tc>
          <w:tcPr>
            <w:tcW w:w="3119" w:type="dxa"/>
            <w:tcBorders>
              <w:top w:val="nil"/>
              <w:left w:val="nil"/>
              <w:bottom w:val="nil"/>
              <w:right w:val="nil"/>
            </w:tcBorders>
            <w:shd w:val="clear" w:color="000000" w:fill="FFFFFF"/>
            <w:noWrap/>
            <w:vAlign w:val="bottom"/>
            <w:hideMark/>
          </w:tcPr>
          <w:p w14:paraId="41B6F389" w14:textId="11C145F2" w:rsidR="0099117C" w:rsidRPr="0099117C" w:rsidRDefault="0099117C" w:rsidP="0099117C">
            <w:pPr>
              <w:spacing w:after="0" w:line="240" w:lineRule="auto"/>
              <w:rPr>
                <w:rFonts w:ascii="Garamond" w:eastAsia="Times New Roman" w:hAnsi="Garamond" w:cs="Calibri"/>
                <w:color w:val="000000"/>
                <w:sz w:val="18"/>
                <w:szCs w:val="18"/>
                <w:u w:val="single"/>
                <w:lang w:eastAsia="es-ES_tradnl"/>
              </w:rPr>
            </w:pPr>
            <w:r w:rsidRPr="0099117C">
              <w:rPr>
                <w:rFonts w:ascii="Garamond" w:hAnsi="Garamond" w:cs="Calibri"/>
                <w:color w:val="000000"/>
                <w:sz w:val="18"/>
                <w:szCs w:val="18"/>
                <w:u w:val="single"/>
              </w:rPr>
              <w:t>Familiar sin núcleo</w:t>
            </w:r>
          </w:p>
        </w:tc>
        <w:tc>
          <w:tcPr>
            <w:tcW w:w="1134" w:type="dxa"/>
            <w:tcBorders>
              <w:top w:val="nil"/>
              <w:left w:val="nil"/>
              <w:bottom w:val="nil"/>
              <w:right w:val="nil"/>
            </w:tcBorders>
            <w:shd w:val="clear" w:color="000000" w:fill="FFFFFF"/>
            <w:noWrap/>
            <w:vAlign w:val="bottom"/>
            <w:hideMark/>
          </w:tcPr>
          <w:p w14:paraId="22A9A0F8" w14:textId="5F421357" w:rsidR="0099117C" w:rsidRPr="0099117C" w:rsidRDefault="0099117C" w:rsidP="0099117C">
            <w:pPr>
              <w:spacing w:after="0" w:line="240" w:lineRule="auto"/>
              <w:rPr>
                <w:rFonts w:ascii="Garamond" w:eastAsia="Times New Roman" w:hAnsi="Garamond" w:cs="Calibri"/>
                <w:color w:val="000000"/>
                <w:sz w:val="18"/>
                <w:szCs w:val="18"/>
                <w:lang w:eastAsia="es-ES_tradnl"/>
              </w:rPr>
            </w:pPr>
            <w:r w:rsidRPr="0099117C">
              <w:rPr>
                <w:rFonts w:ascii="Garamond" w:hAnsi="Garamond" w:cs="Calibri"/>
                <w:color w:val="000000"/>
                <w:sz w:val="18"/>
                <w:szCs w:val="18"/>
              </w:rPr>
              <w:t xml:space="preserve">        100.129 </w:t>
            </w:r>
          </w:p>
        </w:tc>
      </w:tr>
      <w:tr w:rsidR="0099117C" w:rsidRPr="00EE2D1C" w14:paraId="0D17EA6C" w14:textId="77777777" w:rsidTr="00EE2D1C">
        <w:trPr>
          <w:trHeight w:val="300"/>
        </w:trPr>
        <w:tc>
          <w:tcPr>
            <w:tcW w:w="3119" w:type="dxa"/>
            <w:tcBorders>
              <w:top w:val="nil"/>
              <w:left w:val="nil"/>
              <w:bottom w:val="nil"/>
              <w:right w:val="nil"/>
            </w:tcBorders>
            <w:shd w:val="clear" w:color="000000" w:fill="FFFFFF"/>
            <w:noWrap/>
            <w:vAlign w:val="bottom"/>
            <w:hideMark/>
          </w:tcPr>
          <w:p w14:paraId="36DAEA83" w14:textId="0C447BE6" w:rsidR="0099117C" w:rsidRPr="0099117C" w:rsidRDefault="0099117C" w:rsidP="0099117C">
            <w:pPr>
              <w:spacing w:after="0" w:line="240" w:lineRule="auto"/>
              <w:rPr>
                <w:rFonts w:ascii="Garamond" w:eastAsia="Times New Roman" w:hAnsi="Garamond" w:cs="Calibri"/>
                <w:b/>
                <w:bCs/>
                <w:color w:val="000000"/>
                <w:sz w:val="18"/>
                <w:szCs w:val="18"/>
                <w:lang w:eastAsia="es-ES_tradnl"/>
              </w:rPr>
            </w:pPr>
            <w:r w:rsidRPr="0099117C">
              <w:rPr>
                <w:rFonts w:ascii="Garamond" w:hAnsi="Garamond" w:cs="Calibri"/>
                <w:b/>
                <w:bCs/>
                <w:color w:val="000000"/>
                <w:sz w:val="18"/>
                <w:szCs w:val="18"/>
              </w:rPr>
              <w:t>HOGARES NO FAMILIARES</w:t>
            </w:r>
          </w:p>
        </w:tc>
        <w:tc>
          <w:tcPr>
            <w:tcW w:w="1134" w:type="dxa"/>
            <w:tcBorders>
              <w:top w:val="nil"/>
              <w:left w:val="nil"/>
              <w:bottom w:val="nil"/>
              <w:right w:val="nil"/>
            </w:tcBorders>
            <w:shd w:val="clear" w:color="000000" w:fill="FFFFFF"/>
            <w:noWrap/>
            <w:vAlign w:val="bottom"/>
            <w:hideMark/>
          </w:tcPr>
          <w:p w14:paraId="076371F8" w14:textId="71543482" w:rsidR="0099117C" w:rsidRPr="0099117C" w:rsidRDefault="0099117C" w:rsidP="0099117C">
            <w:pPr>
              <w:spacing w:after="0" w:line="240" w:lineRule="auto"/>
              <w:rPr>
                <w:rFonts w:ascii="Garamond" w:eastAsia="Times New Roman" w:hAnsi="Garamond" w:cs="Calibri"/>
                <w:b/>
                <w:bCs/>
                <w:color w:val="000000"/>
                <w:sz w:val="18"/>
                <w:szCs w:val="18"/>
                <w:lang w:eastAsia="es-ES_tradnl"/>
              </w:rPr>
            </w:pPr>
            <w:r w:rsidRPr="0099117C">
              <w:rPr>
                <w:rFonts w:ascii="Garamond" w:hAnsi="Garamond" w:cs="Calibri"/>
                <w:b/>
                <w:bCs/>
                <w:color w:val="000000"/>
                <w:sz w:val="18"/>
                <w:szCs w:val="18"/>
              </w:rPr>
              <w:t xml:space="preserve">        463.627 </w:t>
            </w:r>
          </w:p>
        </w:tc>
      </w:tr>
      <w:tr w:rsidR="0099117C" w:rsidRPr="00EE2D1C" w14:paraId="6EA4400B" w14:textId="77777777" w:rsidTr="00EE2D1C">
        <w:trPr>
          <w:trHeight w:val="300"/>
        </w:trPr>
        <w:tc>
          <w:tcPr>
            <w:tcW w:w="3119" w:type="dxa"/>
            <w:tcBorders>
              <w:top w:val="nil"/>
              <w:left w:val="nil"/>
              <w:bottom w:val="nil"/>
              <w:right w:val="nil"/>
            </w:tcBorders>
            <w:shd w:val="clear" w:color="000000" w:fill="FFFFFF"/>
            <w:noWrap/>
            <w:vAlign w:val="bottom"/>
            <w:hideMark/>
          </w:tcPr>
          <w:p w14:paraId="6988F4F8" w14:textId="3579C114" w:rsidR="0099117C" w:rsidRPr="0099117C" w:rsidRDefault="0099117C" w:rsidP="0099117C">
            <w:pPr>
              <w:spacing w:after="0" w:line="240" w:lineRule="auto"/>
              <w:rPr>
                <w:rFonts w:ascii="Garamond" w:eastAsia="Times New Roman" w:hAnsi="Garamond" w:cs="Calibri"/>
                <w:color w:val="000000"/>
                <w:sz w:val="18"/>
                <w:szCs w:val="18"/>
                <w:u w:val="single"/>
                <w:lang w:eastAsia="es-ES_tradnl"/>
              </w:rPr>
            </w:pPr>
            <w:r w:rsidRPr="0099117C">
              <w:rPr>
                <w:rFonts w:ascii="Garamond" w:hAnsi="Garamond" w:cs="Calibri"/>
                <w:color w:val="000000"/>
                <w:sz w:val="18"/>
                <w:szCs w:val="18"/>
                <w:u w:val="single"/>
              </w:rPr>
              <w:t>Unipersonales</w:t>
            </w:r>
          </w:p>
        </w:tc>
        <w:tc>
          <w:tcPr>
            <w:tcW w:w="1134" w:type="dxa"/>
            <w:tcBorders>
              <w:top w:val="nil"/>
              <w:left w:val="nil"/>
              <w:bottom w:val="nil"/>
              <w:right w:val="nil"/>
            </w:tcBorders>
            <w:shd w:val="clear" w:color="000000" w:fill="FFFFFF"/>
            <w:noWrap/>
            <w:vAlign w:val="bottom"/>
            <w:hideMark/>
          </w:tcPr>
          <w:p w14:paraId="462AAFBA" w14:textId="255B46CE" w:rsidR="0099117C" w:rsidRPr="0099117C" w:rsidRDefault="0099117C" w:rsidP="0099117C">
            <w:pPr>
              <w:spacing w:after="0" w:line="240" w:lineRule="auto"/>
              <w:rPr>
                <w:rFonts w:ascii="Garamond" w:eastAsia="Times New Roman" w:hAnsi="Garamond" w:cs="Calibri"/>
                <w:color w:val="000000"/>
                <w:sz w:val="18"/>
                <w:szCs w:val="18"/>
                <w:lang w:eastAsia="es-ES_tradnl"/>
              </w:rPr>
            </w:pPr>
            <w:r w:rsidRPr="0099117C">
              <w:rPr>
                <w:rFonts w:ascii="Garamond" w:hAnsi="Garamond" w:cs="Calibri"/>
                <w:color w:val="000000"/>
                <w:sz w:val="18"/>
                <w:szCs w:val="18"/>
              </w:rPr>
              <w:t xml:space="preserve">        440.528 </w:t>
            </w:r>
          </w:p>
        </w:tc>
      </w:tr>
      <w:tr w:rsidR="0099117C" w:rsidRPr="00EE2D1C" w14:paraId="2172F011" w14:textId="77777777" w:rsidTr="00EE2D1C">
        <w:trPr>
          <w:trHeight w:val="300"/>
        </w:trPr>
        <w:tc>
          <w:tcPr>
            <w:tcW w:w="3119" w:type="dxa"/>
            <w:tcBorders>
              <w:top w:val="nil"/>
              <w:left w:val="nil"/>
              <w:bottom w:val="nil"/>
              <w:right w:val="nil"/>
            </w:tcBorders>
            <w:shd w:val="clear" w:color="000000" w:fill="FFFFFF"/>
            <w:noWrap/>
            <w:vAlign w:val="bottom"/>
            <w:hideMark/>
          </w:tcPr>
          <w:p w14:paraId="2E39DF28" w14:textId="688B2E33" w:rsidR="0099117C" w:rsidRPr="0099117C" w:rsidRDefault="0099117C" w:rsidP="0099117C">
            <w:pPr>
              <w:spacing w:after="0" w:line="240" w:lineRule="auto"/>
              <w:rPr>
                <w:rFonts w:ascii="Garamond" w:eastAsia="Times New Roman" w:hAnsi="Garamond" w:cs="Calibri"/>
                <w:color w:val="000000"/>
                <w:sz w:val="18"/>
                <w:szCs w:val="18"/>
                <w:u w:val="single"/>
                <w:lang w:eastAsia="es-ES_tradnl"/>
              </w:rPr>
            </w:pPr>
            <w:r w:rsidRPr="0099117C">
              <w:rPr>
                <w:rFonts w:ascii="Garamond" w:hAnsi="Garamond" w:cs="Calibri"/>
                <w:color w:val="000000"/>
                <w:sz w:val="18"/>
                <w:szCs w:val="18"/>
                <w:u w:val="single"/>
              </w:rPr>
              <w:t>Hogar no familiar sin núcleo</w:t>
            </w:r>
          </w:p>
        </w:tc>
        <w:tc>
          <w:tcPr>
            <w:tcW w:w="1134" w:type="dxa"/>
            <w:tcBorders>
              <w:top w:val="nil"/>
              <w:left w:val="nil"/>
              <w:bottom w:val="nil"/>
              <w:right w:val="nil"/>
            </w:tcBorders>
            <w:shd w:val="clear" w:color="000000" w:fill="FFFFFF"/>
            <w:noWrap/>
            <w:vAlign w:val="bottom"/>
            <w:hideMark/>
          </w:tcPr>
          <w:p w14:paraId="7D32D06D" w14:textId="26B41258" w:rsidR="0099117C" w:rsidRPr="0099117C" w:rsidRDefault="0099117C" w:rsidP="0099117C">
            <w:pPr>
              <w:spacing w:after="0" w:line="240" w:lineRule="auto"/>
              <w:rPr>
                <w:rFonts w:ascii="Garamond" w:eastAsia="Times New Roman" w:hAnsi="Garamond" w:cs="Calibri"/>
                <w:color w:val="000000"/>
                <w:sz w:val="18"/>
                <w:szCs w:val="18"/>
                <w:lang w:eastAsia="es-ES_tradnl"/>
              </w:rPr>
            </w:pPr>
            <w:r w:rsidRPr="0099117C">
              <w:rPr>
                <w:rFonts w:ascii="Garamond" w:hAnsi="Garamond" w:cs="Calibri"/>
                <w:color w:val="000000"/>
                <w:sz w:val="18"/>
                <w:szCs w:val="18"/>
              </w:rPr>
              <w:t xml:space="preserve">          23.099 </w:t>
            </w:r>
          </w:p>
        </w:tc>
      </w:tr>
    </w:tbl>
    <w:p w14:paraId="63410A62" w14:textId="77777777" w:rsidR="009B46DD" w:rsidRDefault="009B46DD" w:rsidP="009B46DD">
      <w:pPr>
        <w:spacing w:after="0" w:line="360" w:lineRule="auto"/>
        <w:jc w:val="both"/>
        <w:rPr>
          <w:rFonts w:ascii="Garamond" w:hAnsi="Garamond"/>
          <w:sz w:val="20"/>
          <w:szCs w:val="20"/>
          <w:lang w:val="es-MX"/>
        </w:rPr>
      </w:pPr>
    </w:p>
    <w:p w14:paraId="4042C1D5" w14:textId="5F3B0C05" w:rsidR="00324E30" w:rsidRDefault="009B46DD" w:rsidP="00646175">
      <w:pPr>
        <w:spacing w:line="360" w:lineRule="auto"/>
        <w:jc w:val="both"/>
        <w:rPr>
          <w:rFonts w:ascii="Garamond" w:hAnsi="Garamond"/>
          <w:sz w:val="20"/>
          <w:szCs w:val="20"/>
          <w:lang w:val="es-MX"/>
        </w:rPr>
      </w:pPr>
      <w:r>
        <w:rPr>
          <w:rFonts w:ascii="Garamond" w:hAnsi="Garamond"/>
          <w:sz w:val="20"/>
          <w:szCs w:val="20"/>
          <w:lang w:val="es-MX"/>
        </w:rPr>
        <w:t>En términos absolutos, la EMB es representativa para 2.699.825 hogare</w:t>
      </w:r>
      <w:r w:rsidR="00252ECC">
        <w:rPr>
          <w:rFonts w:ascii="Garamond" w:hAnsi="Garamond"/>
          <w:sz w:val="20"/>
          <w:szCs w:val="20"/>
          <w:lang w:val="es-MX"/>
        </w:rPr>
        <w:t>s en Bogotá, de los cuales 2.236</w:t>
      </w:r>
      <w:r>
        <w:rPr>
          <w:rFonts w:ascii="Garamond" w:hAnsi="Garamond"/>
          <w:sz w:val="20"/>
          <w:szCs w:val="20"/>
          <w:lang w:val="es-MX"/>
        </w:rPr>
        <w:t>.</w:t>
      </w:r>
      <w:r w:rsidR="00252ECC">
        <w:rPr>
          <w:rFonts w:ascii="Garamond" w:hAnsi="Garamond"/>
          <w:sz w:val="20"/>
          <w:szCs w:val="20"/>
          <w:lang w:val="es-MX"/>
        </w:rPr>
        <w:t>198</w:t>
      </w:r>
      <w:r>
        <w:rPr>
          <w:rFonts w:ascii="Garamond" w:hAnsi="Garamond"/>
          <w:sz w:val="20"/>
          <w:szCs w:val="20"/>
          <w:lang w:val="es-MX"/>
        </w:rPr>
        <w:t xml:space="preserve"> son hogares familiares y el resto so</w:t>
      </w:r>
      <w:r w:rsidR="00252ECC">
        <w:rPr>
          <w:rFonts w:ascii="Garamond" w:hAnsi="Garamond"/>
          <w:sz w:val="20"/>
          <w:szCs w:val="20"/>
          <w:lang w:val="es-MX"/>
        </w:rPr>
        <w:t>n hogares no familiares (463.627</w:t>
      </w:r>
      <w:r>
        <w:rPr>
          <w:rFonts w:ascii="Garamond" w:hAnsi="Garamond"/>
          <w:sz w:val="20"/>
          <w:szCs w:val="20"/>
          <w:lang w:val="es-MX"/>
        </w:rPr>
        <w:t xml:space="preserve">). </w:t>
      </w:r>
    </w:p>
    <w:p w14:paraId="5BBBB4C1" w14:textId="77777777" w:rsidR="003E206D" w:rsidRDefault="003E206D" w:rsidP="009B46DD">
      <w:pPr>
        <w:spacing w:after="0" w:line="360" w:lineRule="auto"/>
        <w:jc w:val="center"/>
        <w:rPr>
          <w:rFonts w:ascii="Garamond" w:hAnsi="Garamond"/>
          <w:b/>
          <w:sz w:val="20"/>
          <w:szCs w:val="20"/>
          <w:lang w:val="es-MX"/>
        </w:rPr>
      </w:pPr>
    </w:p>
    <w:p w14:paraId="5BD23DFE" w14:textId="45DD7419" w:rsidR="00CF547F" w:rsidRDefault="00C31236" w:rsidP="009B46DD">
      <w:pPr>
        <w:spacing w:after="0" w:line="360" w:lineRule="auto"/>
        <w:jc w:val="center"/>
        <w:rPr>
          <w:rFonts w:ascii="Garamond" w:hAnsi="Garamond"/>
          <w:b/>
          <w:sz w:val="20"/>
          <w:szCs w:val="20"/>
          <w:lang w:val="es-MX"/>
        </w:rPr>
      </w:pPr>
      <w:r w:rsidRPr="00822A4A">
        <w:rPr>
          <w:rFonts w:ascii="Garamond" w:hAnsi="Garamond"/>
          <w:b/>
          <w:sz w:val="20"/>
          <w:szCs w:val="20"/>
          <w:lang w:val="es-MX"/>
        </w:rPr>
        <w:lastRenderedPageBreak/>
        <w:t>Gráfico</w:t>
      </w:r>
      <w:r w:rsidR="00CF547F" w:rsidRPr="00822A4A">
        <w:rPr>
          <w:rFonts w:ascii="Garamond" w:hAnsi="Garamond"/>
          <w:b/>
          <w:sz w:val="20"/>
          <w:szCs w:val="20"/>
          <w:lang w:val="es-MX"/>
        </w:rPr>
        <w:t xml:space="preserve"> 1. </w:t>
      </w:r>
      <w:r w:rsidR="00A12743">
        <w:rPr>
          <w:rFonts w:ascii="Garamond" w:hAnsi="Garamond"/>
          <w:b/>
          <w:sz w:val="20"/>
          <w:szCs w:val="20"/>
          <w:lang w:val="es-MX"/>
        </w:rPr>
        <w:t>Porcentaje de hogares bogotanos por tipología de estructura familiar</w:t>
      </w:r>
    </w:p>
    <w:p w14:paraId="5EF28E78" w14:textId="50962BD0" w:rsidR="00A12743" w:rsidRDefault="00686AE0" w:rsidP="00A72991">
      <w:pPr>
        <w:spacing w:after="0" w:line="360" w:lineRule="auto"/>
        <w:jc w:val="center"/>
        <w:rPr>
          <w:rFonts w:ascii="Garamond" w:hAnsi="Garamond"/>
          <w:b/>
          <w:sz w:val="20"/>
          <w:szCs w:val="20"/>
          <w:lang w:val="es-MX"/>
        </w:rPr>
      </w:pPr>
      <w:r>
        <w:rPr>
          <w:noProof/>
          <w:lang w:eastAsia="es-CO"/>
        </w:rPr>
        <w:drawing>
          <wp:inline distT="0" distB="0" distL="0" distR="0" wp14:anchorId="2C1BA8F9" wp14:editId="1426C88D">
            <wp:extent cx="2581275" cy="3295934"/>
            <wp:effectExtent l="0" t="0" r="0" b="0"/>
            <wp:docPr id="2" name="Gráfico 2">
              <a:extLst xmlns:a="http://schemas.openxmlformats.org/drawingml/2006/main">
                <a:ext uri="{FF2B5EF4-FFF2-40B4-BE49-F238E27FC236}">
                  <a16:creationId xmlns:a16="http://schemas.microsoft.com/office/drawing/2014/main" id="{6C6B5A1F-F189-094A-AFB0-3C3450B9E5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CD69AA3" w14:textId="4F5B89A2" w:rsidR="00977317" w:rsidRDefault="004616B4" w:rsidP="00977317">
      <w:pPr>
        <w:spacing w:line="360" w:lineRule="auto"/>
        <w:jc w:val="both"/>
        <w:rPr>
          <w:rFonts w:ascii="Garamond" w:hAnsi="Garamond"/>
          <w:sz w:val="20"/>
          <w:szCs w:val="20"/>
          <w:lang w:val="es-MX"/>
        </w:rPr>
      </w:pPr>
      <w:r>
        <w:rPr>
          <w:rFonts w:ascii="Garamond" w:hAnsi="Garamond"/>
          <w:sz w:val="20"/>
          <w:szCs w:val="20"/>
          <w:lang w:val="es-MX"/>
        </w:rPr>
        <w:t>En Bogotá el 8</w:t>
      </w:r>
      <w:r w:rsidR="006B1742">
        <w:rPr>
          <w:rFonts w:ascii="Garamond" w:hAnsi="Garamond"/>
          <w:sz w:val="20"/>
          <w:szCs w:val="20"/>
          <w:lang w:val="es-MX"/>
        </w:rPr>
        <w:t>2</w:t>
      </w:r>
      <w:r>
        <w:rPr>
          <w:rFonts w:ascii="Garamond" w:hAnsi="Garamond"/>
          <w:sz w:val="20"/>
          <w:szCs w:val="20"/>
          <w:lang w:val="es-MX"/>
        </w:rPr>
        <w:t>,</w:t>
      </w:r>
      <w:r w:rsidR="006B1742">
        <w:rPr>
          <w:rFonts w:ascii="Garamond" w:hAnsi="Garamond"/>
          <w:sz w:val="20"/>
          <w:szCs w:val="20"/>
          <w:lang w:val="es-MX"/>
        </w:rPr>
        <w:t>8</w:t>
      </w:r>
      <w:r>
        <w:rPr>
          <w:rFonts w:ascii="Garamond" w:hAnsi="Garamond"/>
          <w:sz w:val="20"/>
          <w:szCs w:val="20"/>
          <w:lang w:val="es-MX"/>
        </w:rPr>
        <w:t>% de los hogares son familiares, siendo en su mayoría nucleares (6</w:t>
      </w:r>
      <w:r w:rsidR="006B1742">
        <w:rPr>
          <w:rFonts w:ascii="Garamond" w:hAnsi="Garamond"/>
          <w:sz w:val="20"/>
          <w:szCs w:val="20"/>
          <w:lang w:val="es-MX"/>
        </w:rPr>
        <w:t>3</w:t>
      </w:r>
      <w:r>
        <w:rPr>
          <w:rFonts w:ascii="Garamond" w:hAnsi="Garamond"/>
          <w:sz w:val="20"/>
          <w:szCs w:val="20"/>
          <w:lang w:val="es-MX"/>
        </w:rPr>
        <w:t>,</w:t>
      </w:r>
      <w:r w:rsidR="00686AE0">
        <w:rPr>
          <w:rFonts w:ascii="Garamond" w:hAnsi="Garamond"/>
          <w:sz w:val="20"/>
          <w:szCs w:val="20"/>
          <w:lang w:val="es-MX"/>
        </w:rPr>
        <w:t>8</w:t>
      </w:r>
      <w:r>
        <w:rPr>
          <w:rFonts w:ascii="Garamond" w:hAnsi="Garamond"/>
          <w:sz w:val="20"/>
          <w:szCs w:val="20"/>
          <w:lang w:val="es-MX"/>
        </w:rPr>
        <w:t xml:space="preserve">%), seguidos de los hogares </w:t>
      </w:r>
      <w:r w:rsidR="00977317">
        <w:rPr>
          <w:rFonts w:ascii="Garamond" w:hAnsi="Garamond"/>
          <w:sz w:val="20"/>
          <w:szCs w:val="20"/>
          <w:lang w:val="es-MX"/>
        </w:rPr>
        <w:t xml:space="preserve">familiares </w:t>
      </w:r>
      <w:r>
        <w:rPr>
          <w:rFonts w:ascii="Garamond" w:hAnsi="Garamond"/>
          <w:sz w:val="20"/>
          <w:szCs w:val="20"/>
          <w:lang w:val="es-MX"/>
        </w:rPr>
        <w:t>amplios (1</w:t>
      </w:r>
      <w:r w:rsidR="00686AE0">
        <w:rPr>
          <w:rFonts w:ascii="Garamond" w:hAnsi="Garamond"/>
          <w:sz w:val="20"/>
          <w:szCs w:val="20"/>
          <w:lang w:val="es-MX"/>
        </w:rPr>
        <w:t>5,3</w:t>
      </w:r>
      <w:r>
        <w:rPr>
          <w:rFonts w:ascii="Garamond" w:hAnsi="Garamond"/>
          <w:sz w:val="20"/>
          <w:szCs w:val="20"/>
          <w:lang w:val="es-MX"/>
        </w:rPr>
        <w:t>%)</w:t>
      </w:r>
      <w:r w:rsidR="005811CE">
        <w:rPr>
          <w:rFonts w:ascii="Garamond" w:hAnsi="Garamond"/>
          <w:sz w:val="20"/>
          <w:szCs w:val="20"/>
          <w:lang w:val="es-MX"/>
        </w:rPr>
        <w:t>:</w:t>
      </w:r>
      <w:r w:rsidR="00686AE0">
        <w:rPr>
          <w:rFonts w:ascii="Garamond" w:hAnsi="Garamond"/>
          <w:sz w:val="20"/>
          <w:szCs w:val="20"/>
          <w:lang w:val="es-MX"/>
        </w:rPr>
        <w:t xml:space="preserve"> extensos (13,9</w:t>
      </w:r>
      <w:r>
        <w:rPr>
          <w:rFonts w:ascii="Garamond" w:hAnsi="Garamond"/>
          <w:sz w:val="20"/>
          <w:szCs w:val="20"/>
          <w:lang w:val="es-MX"/>
        </w:rPr>
        <w:t xml:space="preserve">%) y </w:t>
      </w:r>
      <w:r w:rsidR="00977317">
        <w:rPr>
          <w:rFonts w:ascii="Garamond" w:hAnsi="Garamond"/>
          <w:sz w:val="20"/>
          <w:szCs w:val="20"/>
          <w:lang w:val="es-MX"/>
        </w:rPr>
        <w:t>c</w:t>
      </w:r>
      <w:r>
        <w:rPr>
          <w:rFonts w:ascii="Garamond" w:hAnsi="Garamond"/>
          <w:sz w:val="20"/>
          <w:szCs w:val="20"/>
          <w:lang w:val="es-MX"/>
        </w:rPr>
        <w:t>ompuestos (1,</w:t>
      </w:r>
      <w:r w:rsidR="006B1742">
        <w:rPr>
          <w:rFonts w:ascii="Garamond" w:hAnsi="Garamond"/>
          <w:sz w:val="20"/>
          <w:szCs w:val="20"/>
          <w:lang w:val="es-MX"/>
        </w:rPr>
        <w:t>4</w:t>
      </w:r>
      <w:r>
        <w:rPr>
          <w:rFonts w:ascii="Garamond" w:hAnsi="Garamond"/>
          <w:sz w:val="20"/>
          <w:szCs w:val="20"/>
          <w:lang w:val="es-MX"/>
        </w:rPr>
        <w:t>%).</w:t>
      </w:r>
      <w:r w:rsidR="00977317">
        <w:rPr>
          <w:rFonts w:ascii="Garamond" w:hAnsi="Garamond"/>
          <w:sz w:val="20"/>
          <w:szCs w:val="20"/>
          <w:lang w:val="es-MX"/>
        </w:rPr>
        <w:t xml:space="preserve"> </w:t>
      </w:r>
    </w:p>
    <w:p w14:paraId="1794E791" w14:textId="2B25CD81" w:rsidR="004616B4" w:rsidRDefault="00977317" w:rsidP="00977317">
      <w:pPr>
        <w:spacing w:line="360" w:lineRule="auto"/>
        <w:jc w:val="both"/>
        <w:rPr>
          <w:rFonts w:ascii="Garamond" w:hAnsi="Garamond"/>
          <w:sz w:val="20"/>
          <w:szCs w:val="20"/>
          <w:lang w:val="es-MX"/>
        </w:rPr>
      </w:pPr>
      <w:r>
        <w:rPr>
          <w:rFonts w:ascii="Garamond" w:hAnsi="Garamond"/>
          <w:sz w:val="20"/>
          <w:szCs w:val="20"/>
          <w:lang w:val="es-MX"/>
        </w:rPr>
        <w:t xml:space="preserve">Vale la pena mencionar que en los hogares familiares compuestos </w:t>
      </w:r>
      <w:r w:rsidRPr="00977317">
        <w:rPr>
          <w:rFonts w:ascii="Garamond" w:hAnsi="Garamond"/>
          <w:sz w:val="20"/>
          <w:szCs w:val="20"/>
          <w:lang w:val="es-MX"/>
        </w:rPr>
        <w:t>pueden estar incluidas personas que colaboran con las tareas del ase</w:t>
      </w:r>
      <w:r>
        <w:rPr>
          <w:rFonts w:ascii="Garamond" w:hAnsi="Garamond"/>
          <w:sz w:val="20"/>
          <w:szCs w:val="20"/>
          <w:lang w:val="es-MX"/>
        </w:rPr>
        <w:t>o en el hogar o el</w:t>
      </w:r>
      <w:r w:rsidRPr="00977317">
        <w:rPr>
          <w:rFonts w:ascii="Garamond" w:hAnsi="Garamond"/>
          <w:sz w:val="20"/>
          <w:szCs w:val="20"/>
          <w:lang w:val="es-MX"/>
        </w:rPr>
        <w:t xml:space="preserve"> cuidado</w:t>
      </w:r>
      <w:r>
        <w:rPr>
          <w:rFonts w:ascii="Garamond" w:hAnsi="Garamond"/>
          <w:sz w:val="20"/>
          <w:szCs w:val="20"/>
          <w:lang w:val="es-MX"/>
        </w:rPr>
        <w:t xml:space="preserve"> de algunos de sus miembros</w:t>
      </w:r>
      <w:r w:rsidRPr="00977317">
        <w:rPr>
          <w:rFonts w:ascii="Garamond" w:hAnsi="Garamond"/>
          <w:sz w:val="20"/>
          <w:szCs w:val="20"/>
          <w:lang w:val="es-MX"/>
        </w:rPr>
        <w:t xml:space="preserve">, pero que </w:t>
      </w:r>
      <w:r>
        <w:rPr>
          <w:rFonts w:ascii="Garamond" w:hAnsi="Garamond"/>
          <w:sz w:val="20"/>
          <w:szCs w:val="20"/>
          <w:lang w:val="es-MX"/>
        </w:rPr>
        <w:t xml:space="preserve">por el formulario de la EMB no es </w:t>
      </w:r>
      <w:r w:rsidRPr="00977317">
        <w:rPr>
          <w:rFonts w:ascii="Garamond" w:hAnsi="Garamond"/>
          <w:sz w:val="20"/>
          <w:szCs w:val="20"/>
          <w:lang w:val="es-MX"/>
        </w:rPr>
        <w:t>posib</w:t>
      </w:r>
      <w:r>
        <w:rPr>
          <w:rFonts w:ascii="Garamond" w:hAnsi="Garamond"/>
          <w:sz w:val="20"/>
          <w:szCs w:val="20"/>
          <w:lang w:val="es-MX"/>
        </w:rPr>
        <w:t>le</w:t>
      </w:r>
      <w:r w:rsidRPr="00977317">
        <w:rPr>
          <w:rFonts w:ascii="Garamond" w:hAnsi="Garamond"/>
          <w:sz w:val="20"/>
          <w:szCs w:val="20"/>
          <w:lang w:val="es-MX"/>
        </w:rPr>
        <w:t xml:space="preserve"> </w:t>
      </w:r>
      <w:r>
        <w:rPr>
          <w:rFonts w:ascii="Garamond" w:hAnsi="Garamond"/>
          <w:sz w:val="20"/>
          <w:szCs w:val="20"/>
          <w:lang w:val="es-MX"/>
        </w:rPr>
        <w:t xml:space="preserve">identificarlos de esa forma, y que para el resto de los integrantes son considerados parte de la familia y </w:t>
      </w:r>
      <w:r w:rsidR="00D779DE">
        <w:rPr>
          <w:rFonts w:ascii="Garamond" w:hAnsi="Garamond"/>
          <w:sz w:val="20"/>
          <w:szCs w:val="20"/>
          <w:lang w:val="es-MX"/>
        </w:rPr>
        <w:t xml:space="preserve">que pudieron ser </w:t>
      </w:r>
      <w:r>
        <w:rPr>
          <w:rFonts w:ascii="Garamond" w:hAnsi="Garamond"/>
          <w:sz w:val="20"/>
          <w:szCs w:val="20"/>
          <w:lang w:val="es-MX"/>
        </w:rPr>
        <w:t>relacionados como otros no parientes.</w:t>
      </w:r>
    </w:p>
    <w:p w14:paraId="319944CA" w14:textId="320AF10B" w:rsidR="005811CE" w:rsidRDefault="004616B4" w:rsidP="00646175">
      <w:pPr>
        <w:spacing w:line="360" w:lineRule="auto"/>
        <w:jc w:val="both"/>
        <w:rPr>
          <w:rFonts w:ascii="Garamond" w:hAnsi="Garamond"/>
          <w:sz w:val="20"/>
          <w:szCs w:val="20"/>
          <w:lang w:val="es-MX"/>
        </w:rPr>
      </w:pPr>
      <w:r>
        <w:rPr>
          <w:rFonts w:ascii="Garamond" w:hAnsi="Garamond"/>
          <w:sz w:val="20"/>
          <w:szCs w:val="20"/>
          <w:lang w:val="es-MX"/>
        </w:rPr>
        <w:t>La gran mayoría de los hogares No familiares son Unipersonales (1</w:t>
      </w:r>
      <w:r w:rsidR="006B1742">
        <w:rPr>
          <w:rFonts w:ascii="Garamond" w:hAnsi="Garamond"/>
          <w:sz w:val="20"/>
          <w:szCs w:val="20"/>
          <w:lang w:val="es-MX"/>
        </w:rPr>
        <w:t>6</w:t>
      </w:r>
      <w:r>
        <w:rPr>
          <w:rFonts w:ascii="Garamond" w:hAnsi="Garamond"/>
          <w:sz w:val="20"/>
          <w:szCs w:val="20"/>
          <w:lang w:val="es-MX"/>
        </w:rPr>
        <w:t>,</w:t>
      </w:r>
      <w:r w:rsidR="006B1742">
        <w:rPr>
          <w:rFonts w:ascii="Garamond" w:hAnsi="Garamond"/>
          <w:sz w:val="20"/>
          <w:szCs w:val="20"/>
          <w:lang w:val="es-MX"/>
        </w:rPr>
        <w:t>3</w:t>
      </w:r>
      <w:r>
        <w:rPr>
          <w:rFonts w:ascii="Garamond" w:hAnsi="Garamond"/>
          <w:sz w:val="20"/>
          <w:szCs w:val="20"/>
          <w:lang w:val="es-MX"/>
        </w:rPr>
        <w:t>%), son muy pocos</w:t>
      </w:r>
      <w:r w:rsidR="006B1742">
        <w:rPr>
          <w:rFonts w:ascii="Garamond" w:hAnsi="Garamond"/>
          <w:sz w:val="20"/>
          <w:szCs w:val="20"/>
          <w:lang w:val="es-MX"/>
        </w:rPr>
        <w:t xml:space="preserve"> los</w:t>
      </w:r>
      <w:r>
        <w:rPr>
          <w:rFonts w:ascii="Garamond" w:hAnsi="Garamond"/>
          <w:sz w:val="20"/>
          <w:szCs w:val="20"/>
          <w:lang w:val="es-MX"/>
        </w:rPr>
        <w:t xml:space="preserve"> hogares </w:t>
      </w:r>
      <w:r w:rsidR="006B1742">
        <w:rPr>
          <w:rFonts w:ascii="Garamond" w:hAnsi="Garamond"/>
          <w:sz w:val="20"/>
          <w:szCs w:val="20"/>
          <w:lang w:val="es-MX"/>
        </w:rPr>
        <w:t>N</w:t>
      </w:r>
      <w:r>
        <w:rPr>
          <w:rFonts w:ascii="Garamond" w:hAnsi="Garamond"/>
          <w:sz w:val="20"/>
          <w:szCs w:val="20"/>
          <w:lang w:val="es-MX"/>
        </w:rPr>
        <w:t>o familiares sin núcleo</w:t>
      </w:r>
      <w:r w:rsidR="006B1742">
        <w:rPr>
          <w:rFonts w:ascii="Garamond" w:hAnsi="Garamond"/>
          <w:sz w:val="20"/>
          <w:szCs w:val="20"/>
          <w:lang w:val="es-MX"/>
        </w:rPr>
        <w:t xml:space="preserve"> (0,9%).</w:t>
      </w:r>
      <w:bookmarkStart w:id="2" w:name="OLE_LINK1"/>
    </w:p>
    <w:p w14:paraId="68CDFCE0" w14:textId="4B122981" w:rsidR="00646175" w:rsidRDefault="00646175" w:rsidP="00646175">
      <w:pPr>
        <w:spacing w:line="360" w:lineRule="auto"/>
        <w:jc w:val="both"/>
        <w:rPr>
          <w:rFonts w:ascii="Garamond" w:hAnsi="Garamond"/>
          <w:sz w:val="20"/>
          <w:szCs w:val="20"/>
          <w:lang w:val="es-MX"/>
        </w:rPr>
      </w:pPr>
    </w:p>
    <w:p w14:paraId="12CF0817" w14:textId="2B76261C" w:rsidR="003E206D" w:rsidRDefault="003E206D" w:rsidP="00646175">
      <w:pPr>
        <w:spacing w:line="360" w:lineRule="auto"/>
        <w:jc w:val="both"/>
        <w:rPr>
          <w:rFonts w:ascii="Garamond" w:hAnsi="Garamond"/>
          <w:sz w:val="20"/>
          <w:szCs w:val="20"/>
          <w:lang w:val="es-MX"/>
        </w:rPr>
      </w:pPr>
    </w:p>
    <w:p w14:paraId="6EA0CC26" w14:textId="77777777" w:rsidR="003E206D" w:rsidRPr="00646175" w:rsidRDefault="003E206D" w:rsidP="00646175">
      <w:pPr>
        <w:spacing w:line="360" w:lineRule="auto"/>
        <w:jc w:val="both"/>
        <w:rPr>
          <w:rFonts w:ascii="Garamond" w:hAnsi="Garamond"/>
          <w:sz w:val="20"/>
          <w:szCs w:val="20"/>
          <w:lang w:val="es-MX"/>
        </w:rPr>
      </w:pPr>
    </w:p>
    <w:p w14:paraId="7653BF7D" w14:textId="64499FD5" w:rsidR="009B46DD" w:rsidRDefault="009B46DD" w:rsidP="009B46DD">
      <w:pPr>
        <w:spacing w:after="0" w:line="360" w:lineRule="auto"/>
        <w:jc w:val="center"/>
        <w:rPr>
          <w:rFonts w:ascii="Garamond" w:hAnsi="Garamond"/>
          <w:b/>
          <w:sz w:val="20"/>
          <w:lang w:val="es-MX"/>
        </w:rPr>
      </w:pPr>
      <w:r w:rsidRPr="00822A4A">
        <w:rPr>
          <w:rFonts w:ascii="Garamond" w:hAnsi="Garamond"/>
          <w:b/>
          <w:sz w:val="20"/>
          <w:lang w:val="es-MX"/>
        </w:rPr>
        <w:t xml:space="preserve">Gráfico 2. Porcentaje de hogares </w:t>
      </w:r>
      <w:r>
        <w:rPr>
          <w:rFonts w:ascii="Garamond" w:hAnsi="Garamond"/>
          <w:b/>
          <w:sz w:val="20"/>
          <w:lang w:val="es-MX"/>
        </w:rPr>
        <w:t xml:space="preserve">familiares </w:t>
      </w:r>
      <w:bookmarkEnd w:id="2"/>
      <w:r>
        <w:rPr>
          <w:rFonts w:ascii="Garamond" w:hAnsi="Garamond"/>
          <w:b/>
          <w:sz w:val="20"/>
          <w:lang w:val="es-MX"/>
        </w:rPr>
        <w:t>nucleares</w:t>
      </w:r>
    </w:p>
    <w:p w14:paraId="7785A3A3" w14:textId="31863CAD" w:rsidR="00D779DE" w:rsidRPr="009B46DD" w:rsidRDefault="001C5393" w:rsidP="009B46DD">
      <w:pPr>
        <w:spacing w:after="0" w:line="360" w:lineRule="auto"/>
        <w:jc w:val="center"/>
        <w:rPr>
          <w:rFonts w:ascii="Garamond" w:hAnsi="Garamond"/>
          <w:b/>
          <w:sz w:val="20"/>
          <w:lang w:val="es-MX"/>
        </w:rPr>
      </w:pPr>
      <w:r>
        <w:rPr>
          <w:noProof/>
          <w:lang w:eastAsia="es-CO"/>
        </w:rPr>
        <w:drawing>
          <wp:inline distT="0" distB="0" distL="0" distR="0" wp14:anchorId="05D29444" wp14:editId="2EE879ED">
            <wp:extent cx="2581275" cy="2258704"/>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9A12E3A" w14:textId="52DB7655" w:rsidR="009B46DD" w:rsidRDefault="009B46DD" w:rsidP="004616B4">
      <w:pPr>
        <w:spacing w:after="0" w:line="360" w:lineRule="auto"/>
        <w:jc w:val="both"/>
        <w:rPr>
          <w:rFonts w:ascii="Garamond" w:hAnsi="Garamond"/>
          <w:sz w:val="20"/>
          <w:szCs w:val="20"/>
          <w:lang w:val="es-MX"/>
        </w:rPr>
      </w:pPr>
    </w:p>
    <w:p w14:paraId="7D9B03AC" w14:textId="7BAE0DB7" w:rsidR="000A6AC7" w:rsidRDefault="003F0E77" w:rsidP="004616B4">
      <w:pPr>
        <w:spacing w:after="0" w:line="360" w:lineRule="auto"/>
        <w:jc w:val="both"/>
        <w:rPr>
          <w:rFonts w:ascii="Garamond" w:hAnsi="Garamond"/>
          <w:sz w:val="20"/>
          <w:szCs w:val="20"/>
          <w:lang w:val="es-MX"/>
        </w:rPr>
      </w:pPr>
      <w:r>
        <w:rPr>
          <w:rFonts w:ascii="Garamond" w:hAnsi="Garamond"/>
          <w:sz w:val="20"/>
          <w:szCs w:val="20"/>
          <w:lang w:val="es-MX"/>
        </w:rPr>
        <w:t>El 63,8%</w:t>
      </w:r>
      <w:r w:rsidR="009B46DD">
        <w:rPr>
          <w:rFonts w:ascii="Garamond" w:hAnsi="Garamond"/>
          <w:sz w:val="20"/>
          <w:szCs w:val="20"/>
          <w:lang w:val="es-MX"/>
        </w:rPr>
        <w:t xml:space="preserve"> </w:t>
      </w:r>
      <w:r>
        <w:rPr>
          <w:rFonts w:ascii="Garamond" w:hAnsi="Garamond"/>
          <w:sz w:val="20"/>
          <w:szCs w:val="20"/>
          <w:lang w:val="es-MX"/>
        </w:rPr>
        <w:t xml:space="preserve">de los hogares representados en la EMB para Bogotá son </w:t>
      </w:r>
      <w:r w:rsidR="009B46DD">
        <w:rPr>
          <w:rFonts w:ascii="Garamond" w:hAnsi="Garamond"/>
          <w:sz w:val="20"/>
          <w:szCs w:val="20"/>
          <w:lang w:val="es-MX"/>
        </w:rPr>
        <w:t>hogares nucleares</w:t>
      </w:r>
      <w:r>
        <w:rPr>
          <w:rFonts w:ascii="Garamond" w:hAnsi="Garamond"/>
          <w:sz w:val="20"/>
          <w:szCs w:val="20"/>
          <w:lang w:val="es-MX"/>
        </w:rPr>
        <w:t>. L</w:t>
      </w:r>
      <w:r w:rsidR="009B46DD">
        <w:rPr>
          <w:rFonts w:ascii="Garamond" w:hAnsi="Garamond"/>
          <w:sz w:val="20"/>
          <w:szCs w:val="20"/>
          <w:lang w:val="es-MX"/>
        </w:rPr>
        <w:t xml:space="preserve">a gran mayoría </w:t>
      </w:r>
      <w:r>
        <w:rPr>
          <w:rFonts w:ascii="Garamond" w:hAnsi="Garamond"/>
          <w:sz w:val="20"/>
          <w:szCs w:val="20"/>
          <w:lang w:val="es-MX"/>
        </w:rPr>
        <w:t xml:space="preserve">de estos </w:t>
      </w:r>
      <w:r w:rsidR="009B46DD">
        <w:rPr>
          <w:rFonts w:ascii="Garamond" w:hAnsi="Garamond"/>
          <w:sz w:val="20"/>
          <w:szCs w:val="20"/>
          <w:lang w:val="es-MX"/>
        </w:rPr>
        <w:t xml:space="preserve">son nucleares con hijos </w:t>
      </w:r>
      <w:r>
        <w:rPr>
          <w:rFonts w:ascii="Garamond" w:hAnsi="Garamond"/>
          <w:sz w:val="20"/>
          <w:szCs w:val="20"/>
          <w:lang w:val="es-MX"/>
        </w:rPr>
        <w:t>(38,4%) que equivale a 1.036.537</w:t>
      </w:r>
      <w:r w:rsidR="000A6AC7">
        <w:rPr>
          <w:rFonts w:ascii="Garamond" w:hAnsi="Garamond"/>
          <w:sz w:val="20"/>
          <w:szCs w:val="20"/>
          <w:lang w:val="es-MX"/>
        </w:rPr>
        <w:t xml:space="preserve"> hogares, estos son hogares conformados por el</w:t>
      </w:r>
      <w:r>
        <w:rPr>
          <w:rFonts w:ascii="Garamond" w:hAnsi="Garamond"/>
          <w:sz w:val="20"/>
          <w:szCs w:val="20"/>
          <w:lang w:val="es-MX"/>
        </w:rPr>
        <w:t xml:space="preserve"> </w:t>
      </w:r>
      <w:r w:rsidR="000A6AC7">
        <w:rPr>
          <w:rFonts w:ascii="Garamond" w:hAnsi="Garamond"/>
          <w:sz w:val="20"/>
          <w:szCs w:val="20"/>
          <w:lang w:val="es-MX"/>
        </w:rPr>
        <w:t xml:space="preserve">jefe del hogar, su esposa(o) o pareja y sus hijos. </w:t>
      </w:r>
    </w:p>
    <w:p w14:paraId="03A4FC1C" w14:textId="77777777" w:rsidR="000A6AC7" w:rsidRDefault="000A6AC7" w:rsidP="004616B4">
      <w:pPr>
        <w:spacing w:after="0" w:line="360" w:lineRule="auto"/>
        <w:jc w:val="both"/>
        <w:rPr>
          <w:rFonts w:ascii="Garamond" w:hAnsi="Garamond"/>
          <w:sz w:val="20"/>
          <w:szCs w:val="20"/>
          <w:lang w:val="es-MX"/>
        </w:rPr>
      </w:pPr>
    </w:p>
    <w:p w14:paraId="76D541A4" w14:textId="77777777" w:rsidR="003F0E77" w:rsidRDefault="003F0E77" w:rsidP="004616B4">
      <w:pPr>
        <w:spacing w:after="0" w:line="360" w:lineRule="auto"/>
        <w:jc w:val="both"/>
        <w:rPr>
          <w:rFonts w:ascii="Garamond" w:hAnsi="Garamond"/>
          <w:sz w:val="20"/>
          <w:szCs w:val="20"/>
          <w:lang w:val="es-MX"/>
        </w:rPr>
      </w:pPr>
      <w:r>
        <w:rPr>
          <w:rFonts w:ascii="Garamond" w:hAnsi="Garamond"/>
          <w:sz w:val="20"/>
          <w:szCs w:val="20"/>
          <w:lang w:val="es-MX"/>
        </w:rPr>
        <w:t>El 13,8</w:t>
      </w:r>
      <w:r w:rsidR="000A6AC7">
        <w:rPr>
          <w:rFonts w:ascii="Garamond" w:hAnsi="Garamond"/>
          <w:sz w:val="20"/>
          <w:szCs w:val="20"/>
          <w:lang w:val="es-MX"/>
        </w:rPr>
        <w:t>% (372.365) son hogares nucleares monoparentales con hijos,</w:t>
      </w:r>
      <w:r>
        <w:rPr>
          <w:rFonts w:ascii="Garamond" w:hAnsi="Garamond"/>
          <w:sz w:val="20"/>
          <w:szCs w:val="20"/>
          <w:lang w:val="es-MX"/>
        </w:rPr>
        <w:t xml:space="preserve"> es decir, hogares en los que está uno de los padres y sus hijos.</w:t>
      </w:r>
      <w:r w:rsidR="000A6AC7">
        <w:rPr>
          <w:rFonts w:ascii="Garamond" w:hAnsi="Garamond"/>
          <w:sz w:val="20"/>
          <w:szCs w:val="20"/>
          <w:lang w:val="es-MX"/>
        </w:rPr>
        <w:t xml:space="preserve"> </w:t>
      </w:r>
      <w:r>
        <w:rPr>
          <w:rFonts w:ascii="Garamond" w:hAnsi="Garamond"/>
          <w:sz w:val="20"/>
          <w:szCs w:val="20"/>
          <w:lang w:val="es-MX"/>
        </w:rPr>
        <w:t>Puntualmente, el 11,7% son hogares nucleares monoparentales con jefatura femenina (315.591) y el 2,1% son hogares nucleares monoparentales con jefatura masculina (56.774)</w:t>
      </w:r>
      <w:r w:rsidR="000A6AC7">
        <w:rPr>
          <w:rFonts w:ascii="Garamond" w:hAnsi="Garamond"/>
          <w:sz w:val="20"/>
          <w:szCs w:val="20"/>
          <w:lang w:val="es-MX"/>
        </w:rPr>
        <w:t xml:space="preserve">. </w:t>
      </w:r>
    </w:p>
    <w:p w14:paraId="47A8EAA5" w14:textId="77777777" w:rsidR="003F0E77" w:rsidRDefault="003F0E77" w:rsidP="004616B4">
      <w:pPr>
        <w:spacing w:after="0" w:line="360" w:lineRule="auto"/>
        <w:jc w:val="both"/>
        <w:rPr>
          <w:rFonts w:ascii="Garamond" w:hAnsi="Garamond"/>
          <w:sz w:val="20"/>
          <w:szCs w:val="20"/>
          <w:lang w:val="es-MX"/>
        </w:rPr>
      </w:pPr>
    </w:p>
    <w:p w14:paraId="125FE103" w14:textId="18C2F9D1" w:rsidR="009B46DD" w:rsidRPr="004616B4" w:rsidRDefault="003F0E77" w:rsidP="004616B4">
      <w:pPr>
        <w:spacing w:after="0" w:line="360" w:lineRule="auto"/>
        <w:jc w:val="both"/>
        <w:rPr>
          <w:rFonts w:ascii="Garamond" w:hAnsi="Garamond"/>
          <w:sz w:val="20"/>
          <w:szCs w:val="20"/>
          <w:lang w:val="es-MX"/>
        </w:rPr>
      </w:pPr>
      <w:r>
        <w:rPr>
          <w:rFonts w:ascii="Garamond" w:hAnsi="Garamond"/>
          <w:sz w:val="20"/>
          <w:szCs w:val="20"/>
          <w:lang w:val="es-MX"/>
        </w:rPr>
        <w:t>Así mismo se identificaron 11,6</w:t>
      </w:r>
      <w:r w:rsidR="000A6AC7">
        <w:rPr>
          <w:rFonts w:ascii="Garamond" w:hAnsi="Garamond"/>
          <w:sz w:val="20"/>
          <w:szCs w:val="20"/>
          <w:lang w:val="es-MX"/>
        </w:rPr>
        <w:t>% (314.477) hogares nucleares sin hijos, que son los conformados por el jefe del hogar y su pareja/esposa(o).</w:t>
      </w:r>
    </w:p>
    <w:p w14:paraId="60C012B5" w14:textId="67845B0B" w:rsidR="0063013D" w:rsidRDefault="0063013D" w:rsidP="00D06392">
      <w:pPr>
        <w:spacing w:after="0" w:line="360" w:lineRule="auto"/>
        <w:jc w:val="center"/>
        <w:rPr>
          <w:rFonts w:ascii="Garamond" w:hAnsi="Garamond"/>
          <w:sz w:val="20"/>
          <w:szCs w:val="20"/>
          <w:lang w:val="es-MX"/>
        </w:rPr>
      </w:pPr>
    </w:p>
    <w:p w14:paraId="77652A2A" w14:textId="6D88C772" w:rsidR="00C2563F" w:rsidRDefault="002A66D9" w:rsidP="00EE69AE">
      <w:pPr>
        <w:pStyle w:val="Ttulo2"/>
        <w:jc w:val="both"/>
        <w:rPr>
          <w:lang w:val="es-MX"/>
        </w:rPr>
      </w:pPr>
      <w:r w:rsidRPr="004D446F">
        <w:rPr>
          <w:lang w:val="es-MX"/>
        </w:rPr>
        <w:t>Tipología familiar por estrato socioeconómico</w:t>
      </w:r>
    </w:p>
    <w:p w14:paraId="5284B40F" w14:textId="77777777" w:rsidR="00E51155" w:rsidRDefault="00E51155" w:rsidP="006F23C1">
      <w:pPr>
        <w:spacing w:after="0" w:line="360" w:lineRule="auto"/>
        <w:jc w:val="both"/>
        <w:rPr>
          <w:rFonts w:ascii="Garamond" w:hAnsi="Garamond"/>
          <w:sz w:val="20"/>
          <w:szCs w:val="20"/>
          <w:lang w:val="es-MX"/>
        </w:rPr>
      </w:pPr>
    </w:p>
    <w:p w14:paraId="45178093" w14:textId="63FB5C94" w:rsidR="00E51155" w:rsidRDefault="00E51155" w:rsidP="00646175">
      <w:pPr>
        <w:spacing w:line="360" w:lineRule="auto"/>
        <w:jc w:val="both"/>
        <w:rPr>
          <w:rFonts w:ascii="Garamond" w:hAnsi="Garamond"/>
          <w:sz w:val="20"/>
          <w:szCs w:val="20"/>
          <w:lang w:val="es-MX"/>
        </w:rPr>
      </w:pPr>
      <w:r>
        <w:rPr>
          <w:rFonts w:ascii="Garamond" w:hAnsi="Garamond"/>
          <w:sz w:val="20"/>
          <w:szCs w:val="20"/>
          <w:lang w:val="es-MX"/>
        </w:rPr>
        <w:t xml:space="preserve">Al revisar las cifras de los hogares familiares </w:t>
      </w:r>
      <w:r w:rsidR="007C1EC8">
        <w:rPr>
          <w:rFonts w:ascii="Garamond" w:hAnsi="Garamond"/>
          <w:sz w:val="20"/>
          <w:szCs w:val="20"/>
          <w:lang w:val="es-MX"/>
        </w:rPr>
        <w:t>frente a</w:t>
      </w:r>
      <w:r>
        <w:rPr>
          <w:rFonts w:ascii="Garamond" w:hAnsi="Garamond"/>
          <w:sz w:val="20"/>
          <w:szCs w:val="20"/>
          <w:lang w:val="es-MX"/>
        </w:rPr>
        <w:t xml:space="preserve"> los No familiares para cada uno de los estrato</w:t>
      </w:r>
      <w:r w:rsidR="007C1EC8">
        <w:rPr>
          <w:rFonts w:ascii="Garamond" w:hAnsi="Garamond"/>
          <w:sz w:val="20"/>
          <w:szCs w:val="20"/>
          <w:lang w:val="es-MX"/>
        </w:rPr>
        <w:t>s</w:t>
      </w:r>
      <w:r>
        <w:rPr>
          <w:rFonts w:ascii="Garamond" w:hAnsi="Garamond"/>
          <w:sz w:val="20"/>
          <w:szCs w:val="20"/>
          <w:lang w:val="es-MX"/>
        </w:rPr>
        <w:t xml:space="preserve"> socioeconómicos, se observa que entre mayor sea el </w:t>
      </w:r>
      <w:r>
        <w:rPr>
          <w:rFonts w:ascii="Garamond" w:hAnsi="Garamond"/>
          <w:sz w:val="20"/>
          <w:szCs w:val="20"/>
          <w:lang w:val="es-MX"/>
        </w:rPr>
        <w:lastRenderedPageBreak/>
        <w:t>estrato mayor es el porcentaje de hogares No familiares.</w:t>
      </w:r>
    </w:p>
    <w:p w14:paraId="32A1F2F6" w14:textId="4E5E1002" w:rsidR="00E51155" w:rsidRDefault="00E51155" w:rsidP="00646175">
      <w:pPr>
        <w:spacing w:line="360" w:lineRule="auto"/>
        <w:jc w:val="both"/>
        <w:rPr>
          <w:rFonts w:ascii="Garamond" w:hAnsi="Garamond"/>
          <w:sz w:val="20"/>
          <w:szCs w:val="20"/>
          <w:lang w:val="es-MX"/>
        </w:rPr>
      </w:pPr>
      <w:r>
        <w:rPr>
          <w:rFonts w:ascii="Garamond" w:hAnsi="Garamond"/>
          <w:sz w:val="20"/>
          <w:szCs w:val="20"/>
          <w:lang w:val="es-MX"/>
        </w:rPr>
        <w:t>Específicamente, en el estrato 1 los hogares No familiares equivalen al 1</w:t>
      </w:r>
      <w:r w:rsidR="005D47D0">
        <w:rPr>
          <w:rFonts w:ascii="Garamond" w:hAnsi="Garamond"/>
          <w:sz w:val="20"/>
          <w:szCs w:val="20"/>
          <w:lang w:val="es-MX"/>
        </w:rPr>
        <w:t>2</w:t>
      </w:r>
      <w:r>
        <w:rPr>
          <w:rFonts w:ascii="Garamond" w:hAnsi="Garamond"/>
          <w:sz w:val="20"/>
          <w:szCs w:val="20"/>
          <w:lang w:val="es-MX"/>
        </w:rPr>
        <w:t>,</w:t>
      </w:r>
      <w:r w:rsidR="005D47D0">
        <w:rPr>
          <w:rFonts w:ascii="Garamond" w:hAnsi="Garamond"/>
          <w:sz w:val="20"/>
          <w:szCs w:val="20"/>
          <w:lang w:val="es-MX"/>
        </w:rPr>
        <w:t>6</w:t>
      </w:r>
      <w:r>
        <w:rPr>
          <w:rFonts w:ascii="Garamond" w:hAnsi="Garamond"/>
          <w:sz w:val="20"/>
          <w:szCs w:val="20"/>
          <w:lang w:val="es-MX"/>
        </w:rPr>
        <w:t xml:space="preserve">% </w:t>
      </w:r>
      <w:r w:rsidR="00FE0EAD">
        <w:rPr>
          <w:rFonts w:ascii="Garamond" w:hAnsi="Garamond"/>
          <w:sz w:val="20"/>
          <w:szCs w:val="20"/>
          <w:lang w:val="es-MX"/>
        </w:rPr>
        <w:t>(</w:t>
      </w:r>
      <w:r w:rsidR="005D47D0">
        <w:rPr>
          <w:rFonts w:ascii="Garamond" w:hAnsi="Garamond"/>
          <w:sz w:val="20"/>
          <w:szCs w:val="20"/>
          <w:lang w:val="es-MX"/>
        </w:rPr>
        <w:t>26.843</w:t>
      </w:r>
      <w:r w:rsidR="00FE0EAD">
        <w:rPr>
          <w:rFonts w:ascii="Garamond" w:hAnsi="Garamond"/>
          <w:sz w:val="20"/>
          <w:szCs w:val="20"/>
          <w:lang w:val="es-MX"/>
        </w:rPr>
        <w:t xml:space="preserve">) </w:t>
      </w:r>
      <w:r>
        <w:rPr>
          <w:rFonts w:ascii="Garamond" w:hAnsi="Garamond"/>
          <w:sz w:val="20"/>
          <w:szCs w:val="20"/>
          <w:lang w:val="es-MX"/>
        </w:rPr>
        <w:t xml:space="preserve">de </w:t>
      </w:r>
      <w:r w:rsidR="00646175">
        <w:rPr>
          <w:rFonts w:ascii="Garamond" w:hAnsi="Garamond"/>
          <w:sz w:val="20"/>
          <w:szCs w:val="20"/>
          <w:lang w:val="es-MX"/>
        </w:rPr>
        <w:t xml:space="preserve">los </w:t>
      </w:r>
      <w:r>
        <w:rPr>
          <w:rFonts w:ascii="Garamond" w:hAnsi="Garamond"/>
          <w:sz w:val="20"/>
          <w:szCs w:val="20"/>
          <w:lang w:val="es-MX"/>
        </w:rPr>
        <w:t xml:space="preserve">hogares de este estrato, </w:t>
      </w:r>
      <w:r w:rsidR="005D47D0">
        <w:rPr>
          <w:rFonts w:ascii="Garamond" w:hAnsi="Garamond"/>
          <w:sz w:val="20"/>
          <w:szCs w:val="20"/>
          <w:lang w:val="es-MX"/>
        </w:rPr>
        <w:t>en contraste</w:t>
      </w:r>
      <w:r>
        <w:rPr>
          <w:rFonts w:ascii="Garamond" w:hAnsi="Garamond"/>
          <w:sz w:val="20"/>
          <w:szCs w:val="20"/>
          <w:lang w:val="es-MX"/>
        </w:rPr>
        <w:t xml:space="preserve"> el estrato 6 el 4</w:t>
      </w:r>
      <w:r w:rsidR="005D47D0">
        <w:rPr>
          <w:rFonts w:ascii="Garamond" w:hAnsi="Garamond"/>
          <w:sz w:val="20"/>
          <w:szCs w:val="20"/>
          <w:lang w:val="es-MX"/>
        </w:rPr>
        <w:t>4</w:t>
      </w:r>
      <w:r>
        <w:rPr>
          <w:rFonts w:ascii="Garamond" w:hAnsi="Garamond"/>
          <w:sz w:val="20"/>
          <w:szCs w:val="20"/>
          <w:lang w:val="es-MX"/>
        </w:rPr>
        <w:t>,</w:t>
      </w:r>
      <w:r w:rsidR="005D47D0">
        <w:rPr>
          <w:rFonts w:ascii="Garamond" w:hAnsi="Garamond"/>
          <w:sz w:val="20"/>
          <w:szCs w:val="20"/>
          <w:lang w:val="es-MX"/>
        </w:rPr>
        <w:t>3</w:t>
      </w:r>
      <w:r>
        <w:rPr>
          <w:rFonts w:ascii="Garamond" w:hAnsi="Garamond"/>
          <w:sz w:val="20"/>
          <w:szCs w:val="20"/>
          <w:lang w:val="es-MX"/>
        </w:rPr>
        <w:t xml:space="preserve">% </w:t>
      </w:r>
      <w:r w:rsidR="00FE0EAD">
        <w:rPr>
          <w:rFonts w:ascii="Garamond" w:hAnsi="Garamond"/>
          <w:sz w:val="20"/>
          <w:szCs w:val="20"/>
          <w:lang w:val="es-MX"/>
        </w:rPr>
        <w:t>(</w:t>
      </w:r>
      <w:r w:rsidR="005D47D0">
        <w:rPr>
          <w:rFonts w:ascii="Garamond" w:hAnsi="Garamond"/>
          <w:sz w:val="20"/>
          <w:szCs w:val="20"/>
          <w:lang w:val="es-MX"/>
        </w:rPr>
        <w:t>25.686</w:t>
      </w:r>
      <w:r w:rsidR="00FE0EAD">
        <w:rPr>
          <w:rFonts w:ascii="Garamond" w:hAnsi="Garamond"/>
          <w:sz w:val="20"/>
          <w:szCs w:val="20"/>
          <w:lang w:val="es-MX"/>
        </w:rPr>
        <w:t xml:space="preserve">) </w:t>
      </w:r>
      <w:r>
        <w:rPr>
          <w:rFonts w:ascii="Garamond" w:hAnsi="Garamond"/>
          <w:sz w:val="20"/>
          <w:szCs w:val="20"/>
          <w:lang w:val="es-MX"/>
        </w:rPr>
        <w:t>de los hogares</w:t>
      </w:r>
      <w:r w:rsidR="00646175">
        <w:rPr>
          <w:rFonts w:ascii="Garamond" w:hAnsi="Garamond"/>
          <w:sz w:val="20"/>
          <w:szCs w:val="20"/>
          <w:lang w:val="es-MX"/>
        </w:rPr>
        <w:t xml:space="preserve"> </w:t>
      </w:r>
      <w:r>
        <w:rPr>
          <w:rFonts w:ascii="Garamond" w:hAnsi="Garamond"/>
          <w:sz w:val="20"/>
          <w:szCs w:val="20"/>
          <w:lang w:val="es-MX"/>
        </w:rPr>
        <w:t xml:space="preserve">son </w:t>
      </w:r>
      <w:r w:rsidR="00FE0EAD">
        <w:rPr>
          <w:rFonts w:ascii="Garamond" w:hAnsi="Garamond"/>
          <w:sz w:val="20"/>
          <w:szCs w:val="20"/>
          <w:lang w:val="es-MX"/>
        </w:rPr>
        <w:t>N</w:t>
      </w:r>
      <w:r>
        <w:rPr>
          <w:rFonts w:ascii="Garamond" w:hAnsi="Garamond"/>
          <w:sz w:val="20"/>
          <w:szCs w:val="20"/>
          <w:lang w:val="es-MX"/>
        </w:rPr>
        <w:t xml:space="preserve">o familiares. </w:t>
      </w:r>
      <w:r w:rsidR="00FE0EAD">
        <w:rPr>
          <w:rFonts w:ascii="Garamond" w:hAnsi="Garamond"/>
          <w:sz w:val="20"/>
          <w:szCs w:val="20"/>
          <w:lang w:val="es-MX"/>
        </w:rPr>
        <w:t xml:space="preserve"> </w:t>
      </w:r>
      <w:r>
        <w:rPr>
          <w:rFonts w:ascii="Garamond" w:hAnsi="Garamond"/>
          <w:sz w:val="20"/>
          <w:szCs w:val="20"/>
          <w:lang w:val="es-MX"/>
        </w:rPr>
        <w:t xml:space="preserve">El estrato </w:t>
      </w:r>
      <w:r w:rsidR="005E4F1E">
        <w:rPr>
          <w:rFonts w:ascii="Garamond" w:hAnsi="Garamond"/>
          <w:sz w:val="20"/>
          <w:szCs w:val="20"/>
          <w:lang w:val="es-MX"/>
        </w:rPr>
        <w:t>3</w:t>
      </w:r>
      <w:r>
        <w:rPr>
          <w:rFonts w:ascii="Garamond" w:hAnsi="Garamond"/>
          <w:sz w:val="20"/>
          <w:szCs w:val="20"/>
          <w:lang w:val="es-MX"/>
        </w:rPr>
        <w:t xml:space="preserve"> </w:t>
      </w:r>
      <w:r w:rsidR="003E206D">
        <w:rPr>
          <w:rFonts w:ascii="Garamond" w:hAnsi="Garamond"/>
          <w:sz w:val="20"/>
          <w:szCs w:val="20"/>
          <w:lang w:val="es-MX"/>
        </w:rPr>
        <w:t>presenta</w:t>
      </w:r>
      <w:r>
        <w:rPr>
          <w:rFonts w:ascii="Garamond" w:hAnsi="Garamond"/>
          <w:sz w:val="20"/>
          <w:szCs w:val="20"/>
          <w:lang w:val="es-MX"/>
        </w:rPr>
        <w:t xml:space="preserve"> unas cifras muy similares en términos porcentuales a todo Bogotá, ya que el 8</w:t>
      </w:r>
      <w:r w:rsidR="008516DA">
        <w:rPr>
          <w:rFonts w:ascii="Garamond" w:hAnsi="Garamond"/>
          <w:sz w:val="20"/>
          <w:szCs w:val="20"/>
          <w:lang w:val="es-MX"/>
        </w:rPr>
        <w:t>2</w:t>
      </w:r>
      <w:r>
        <w:rPr>
          <w:rFonts w:ascii="Garamond" w:hAnsi="Garamond"/>
          <w:sz w:val="20"/>
          <w:szCs w:val="20"/>
          <w:lang w:val="es-MX"/>
        </w:rPr>
        <w:t>,</w:t>
      </w:r>
      <w:r w:rsidR="008516DA">
        <w:rPr>
          <w:rFonts w:ascii="Garamond" w:hAnsi="Garamond"/>
          <w:sz w:val="20"/>
          <w:szCs w:val="20"/>
          <w:lang w:val="es-MX"/>
        </w:rPr>
        <w:t>6</w:t>
      </w:r>
      <w:r>
        <w:rPr>
          <w:rFonts w:ascii="Garamond" w:hAnsi="Garamond"/>
          <w:sz w:val="20"/>
          <w:szCs w:val="20"/>
          <w:lang w:val="es-MX"/>
        </w:rPr>
        <w:t xml:space="preserve">% </w:t>
      </w:r>
      <w:r w:rsidR="00FE0EAD">
        <w:rPr>
          <w:rFonts w:ascii="Garamond" w:hAnsi="Garamond"/>
          <w:sz w:val="20"/>
          <w:szCs w:val="20"/>
          <w:lang w:val="es-MX"/>
        </w:rPr>
        <w:t>(</w:t>
      </w:r>
      <w:r w:rsidR="008516DA">
        <w:rPr>
          <w:rFonts w:ascii="Garamond" w:hAnsi="Garamond"/>
          <w:sz w:val="20"/>
          <w:szCs w:val="20"/>
          <w:lang w:val="es-MX"/>
        </w:rPr>
        <w:t>828.664</w:t>
      </w:r>
      <w:r w:rsidR="00FE0EAD">
        <w:rPr>
          <w:rFonts w:ascii="Garamond" w:hAnsi="Garamond"/>
          <w:sz w:val="20"/>
          <w:szCs w:val="20"/>
          <w:lang w:val="es-MX"/>
        </w:rPr>
        <w:t xml:space="preserve">) </w:t>
      </w:r>
      <w:r>
        <w:rPr>
          <w:rFonts w:ascii="Garamond" w:hAnsi="Garamond"/>
          <w:sz w:val="20"/>
          <w:szCs w:val="20"/>
          <w:lang w:val="es-MX"/>
        </w:rPr>
        <w:t xml:space="preserve">de los hogares son familiares y en la capital </w:t>
      </w:r>
      <w:r w:rsidR="00B05886">
        <w:rPr>
          <w:rFonts w:ascii="Garamond" w:hAnsi="Garamond"/>
          <w:sz w:val="20"/>
          <w:szCs w:val="20"/>
          <w:lang w:val="es-MX"/>
        </w:rPr>
        <w:t>es el</w:t>
      </w:r>
      <w:r>
        <w:rPr>
          <w:rFonts w:ascii="Garamond" w:hAnsi="Garamond"/>
          <w:sz w:val="20"/>
          <w:szCs w:val="20"/>
          <w:lang w:val="es-MX"/>
        </w:rPr>
        <w:t xml:space="preserve"> 8</w:t>
      </w:r>
      <w:r w:rsidR="008516DA">
        <w:rPr>
          <w:rFonts w:ascii="Garamond" w:hAnsi="Garamond"/>
          <w:sz w:val="20"/>
          <w:szCs w:val="20"/>
          <w:lang w:val="es-MX"/>
        </w:rPr>
        <w:t>2</w:t>
      </w:r>
      <w:r>
        <w:rPr>
          <w:rFonts w:ascii="Garamond" w:hAnsi="Garamond"/>
          <w:sz w:val="20"/>
          <w:szCs w:val="20"/>
          <w:lang w:val="es-MX"/>
        </w:rPr>
        <w:t>,</w:t>
      </w:r>
      <w:r w:rsidR="008516DA">
        <w:rPr>
          <w:rFonts w:ascii="Garamond" w:hAnsi="Garamond"/>
          <w:sz w:val="20"/>
          <w:szCs w:val="20"/>
          <w:lang w:val="es-MX"/>
        </w:rPr>
        <w:t>8</w:t>
      </w:r>
      <w:r>
        <w:rPr>
          <w:rFonts w:ascii="Garamond" w:hAnsi="Garamond"/>
          <w:sz w:val="20"/>
          <w:szCs w:val="20"/>
          <w:lang w:val="es-MX"/>
        </w:rPr>
        <w:t>%</w:t>
      </w:r>
      <w:r w:rsidR="00FE0EAD">
        <w:rPr>
          <w:rFonts w:ascii="Garamond" w:hAnsi="Garamond"/>
          <w:sz w:val="20"/>
          <w:szCs w:val="20"/>
          <w:lang w:val="es-MX"/>
        </w:rPr>
        <w:t xml:space="preserve"> </w:t>
      </w:r>
      <w:r w:rsidR="00B05886">
        <w:rPr>
          <w:rFonts w:ascii="Garamond" w:hAnsi="Garamond"/>
          <w:sz w:val="20"/>
          <w:szCs w:val="20"/>
          <w:lang w:val="es-MX"/>
        </w:rPr>
        <w:t xml:space="preserve">que equivale a </w:t>
      </w:r>
      <w:r w:rsidR="00FE0EAD">
        <w:rPr>
          <w:rFonts w:ascii="Garamond" w:hAnsi="Garamond"/>
          <w:sz w:val="20"/>
          <w:szCs w:val="20"/>
          <w:lang w:val="es-MX"/>
        </w:rPr>
        <w:t>2.</w:t>
      </w:r>
      <w:r w:rsidR="008516DA">
        <w:rPr>
          <w:rFonts w:ascii="Garamond" w:hAnsi="Garamond"/>
          <w:sz w:val="20"/>
          <w:szCs w:val="20"/>
          <w:lang w:val="es-MX"/>
        </w:rPr>
        <w:t>236.198</w:t>
      </w:r>
      <w:r w:rsidR="00B05886">
        <w:rPr>
          <w:rFonts w:ascii="Garamond" w:hAnsi="Garamond"/>
          <w:sz w:val="20"/>
          <w:szCs w:val="20"/>
          <w:lang w:val="es-MX"/>
        </w:rPr>
        <w:t xml:space="preserve"> hogares.</w:t>
      </w:r>
    </w:p>
    <w:p w14:paraId="739349EE" w14:textId="3BDB3FFB" w:rsidR="00254083" w:rsidRPr="00E51155" w:rsidRDefault="00E51155" w:rsidP="00E51155">
      <w:pPr>
        <w:spacing w:after="0" w:line="360" w:lineRule="auto"/>
        <w:jc w:val="center"/>
        <w:rPr>
          <w:rFonts w:ascii="Garamond" w:hAnsi="Garamond"/>
          <w:b/>
          <w:sz w:val="20"/>
          <w:lang w:val="es-MX"/>
        </w:rPr>
      </w:pPr>
      <w:r w:rsidRPr="00822A4A">
        <w:rPr>
          <w:rFonts w:ascii="Garamond" w:hAnsi="Garamond"/>
          <w:b/>
          <w:sz w:val="20"/>
          <w:lang w:val="es-MX"/>
        </w:rPr>
        <w:t xml:space="preserve">Gráfico </w:t>
      </w:r>
      <w:r>
        <w:rPr>
          <w:rFonts w:ascii="Garamond" w:hAnsi="Garamond"/>
          <w:b/>
          <w:sz w:val="20"/>
          <w:lang w:val="es-MX"/>
        </w:rPr>
        <w:t>3</w:t>
      </w:r>
      <w:r w:rsidRPr="00822A4A">
        <w:rPr>
          <w:rFonts w:ascii="Garamond" w:hAnsi="Garamond"/>
          <w:b/>
          <w:sz w:val="20"/>
          <w:lang w:val="es-MX"/>
        </w:rPr>
        <w:t xml:space="preserve">. Porcentaje de hogares </w:t>
      </w:r>
      <w:r>
        <w:rPr>
          <w:rFonts w:ascii="Garamond" w:hAnsi="Garamond"/>
          <w:b/>
          <w:sz w:val="20"/>
          <w:lang w:val="es-MX"/>
        </w:rPr>
        <w:t xml:space="preserve">familiares </w:t>
      </w:r>
      <w:r w:rsidR="00057106">
        <w:rPr>
          <w:rFonts w:ascii="Garamond" w:hAnsi="Garamond"/>
          <w:b/>
          <w:sz w:val="20"/>
          <w:lang w:val="es-MX"/>
        </w:rPr>
        <w:t>y No familiares por estrato socioeconómico</w:t>
      </w:r>
    </w:p>
    <w:p w14:paraId="27921EB1" w14:textId="763A7BBB" w:rsidR="00E51155" w:rsidRDefault="005D4AEC" w:rsidP="006F23C1">
      <w:pPr>
        <w:spacing w:after="0" w:line="360" w:lineRule="auto"/>
        <w:jc w:val="both"/>
        <w:rPr>
          <w:rFonts w:ascii="Garamond" w:hAnsi="Garamond"/>
          <w:sz w:val="20"/>
          <w:szCs w:val="20"/>
          <w:lang w:val="es-MX"/>
        </w:rPr>
      </w:pPr>
      <w:r>
        <w:rPr>
          <w:noProof/>
        </w:rPr>
        <w:drawing>
          <wp:inline distT="0" distB="0" distL="0" distR="0" wp14:anchorId="3CA9ABEC" wp14:editId="03C5B0C0">
            <wp:extent cx="2581275" cy="2381250"/>
            <wp:effectExtent l="0" t="0" r="0" b="0"/>
            <wp:docPr id="10" name="Gráfico 10">
              <a:extLst xmlns:a="http://schemas.openxmlformats.org/drawingml/2006/main">
                <a:ext uri="{FF2B5EF4-FFF2-40B4-BE49-F238E27FC236}">
                  <a16:creationId xmlns:a16="http://schemas.microsoft.com/office/drawing/2014/main" id="{4F93CEA2-8249-BA46-A55A-384843ED7F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C8D052A" w14:textId="6E2E737C" w:rsidR="00646175" w:rsidRDefault="00E670EA" w:rsidP="00646175">
      <w:pPr>
        <w:spacing w:line="360" w:lineRule="auto"/>
        <w:jc w:val="both"/>
        <w:rPr>
          <w:rFonts w:ascii="Garamond" w:hAnsi="Garamond"/>
          <w:sz w:val="20"/>
          <w:szCs w:val="20"/>
          <w:lang w:val="es-MX"/>
        </w:rPr>
      </w:pPr>
      <w:r>
        <w:rPr>
          <w:rFonts w:ascii="Garamond" w:hAnsi="Garamond"/>
          <w:sz w:val="20"/>
          <w:szCs w:val="20"/>
          <w:lang w:val="es-MX"/>
        </w:rPr>
        <w:t xml:space="preserve">Al analizar los porcentajes de los hogares familiares nucleares se observa que son </w:t>
      </w:r>
      <w:r w:rsidR="003E206D">
        <w:rPr>
          <w:rFonts w:ascii="Garamond" w:hAnsi="Garamond"/>
          <w:sz w:val="20"/>
          <w:szCs w:val="20"/>
          <w:lang w:val="es-MX"/>
        </w:rPr>
        <w:t xml:space="preserve">los más frecuentes </w:t>
      </w:r>
      <w:r>
        <w:rPr>
          <w:rFonts w:ascii="Garamond" w:hAnsi="Garamond"/>
          <w:sz w:val="20"/>
          <w:szCs w:val="20"/>
          <w:lang w:val="es-MX"/>
        </w:rPr>
        <w:t>en todos los estratos</w:t>
      </w:r>
      <w:r w:rsidR="00646175">
        <w:rPr>
          <w:rFonts w:ascii="Garamond" w:hAnsi="Garamond"/>
          <w:sz w:val="20"/>
          <w:szCs w:val="20"/>
          <w:lang w:val="es-MX"/>
        </w:rPr>
        <w:t>,</w:t>
      </w:r>
      <w:r>
        <w:rPr>
          <w:rFonts w:ascii="Garamond" w:hAnsi="Garamond"/>
          <w:sz w:val="20"/>
          <w:szCs w:val="20"/>
          <w:lang w:val="es-MX"/>
        </w:rPr>
        <w:t xml:space="preserve"> sin embargo muestran una tendencia a disminuir en la medida que aumenta el estrato, pasan de ser </w:t>
      </w:r>
      <w:r w:rsidRPr="00AA31F8">
        <w:rPr>
          <w:rFonts w:ascii="Garamond" w:hAnsi="Garamond"/>
          <w:sz w:val="20"/>
          <w:szCs w:val="20"/>
          <w:lang w:val="es-MX"/>
        </w:rPr>
        <w:t xml:space="preserve">el </w:t>
      </w:r>
      <w:r w:rsidR="00884827" w:rsidRPr="00AA31F8">
        <w:rPr>
          <w:rFonts w:ascii="Garamond" w:hAnsi="Garamond"/>
          <w:sz w:val="20"/>
          <w:szCs w:val="20"/>
          <w:lang w:val="es-MX"/>
        </w:rPr>
        <w:t>65,4</w:t>
      </w:r>
      <w:r w:rsidRPr="00AA31F8">
        <w:rPr>
          <w:rFonts w:ascii="Garamond" w:hAnsi="Garamond"/>
          <w:sz w:val="20"/>
          <w:szCs w:val="20"/>
          <w:lang w:val="es-MX"/>
        </w:rPr>
        <w:t>%</w:t>
      </w:r>
      <w:r w:rsidR="00B05886" w:rsidRPr="00AA31F8">
        <w:rPr>
          <w:rFonts w:ascii="Garamond" w:hAnsi="Garamond"/>
          <w:sz w:val="20"/>
          <w:szCs w:val="20"/>
          <w:lang w:val="es-MX"/>
        </w:rPr>
        <w:t xml:space="preserve"> </w:t>
      </w:r>
      <w:r w:rsidR="001C6D1E">
        <w:rPr>
          <w:rFonts w:ascii="Garamond" w:hAnsi="Garamond"/>
          <w:sz w:val="20"/>
          <w:szCs w:val="20"/>
          <w:lang w:val="es-MX"/>
        </w:rPr>
        <w:t>de los hogares</w:t>
      </w:r>
      <w:r>
        <w:rPr>
          <w:rFonts w:ascii="Garamond" w:hAnsi="Garamond"/>
          <w:sz w:val="20"/>
          <w:szCs w:val="20"/>
          <w:lang w:val="es-MX"/>
        </w:rPr>
        <w:t xml:space="preserve"> en el estrato 1 al 4</w:t>
      </w:r>
      <w:r w:rsidR="001E72D3">
        <w:rPr>
          <w:rFonts w:ascii="Garamond" w:hAnsi="Garamond"/>
          <w:sz w:val="20"/>
          <w:szCs w:val="20"/>
          <w:lang w:val="es-MX"/>
        </w:rPr>
        <w:t>7</w:t>
      </w:r>
      <w:r>
        <w:rPr>
          <w:rFonts w:ascii="Garamond" w:hAnsi="Garamond"/>
          <w:sz w:val="20"/>
          <w:szCs w:val="20"/>
          <w:lang w:val="es-MX"/>
        </w:rPr>
        <w:t>,</w:t>
      </w:r>
      <w:r w:rsidR="001E72D3">
        <w:rPr>
          <w:rFonts w:ascii="Garamond" w:hAnsi="Garamond"/>
          <w:sz w:val="20"/>
          <w:szCs w:val="20"/>
          <w:lang w:val="es-MX"/>
        </w:rPr>
        <w:t>3</w:t>
      </w:r>
      <w:r>
        <w:rPr>
          <w:rFonts w:ascii="Garamond" w:hAnsi="Garamond"/>
          <w:sz w:val="20"/>
          <w:szCs w:val="20"/>
          <w:lang w:val="es-MX"/>
        </w:rPr>
        <w:t xml:space="preserve">% </w:t>
      </w:r>
      <w:r w:rsidR="001C6D1E">
        <w:rPr>
          <w:rFonts w:ascii="Garamond" w:hAnsi="Garamond"/>
          <w:sz w:val="20"/>
          <w:szCs w:val="20"/>
          <w:lang w:val="es-MX"/>
        </w:rPr>
        <w:t xml:space="preserve">de los hogares </w:t>
      </w:r>
      <w:r>
        <w:rPr>
          <w:rFonts w:ascii="Garamond" w:hAnsi="Garamond"/>
          <w:sz w:val="20"/>
          <w:szCs w:val="20"/>
          <w:lang w:val="es-MX"/>
        </w:rPr>
        <w:t xml:space="preserve">en el estrato 6. </w:t>
      </w:r>
    </w:p>
    <w:p w14:paraId="7E7E42CC" w14:textId="3134F8AA" w:rsidR="00646175" w:rsidRDefault="00E670EA" w:rsidP="00646175">
      <w:pPr>
        <w:spacing w:line="360" w:lineRule="auto"/>
        <w:jc w:val="both"/>
        <w:rPr>
          <w:rFonts w:ascii="Garamond" w:hAnsi="Garamond"/>
          <w:sz w:val="20"/>
          <w:szCs w:val="20"/>
          <w:lang w:val="es-MX"/>
        </w:rPr>
      </w:pPr>
      <w:r>
        <w:rPr>
          <w:rFonts w:ascii="Garamond" w:hAnsi="Garamond"/>
          <w:sz w:val="20"/>
          <w:szCs w:val="20"/>
          <w:lang w:val="es-MX"/>
        </w:rPr>
        <w:t>De igual forma los hogares familiares amplios son el 17,</w:t>
      </w:r>
      <w:r w:rsidR="001E72D3">
        <w:rPr>
          <w:rFonts w:ascii="Garamond" w:hAnsi="Garamond"/>
          <w:sz w:val="20"/>
          <w:szCs w:val="20"/>
          <w:lang w:val="es-MX"/>
        </w:rPr>
        <w:t>7</w:t>
      </w:r>
      <w:r>
        <w:rPr>
          <w:rFonts w:ascii="Garamond" w:hAnsi="Garamond"/>
          <w:sz w:val="20"/>
          <w:szCs w:val="20"/>
          <w:lang w:val="es-MX"/>
        </w:rPr>
        <w:t>% en el estrato 1 y caen al 5% en el estrato 6. En cambio para el caso de los hogares no familiares de tipo unipersonal, van aumentando al aumentar el estrato, pasan del 1</w:t>
      </w:r>
      <w:r w:rsidR="001E72D3">
        <w:rPr>
          <w:rFonts w:ascii="Garamond" w:hAnsi="Garamond"/>
          <w:sz w:val="20"/>
          <w:szCs w:val="20"/>
          <w:lang w:val="es-MX"/>
        </w:rPr>
        <w:t>2</w:t>
      </w:r>
      <w:r>
        <w:rPr>
          <w:rFonts w:ascii="Garamond" w:hAnsi="Garamond"/>
          <w:sz w:val="20"/>
          <w:szCs w:val="20"/>
          <w:lang w:val="es-MX"/>
        </w:rPr>
        <w:t>,</w:t>
      </w:r>
      <w:r w:rsidR="001E72D3">
        <w:rPr>
          <w:rFonts w:ascii="Garamond" w:hAnsi="Garamond"/>
          <w:sz w:val="20"/>
          <w:szCs w:val="20"/>
          <w:lang w:val="es-MX"/>
        </w:rPr>
        <w:t>3</w:t>
      </w:r>
      <w:r>
        <w:rPr>
          <w:rFonts w:ascii="Garamond" w:hAnsi="Garamond"/>
          <w:sz w:val="20"/>
          <w:szCs w:val="20"/>
          <w:lang w:val="es-MX"/>
        </w:rPr>
        <w:t>% en el estrato 1 al 4</w:t>
      </w:r>
      <w:r w:rsidR="001E72D3">
        <w:rPr>
          <w:rFonts w:ascii="Garamond" w:hAnsi="Garamond"/>
          <w:sz w:val="20"/>
          <w:szCs w:val="20"/>
          <w:lang w:val="es-MX"/>
        </w:rPr>
        <w:t>2</w:t>
      </w:r>
      <w:r>
        <w:rPr>
          <w:rFonts w:ascii="Garamond" w:hAnsi="Garamond"/>
          <w:sz w:val="20"/>
          <w:szCs w:val="20"/>
          <w:lang w:val="es-MX"/>
        </w:rPr>
        <w:t>,</w:t>
      </w:r>
      <w:r w:rsidR="001E72D3">
        <w:rPr>
          <w:rFonts w:ascii="Garamond" w:hAnsi="Garamond"/>
          <w:sz w:val="20"/>
          <w:szCs w:val="20"/>
          <w:lang w:val="es-MX"/>
        </w:rPr>
        <w:t>8</w:t>
      </w:r>
      <w:r>
        <w:rPr>
          <w:rFonts w:ascii="Garamond" w:hAnsi="Garamond"/>
          <w:sz w:val="20"/>
          <w:szCs w:val="20"/>
          <w:lang w:val="es-MX"/>
        </w:rPr>
        <w:t>% en el estrato 6.</w:t>
      </w:r>
    </w:p>
    <w:p w14:paraId="04AAB3F8" w14:textId="6668B7BE" w:rsidR="00647E18" w:rsidRPr="00646175" w:rsidRDefault="00647E18" w:rsidP="00647E18">
      <w:pPr>
        <w:spacing w:after="0" w:line="360" w:lineRule="auto"/>
        <w:jc w:val="center"/>
        <w:rPr>
          <w:rFonts w:ascii="Garamond" w:hAnsi="Garamond"/>
          <w:b/>
          <w:sz w:val="20"/>
          <w:lang w:val="es-MX"/>
        </w:rPr>
      </w:pPr>
      <w:r w:rsidRPr="00AA31F8">
        <w:rPr>
          <w:rFonts w:ascii="Garamond" w:hAnsi="Garamond"/>
          <w:b/>
          <w:sz w:val="20"/>
          <w:lang w:val="es-MX"/>
        </w:rPr>
        <w:t>Gráfico 4. Porcentaje de hogares por tipología familiar por estrato socioeconómico</w:t>
      </w:r>
    </w:p>
    <w:p w14:paraId="23D1CCB1" w14:textId="474238C1" w:rsidR="00E93ABA" w:rsidRDefault="00CE0ACF" w:rsidP="006F23C1">
      <w:pPr>
        <w:spacing w:after="0" w:line="360" w:lineRule="auto"/>
        <w:jc w:val="both"/>
        <w:rPr>
          <w:rFonts w:ascii="Garamond" w:hAnsi="Garamond"/>
          <w:sz w:val="20"/>
          <w:szCs w:val="20"/>
          <w:lang w:val="es-MX"/>
        </w:rPr>
      </w:pPr>
      <w:r>
        <w:rPr>
          <w:noProof/>
        </w:rPr>
        <w:drawing>
          <wp:inline distT="0" distB="0" distL="0" distR="0" wp14:anchorId="52881842" wp14:editId="53945F41">
            <wp:extent cx="2581275" cy="2914650"/>
            <wp:effectExtent l="0" t="0" r="0" b="0"/>
            <wp:docPr id="7" name="Gráfico 7">
              <a:extLst xmlns:a="http://schemas.openxmlformats.org/drawingml/2006/main">
                <a:ext uri="{FF2B5EF4-FFF2-40B4-BE49-F238E27FC236}">
                  <a16:creationId xmlns:a16="http://schemas.microsoft.com/office/drawing/2014/main" id="{FA7FE536-7186-A74C-BFCF-D92C766429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A890A69" w14:textId="06F08D65" w:rsidR="001C6D1E" w:rsidRDefault="00246C63" w:rsidP="00646175">
      <w:pPr>
        <w:spacing w:line="360" w:lineRule="auto"/>
        <w:jc w:val="both"/>
        <w:rPr>
          <w:rFonts w:ascii="Garamond" w:hAnsi="Garamond"/>
          <w:sz w:val="20"/>
          <w:szCs w:val="20"/>
          <w:lang w:val="es-MX"/>
        </w:rPr>
      </w:pPr>
      <w:r>
        <w:rPr>
          <w:rFonts w:ascii="Garamond" w:hAnsi="Garamond"/>
          <w:sz w:val="20"/>
          <w:szCs w:val="20"/>
          <w:lang w:val="es-MX"/>
        </w:rPr>
        <w:t xml:space="preserve">Ahora bien, al analizar la información </w:t>
      </w:r>
      <w:r w:rsidR="00CE5DC4">
        <w:rPr>
          <w:rFonts w:ascii="Garamond" w:hAnsi="Garamond"/>
          <w:sz w:val="20"/>
          <w:szCs w:val="20"/>
          <w:lang w:val="es-MX"/>
        </w:rPr>
        <w:t>por estrato, se observa que</w:t>
      </w:r>
      <w:r w:rsidR="00134382">
        <w:rPr>
          <w:rFonts w:ascii="Garamond" w:hAnsi="Garamond"/>
          <w:sz w:val="20"/>
          <w:szCs w:val="20"/>
          <w:lang w:val="es-MX"/>
        </w:rPr>
        <w:t xml:space="preserve"> la mayoría de los hogares en el estrato 1 son hogares nucleares con hijos (4</w:t>
      </w:r>
      <w:r w:rsidR="00B974B1">
        <w:rPr>
          <w:rFonts w:ascii="Garamond" w:hAnsi="Garamond"/>
          <w:sz w:val="20"/>
          <w:szCs w:val="20"/>
          <w:lang w:val="es-MX"/>
        </w:rPr>
        <w:t>0</w:t>
      </w:r>
      <w:r w:rsidR="00134382">
        <w:rPr>
          <w:rFonts w:ascii="Garamond" w:hAnsi="Garamond"/>
          <w:sz w:val="20"/>
          <w:szCs w:val="20"/>
          <w:lang w:val="es-MX"/>
        </w:rPr>
        <w:t>,</w:t>
      </w:r>
      <w:r w:rsidR="00B974B1">
        <w:rPr>
          <w:rFonts w:ascii="Garamond" w:hAnsi="Garamond"/>
          <w:sz w:val="20"/>
          <w:szCs w:val="20"/>
          <w:lang w:val="es-MX"/>
        </w:rPr>
        <w:t>9</w:t>
      </w:r>
      <w:r w:rsidR="00134382">
        <w:rPr>
          <w:rFonts w:ascii="Garamond" w:hAnsi="Garamond"/>
          <w:sz w:val="20"/>
          <w:szCs w:val="20"/>
          <w:lang w:val="es-MX"/>
        </w:rPr>
        <w:t>%)</w:t>
      </w:r>
      <w:r w:rsidR="00CE5DC4">
        <w:rPr>
          <w:rFonts w:ascii="Garamond" w:hAnsi="Garamond"/>
          <w:sz w:val="20"/>
          <w:szCs w:val="20"/>
          <w:lang w:val="es-MX"/>
        </w:rPr>
        <w:t>, le siguen los hogares nucleares monoparentales con hijos (16,4%) y los hogares familiares extensos (16,</w:t>
      </w:r>
      <w:r w:rsidR="00B974B1">
        <w:rPr>
          <w:rFonts w:ascii="Garamond" w:hAnsi="Garamond"/>
          <w:sz w:val="20"/>
          <w:szCs w:val="20"/>
          <w:lang w:val="es-MX"/>
        </w:rPr>
        <w:t>3</w:t>
      </w:r>
      <w:r w:rsidR="00CE5DC4">
        <w:rPr>
          <w:rFonts w:ascii="Garamond" w:hAnsi="Garamond"/>
          <w:sz w:val="20"/>
          <w:szCs w:val="20"/>
          <w:lang w:val="es-MX"/>
        </w:rPr>
        <w:t xml:space="preserve">%). </w:t>
      </w:r>
    </w:p>
    <w:p w14:paraId="6FE7E390" w14:textId="3E1EBCB7" w:rsidR="005C3FEB" w:rsidRDefault="00CE5DC4" w:rsidP="00646175">
      <w:pPr>
        <w:spacing w:line="360" w:lineRule="auto"/>
        <w:jc w:val="both"/>
        <w:rPr>
          <w:rFonts w:ascii="Garamond" w:hAnsi="Garamond"/>
          <w:sz w:val="20"/>
          <w:szCs w:val="20"/>
          <w:lang w:val="es-MX"/>
        </w:rPr>
      </w:pPr>
      <w:r>
        <w:rPr>
          <w:rFonts w:ascii="Garamond" w:hAnsi="Garamond"/>
          <w:sz w:val="20"/>
          <w:szCs w:val="20"/>
          <w:lang w:val="es-MX"/>
        </w:rPr>
        <w:t>Por su parte, los hogares unipersonales equivalen al 11,67% de los hogares de este estrato y un porcentaje muy baj</w:t>
      </w:r>
      <w:r w:rsidR="00556D4B">
        <w:rPr>
          <w:rFonts w:ascii="Garamond" w:hAnsi="Garamond"/>
          <w:sz w:val="20"/>
          <w:szCs w:val="20"/>
          <w:lang w:val="es-MX"/>
        </w:rPr>
        <w:t>o</w:t>
      </w:r>
      <w:r>
        <w:rPr>
          <w:rFonts w:ascii="Garamond" w:hAnsi="Garamond"/>
          <w:sz w:val="20"/>
          <w:szCs w:val="20"/>
          <w:lang w:val="es-MX"/>
        </w:rPr>
        <w:t xml:space="preserve"> (0,23%) son hogares No familiares sin núcleo.</w:t>
      </w:r>
    </w:p>
    <w:p w14:paraId="59880383" w14:textId="66B47DAB" w:rsidR="00A876BA" w:rsidRDefault="00246C63" w:rsidP="00A876BA">
      <w:pPr>
        <w:spacing w:after="0" w:line="360" w:lineRule="auto"/>
        <w:jc w:val="center"/>
        <w:rPr>
          <w:rFonts w:ascii="Garamond" w:hAnsi="Garamond"/>
          <w:sz w:val="20"/>
          <w:szCs w:val="20"/>
          <w:lang w:val="es-MX"/>
        </w:rPr>
      </w:pPr>
      <w:r>
        <w:rPr>
          <w:rFonts w:ascii="Garamond" w:hAnsi="Garamond"/>
          <w:b/>
          <w:sz w:val="20"/>
          <w:lang w:val="es-MX"/>
        </w:rPr>
        <w:t xml:space="preserve">Gráfico </w:t>
      </w:r>
      <w:r w:rsidR="004E5061">
        <w:rPr>
          <w:rFonts w:ascii="Garamond" w:hAnsi="Garamond"/>
          <w:b/>
          <w:sz w:val="20"/>
          <w:lang w:val="es-MX"/>
        </w:rPr>
        <w:t>5</w:t>
      </w:r>
      <w:r>
        <w:rPr>
          <w:rFonts w:ascii="Garamond" w:hAnsi="Garamond"/>
          <w:b/>
          <w:sz w:val="20"/>
          <w:lang w:val="es-MX"/>
        </w:rPr>
        <w:t xml:space="preserve">. </w:t>
      </w:r>
      <w:r w:rsidR="00A876BA" w:rsidRPr="00822A4A">
        <w:rPr>
          <w:rFonts w:ascii="Garamond" w:hAnsi="Garamond"/>
          <w:b/>
          <w:sz w:val="20"/>
          <w:lang w:val="es-MX"/>
        </w:rPr>
        <w:t xml:space="preserve">Porcentaje de hogares </w:t>
      </w:r>
      <w:r w:rsidR="00A876BA">
        <w:rPr>
          <w:rFonts w:ascii="Garamond" w:hAnsi="Garamond"/>
          <w:b/>
          <w:sz w:val="20"/>
          <w:lang w:val="es-MX"/>
        </w:rPr>
        <w:t>por tipología familiar para el Estrato 1</w:t>
      </w:r>
    </w:p>
    <w:p w14:paraId="4F4429CA" w14:textId="330288CA" w:rsidR="0033038F" w:rsidRDefault="00B974B1" w:rsidP="006F23C1">
      <w:pPr>
        <w:spacing w:after="0" w:line="360" w:lineRule="auto"/>
        <w:jc w:val="both"/>
        <w:rPr>
          <w:rFonts w:ascii="Garamond" w:hAnsi="Garamond"/>
          <w:sz w:val="20"/>
          <w:szCs w:val="20"/>
          <w:lang w:val="es-MX"/>
        </w:rPr>
      </w:pPr>
      <w:r>
        <w:rPr>
          <w:noProof/>
        </w:rPr>
        <w:drawing>
          <wp:inline distT="0" distB="0" distL="0" distR="0" wp14:anchorId="03467C96" wp14:editId="21653F1A">
            <wp:extent cx="2581275" cy="2032000"/>
            <wp:effectExtent l="0" t="0" r="0" b="0"/>
            <wp:docPr id="14" name="Gráfico 14">
              <a:extLst xmlns:a="http://schemas.openxmlformats.org/drawingml/2006/main">
                <a:ext uri="{FF2B5EF4-FFF2-40B4-BE49-F238E27FC236}">
                  <a16:creationId xmlns:a16="http://schemas.microsoft.com/office/drawing/2014/main" id="{C5B674E0-785F-5343-8AD5-627019ACE9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4B89542" w14:textId="64ADDAA4" w:rsidR="00CE5DC4" w:rsidRDefault="0092183B" w:rsidP="00646175">
      <w:pPr>
        <w:spacing w:line="360" w:lineRule="auto"/>
        <w:jc w:val="both"/>
        <w:rPr>
          <w:rFonts w:ascii="Garamond" w:hAnsi="Garamond"/>
          <w:sz w:val="20"/>
          <w:szCs w:val="20"/>
          <w:lang w:val="es-MX"/>
        </w:rPr>
      </w:pPr>
      <w:r>
        <w:rPr>
          <w:rFonts w:ascii="Garamond" w:hAnsi="Garamond"/>
          <w:sz w:val="20"/>
          <w:szCs w:val="20"/>
          <w:lang w:val="es-MX"/>
        </w:rPr>
        <w:lastRenderedPageBreak/>
        <w:t>Similar al estrato 1</w:t>
      </w:r>
      <w:r w:rsidR="001C6D1E">
        <w:rPr>
          <w:rFonts w:ascii="Garamond" w:hAnsi="Garamond"/>
          <w:sz w:val="20"/>
          <w:szCs w:val="20"/>
          <w:lang w:val="es-MX"/>
        </w:rPr>
        <w:t>,</w:t>
      </w:r>
      <w:r>
        <w:rPr>
          <w:rFonts w:ascii="Garamond" w:hAnsi="Garamond"/>
          <w:sz w:val="20"/>
          <w:szCs w:val="20"/>
          <w:lang w:val="es-MX"/>
        </w:rPr>
        <w:t xml:space="preserve"> se observa que en el estrato 2 la mayoría de los hogares son nuclear con hijos (4</w:t>
      </w:r>
      <w:r w:rsidR="00C26C16">
        <w:rPr>
          <w:rFonts w:ascii="Garamond" w:hAnsi="Garamond"/>
          <w:sz w:val="20"/>
          <w:szCs w:val="20"/>
          <w:lang w:val="es-MX"/>
        </w:rPr>
        <w:t>2</w:t>
      </w:r>
      <w:r>
        <w:rPr>
          <w:rFonts w:ascii="Garamond" w:hAnsi="Garamond"/>
          <w:sz w:val="20"/>
          <w:szCs w:val="20"/>
          <w:lang w:val="es-MX"/>
        </w:rPr>
        <w:t>,</w:t>
      </w:r>
      <w:r w:rsidR="00C26C16">
        <w:rPr>
          <w:rFonts w:ascii="Garamond" w:hAnsi="Garamond"/>
          <w:sz w:val="20"/>
          <w:szCs w:val="20"/>
          <w:lang w:val="es-MX"/>
        </w:rPr>
        <w:t>3</w:t>
      </w:r>
      <w:r>
        <w:rPr>
          <w:rFonts w:ascii="Garamond" w:hAnsi="Garamond"/>
          <w:sz w:val="20"/>
          <w:szCs w:val="20"/>
          <w:lang w:val="es-MX"/>
        </w:rPr>
        <w:t>%), sin embargo en este estrato es mayor el porcentaje de hogares extensos (16,</w:t>
      </w:r>
      <w:r w:rsidR="00C26C16">
        <w:rPr>
          <w:rFonts w:ascii="Garamond" w:hAnsi="Garamond"/>
          <w:sz w:val="20"/>
          <w:szCs w:val="20"/>
          <w:lang w:val="es-MX"/>
        </w:rPr>
        <w:t>1</w:t>
      </w:r>
      <w:r>
        <w:rPr>
          <w:rFonts w:ascii="Garamond" w:hAnsi="Garamond"/>
          <w:sz w:val="20"/>
          <w:szCs w:val="20"/>
          <w:lang w:val="es-MX"/>
        </w:rPr>
        <w:t xml:space="preserve">%) que los hogares </w:t>
      </w:r>
      <w:r w:rsidR="00C26C16">
        <w:rPr>
          <w:rFonts w:ascii="Garamond" w:hAnsi="Garamond"/>
          <w:sz w:val="20"/>
          <w:szCs w:val="20"/>
          <w:lang w:val="es-MX"/>
        </w:rPr>
        <w:t xml:space="preserve">nucleares </w:t>
      </w:r>
      <w:r>
        <w:rPr>
          <w:rFonts w:ascii="Garamond" w:hAnsi="Garamond"/>
          <w:sz w:val="20"/>
          <w:szCs w:val="20"/>
          <w:lang w:val="es-MX"/>
        </w:rPr>
        <w:t>monoparentales (14,6%). En el estrato 2 los hogares unipersonales equivalen a 12,</w:t>
      </w:r>
      <w:r w:rsidR="00C26C16">
        <w:rPr>
          <w:rFonts w:ascii="Garamond" w:hAnsi="Garamond"/>
          <w:sz w:val="20"/>
          <w:szCs w:val="20"/>
          <w:lang w:val="es-MX"/>
        </w:rPr>
        <w:t>1</w:t>
      </w:r>
      <w:r>
        <w:rPr>
          <w:rFonts w:ascii="Garamond" w:hAnsi="Garamond"/>
          <w:sz w:val="20"/>
          <w:szCs w:val="20"/>
          <w:lang w:val="es-MX"/>
        </w:rPr>
        <w:t>% de los hogares y los nucleares sin hijos son el 10,</w:t>
      </w:r>
      <w:r w:rsidR="00C26C16">
        <w:rPr>
          <w:rFonts w:ascii="Garamond" w:hAnsi="Garamond"/>
          <w:sz w:val="20"/>
          <w:szCs w:val="20"/>
          <w:lang w:val="es-MX"/>
        </w:rPr>
        <w:t>1</w:t>
      </w:r>
      <w:r>
        <w:rPr>
          <w:rFonts w:ascii="Garamond" w:hAnsi="Garamond"/>
          <w:sz w:val="20"/>
          <w:szCs w:val="20"/>
          <w:lang w:val="es-MX"/>
        </w:rPr>
        <w:t>%.</w:t>
      </w:r>
    </w:p>
    <w:p w14:paraId="5ADD28FB" w14:textId="59B59446" w:rsidR="00CE5DC4" w:rsidRDefault="00CE5DC4" w:rsidP="00CE5DC4">
      <w:pPr>
        <w:spacing w:after="0" w:line="360" w:lineRule="auto"/>
        <w:jc w:val="center"/>
        <w:rPr>
          <w:rFonts w:ascii="Garamond" w:hAnsi="Garamond"/>
          <w:sz w:val="20"/>
          <w:szCs w:val="20"/>
          <w:lang w:val="es-MX"/>
        </w:rPr>
      </w:pPr>
      <w:r>
        <w:rPr>
          <w:rFonts w:ascii="Garamond" w:hAnsi="Garamond"/>
          <w:b/>
          <w:sz w:val="20"/>
          <w:lang w:val="es-MX"/>
        </w:rPr>
        <w:t xml:space="preserve">Gráfico </w:t>
      </w:r>
      <w:r w:rsidR="004E5061">
        <w:rPr>
          <w:rFonts w:ascii="Garamond" w:hAnsi="Garamond"/>
          <w:b/>
          <w:sz w:val="20"/>
          <w:lang w:val="es-MX"/>
        </w:rPr>
        <w:t>6</w:t>
      </w:r>
      <w:r>
        <w:rPr>
          <w:rFonts w:ascii="Garamond" w:hAnsi="Garamond"/>
          <w:b/>
          <w:sz w:val="20"/>
          <w:lang w:val="es-MX"/>
        </w:rPr>
        <w:t xml:space="preserve">. </w:t>
      </w:r>
      <w:r w:rsidRPr="00822A4A">
        <w:rPr>
          <w:rFonts w:ascii="Garamond" w:hAnsi="Garamond"/>
          <w:b/>
          <w:sz w:val="20"/>
          <w:lang w:val="es-MX"/>
        </w:rPr>
        <w:t xml:space="preserve">Porcentaje de hogares </w:t>
      </w:r>
      <w:r>
        <w:rPr>
          <w:rFonts w:ascii="Garamond" w:hAnsi="Garamond"/>
          <w:b/>
          <w:sz w:val="20"/>
          <w:lang w:val="es-MX"/>
        </w:rPr>
        <w:t>por tipología familiar para el Estrato 2</w:t>
      </w:r>
    </w:p>
    <w:p w14:paraId="06628102" w14:textId="757792D0" w:rsidR="00CE5DC4" w:rsidRDefault="00F00B5A" w:rsidP="006F23C1">
      <w:pPr>
        <w:spacing w:after="0" w:line="360" w:lineRule="auto"/>
        <w:jc w:val="both"/>
        <w:rPr>
          <w:rFonts w:ascii="Garamond" w:hAnsi="Garamond"/>
          <w:sz w:val="20"/>
          <w:szCs w:val="20"/>
          <w:lang w:val="es-MX"/>
        </w:rPr>
      </w:pPr>
      <w:r>
        <w:rPr>
          <w:noProof/>
        </w:rPr>
        <w:drawing>
          <wp:inline distT="0" distB="0" distL="0" distR="0" wp14:anchorId="07482AE7" wp14:editId="2D44C1A8">
            <wp:extent cx="2581275" cy="2736850"/>
            <wp:effectExtent l="0" t="0" r="0" b="0"/>
            <wp:docPr id="1" name="Gráfico 1">
              <a:extLst xmlns:a="http://schemas.openxmlformats.org/drawingml/2006/main">
                <a:ext uri="{FF2B5EF4-FFF2-40B4-BE49-F238E27FC236}">
                  <a16:creationId xmlns:a16="http://schemas.microsoft.com/office/drawing/2014/main" id="{DFB10836-A22D-E24C-B04D-9464F2743D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397EF25" w14:textId="253E7532" w:rsidR="00C26C16" w:rsidRDefault="001C6D1E" w:rsidP="00646175">
      <w:pPr>
        <w:spacing w:line="360" w:lineRule="auto"/>
        <w:jc w:val="both"/>
        <w:rPr>
          <w:rFonts w:ascii="Garamond" w:hAnsi="Garamond"/>
          <w:sz w:val="20"/>
          <w:szCs w:val="20"/>
          <w:lang w:val="es-MX"/>
        </w:rPr>
      </w:pPr>
      <w:r>
        <w:rPr>
          <w:rFonts w:ascii="Garamond" w:hAnsi="Garamond"/>
          <w:sz w:val="20"/>
          <w:szCs w:val="20"/>
          <w:lang w:val="es-MX"/>
        </w:rPr>
        <w:t>Frente a</w:t>
      </w:r>
      <w:r w:rsidR="0092183B">
        <w:rPr>
          <w:rFonts w:ascii="Garamond" w:hAnsi="Garamond"/>
          <w:sz w:val="20"/>
          <w:szCs w:val="20"/>
          <w:lang w:val="es-MX"/>
        </w:rPr>
        <w:t xml:space="preserve"> los hogares</w:t>
      </w:r>
      <w:r>
        <w:rPr>
          <w:rFonts w:ascii="Garamond" w:hAnsi="Garamond"/>
          <w:sz w:val="20"/>
          <w:szCs w:val="20"/>
          <w:lang w:val="es-MX"/>
        </w:rPr>
        <w:t xml:space="preserve"> del</w:t>
      </w:r>
      <w:r w:rsidR="0092183B">
        <w:rPr>
          <w:rFonts w:ascii="Garamond" w:hAnsi="Garamond"/>
          <w:sz w:val="20"/>
          <w:szCs w:val="20"/>
          <w:lang w:val="es-MX"/>
        </w:rPr>
        <w:t xml:space="preserve"> estrato 3 se evidencia que</w:t>
      </w:r>
      <w:r w:rsidR="00DF6735">
        <w:rPr>
          <w:rFonts w:ascii="Garamond" w:hAnsi="Garamond"/>
          <w:sz w:val="20"/>
          <w:szCs w:val="20"/>
          <w:lang w:val="es-MX"/>
        </w:rPr>
        <w:t xml:space="preserve"> al igual que los estratos anteriores, la mayoría de los hogares son nucleares con hijos (36,</w:t>
      </w:r>
      <w:r w:rsidR="00C26C16">
        <w:rPr>
          <w:rFonts w:ascii="Garamond" w:hAnsi="Garamond"/>
          <w:sz w:val="20"/>
          <w:szCs w:val="20"/>
          <w:lang w:val="es-MX"/>
        </w:rPr>
        <w:t>5</w:t>
      </w:r>
      <w:r w:rsidR="00DF6735">
        <w:rPr>
          <w:rFonts w:ascii="Garamond" w:hAnsi="Garamond"/>
          <w:sz w:val="20"/>
          <w:szCs w:val="20"/>
          <w:lang w:val="es-MX"/>
        </w:rPr>
        <w:t xml:space="preserve">%), pero en este estrato los hogares unipersonales pasan a ser </w:t>
      </w:r>
      <w:r w:rsidR="00D32331">
        <w:rPr>
          <w:rFonts w:ascii="Garamond" w:hAnsi="Garamond"/>
          <w:sz w:val="20"/>
          <w:szCs w:val="20"/>
          <w:lang w:val="es-MX"/>
        </w:rPr>
        <w:t>el</w:t>
      </w:r>
      <w:r w:rsidR="00DF6735">
        <w:rPr>
          <w:rFonts w:ascii="Garamond" w:hAnsi="Garamond"/>
          <w:sz w:val="20"/>
          <w:szCs w:val="20"/>
          <w:lang w:val="es-MX"/>
        </w:rPr>
        <w:t xml:space="preserve"> segundo tipo de hogar más frecuentes con el 16,</w:t>
      </w:r>
      <w:r w:rsidR="00C26C16">
        <w:rPr>
          <w:rFonts w:ascii="Garamond" w:hAnsi="Garamond"/>
          <w:sz w:val="20"/>
          <w:szCs w:val="20"/>
          <w:lang w:val="es-MX"/>
        </w:rPr>
        <w:t>4</w:t>
      </w:r>
      <w:r w:rsidR="00DF6735">
        <w:rPr>
          <w:rFonts w:ascii="Garamond" w:hAnsi="Garamond"/>
          <w:sz w:val="20"/>
          <w:szCs w:val="20"/>
          <w:lang w:val="es-MX"/>
        </w:rPr>
        <w:t xml:space="preserve">%. </w:t>
      </w:r>
      <w:r w:rsidR="00C26C16">
        <w:rPr>
          <w:rFonts w:ascii="Garamond" w:hAnsi="Garamond"/>
          <w:sz w:val="20"/>
          <w:szCs w:val="20"/>
          <w:lang w:val="es-MX"/>
        </w:rPr>
        <w:t xml:space="preserve"> </w:t>
      </w:r>
      <w:r>
        <w:rPr>
          <w:rFonts w:ascii="Garamond" w:hAnsi="Garamond"/>
          <w:sz w:val="20"/>
          <w:szCs w:val="20"/>
          <w:lang w:val="es-MX"/>
        </w:rPr>
        <w:t>Mientras que</w:t>
      </w:r>
      <w:r w:rsidR="00DF6735">
        <w:rPr>
          <w:rFonts w:ascii="Garamond" w:hAnsi="Garamond"/>
          <w:sz w:val="20"/>
          <w:szCs w:val="20"/>
          <w:lang w:val="es-MX"/>
        </w:rPr>
        <w:t xml:space="preserve"> los hogares nucleares sin hijos son el 11,7%, manteniendo la tendencia que entre mayor el estrato mayor el porcentaje de este tipo de hogar.</w:t>
      </w:r>
      <w:r w:rsidR="0092183B">
        <w:rPr>
          <w:rFonts w:ascii="Garamond" w:hAnsi="Garamond"/>
          <w:sz w:val="20"/>
          <w:szCs w:val="20"/>
          <w:lang w:val="es-MX"/>
        </w:rPr>
        <w:t xml:space="preserve"> </w:t>
      </w:r>
    </w:p>
    <w:p w14:paraId="6A0A4BCB" w14:textId="77777777" w:rsidR="00AA31F8" w:rsidRDefault="00AA31F8" w:rsidP="00AA31F8">
      <w:pPr>
        <w:spacing w:after="0" w:line="360" w:lineRule="auto"/>
        <w:jc w:val="center"/>
        <w:rPr>
          <w:rFonts w:ascii="Garamond" w:hAnsi="Garamond"/>
          <w:b/>
          <w:sz w:val="20"/>
          <w:lang w:val="es-MX"/>
        </w:rPr>
      </w:pPr>
      <w:bookmarkStart w:id="3" w:name="OLE_LINK2"/>
    </w:p>
    <w:p w14:paraId="390E4353" w14:textId="77777777" w:rsidR="00AA31F8" w:rsidRDefault="00AA31F8" w:rsidP="00AA31F8">
      <w:pPr>
        <w:spacing w:after="0" w:line="360" w:lineRule="auto"/>
        <w:jc w:val="center"/>
        <w:rPr>
          <w:rFonts w:ascii="Garamond" w:hAnsi="Garamond"/>
          <w:b/>
          <w:sz w:val="20"/>
          <w:lang w:val="es-MX"/>
        </w:rPr>
      </w:pPr>
    </w:p>
    <w:p w14:paraId="0512DFC0" w14:textId="77777777" w:rsidR="00AA31F8" w:rsidRDefault="00AA31F8" w:rsidP="00AA31F8">
      <w:pPr>
        <w:spacing w:after="0" w:line="360" w:lineRule="auto"/>
        <w:jc w:val="center"/>
        <w:rPr>
          <w:rFonts w:ascii="Garamond" w:hAnsi="Garamond"/>
          <w:b/>
          <w:sz w:val="20"/>
          <w:lang w:val="es-MX"/>
        </w:rPr>
      </w:pPr>
    </w:p>
    <w:p w14:paraId="6D8203E0" w14:textId="77777777" w:rsidR="00AA31F8" w:rsidRDefault="00AA31F8" w:rsidP="00AA31F8">
      <w:pPr>
        <w:spacing w:after="0" w:line="360" w:lineRule="auto"/>
        <w:jc w:val="center"/>
        <w:rPr>
          <w:rFonts w:ascii="Garamond" w:hAnsi="Garamond"/>
          <w:b/>
          <w:sz w:val="20"/>
          <w:lang w:val="es-MX"/>
        </w:rPr>
      </w:pPr>
    </w:p>
    <w:p w14:paraId="18AB49D8" w14:textId="77777777" w:rsidR="00AA31F8" w:rsidRDefault="00AA31F8" w:rsidP="00AA31F8">
      <w:pPr>
        <w:spacing w:after="0" w:line="360" w:lineRule="auto"/>
        <w:jc w:val="center"/>
        <w:rPr>
          <w:rFonts w:ascii="Garamond" w:hAnsi="Garamond"/>
          <w:b/>
          <w:sz w:val="20"/>
          <w:lang w:val="es-MX"/>
        </w:rPr>
      </w:pPr>
    </w:p>
    <w:p w14:paraId="760FECBB" w14:textId="77777777" w:rsidR="00AA31F8" w:rsidRDefault="00AA31F8" w:rsidP="00AA31F8">
      <w:pPr>
        <w:spacing w:after="0" w:line="360" w:lineRule="auto"/>
        <w:jc w:val="center"/>
        <w:rPr>
          <w:rFonts w:ascii="Garamond" w:hAnsi="Garamond"/>
          <w:b/>
          <w:sz w:val="20"/>
          <w:lang w:val="es-MX"/>
        </w:rPr>
      </w:pPr>
    </w:p>
    <w:p w14:paraId="0930DE7C" w14:textId="7E3C9AEA" w:rsidR="00CE5DC4" w:rsidRDefault="00CE5DC4" w:rsidP="00AA31F8">
      <w:pPr>
        <w:spacing w:after="0" w:line="360" w:lineRule="auto"/>
        <w:jc w:val="center"/>
        <w:rPr>
          <w:rFonts w:ascii="Garamond" w:hAnsi="Garamond"/>
          <w:b/>
          <w:sz w:val="20"/>
          <w:lang w:val="es-MX"/>
        </w:rPr>
      </w:pPr>
      <w:r>
        <w:rPr>
          <w:rFonts w:ascii="Garamond" w:hAnsi="Garamond"/>
          <w:b/>
          <w:sz w:val="20"/>
          <w:lang w:val="es-MX"/>
        </w:rPr>
        <w:t xml:space="preserve">Gráfico </w:t>
      </w:r>
      <w:r w:rsidR="004E5061">
        <w:rPr>
          <w:rFonts w:ascii="Garamond" w:hAnsi="Garamond"/>
          <w:b/>
          <w:sz w:val="20"/>
          <w:lang w:val="es-MX"/>
        </w:rPr>
        <w:t>7</w:t>
      </w:r>
      <w:r>
        <w:rPr>
          <w:rFonts w:ascii="Garamond" w:hAnsi="Garamond"/>
          <w:b/>
          <w:sz w:val="20"/>
          <w:lang w:val="es-MX"/>
        </w:rPr>
        <w:t xml:space="preserve">. </w:t>
      </w:r>
      <w:r w:rsidRPr="00822A4A">
        <w:rPr>
          <w:rFonts w:ascii="Garamond" w:hAnsi="Garamond"/>
          <w:b/>
          <w:sz w:val="20"/>
          <w:lang w:val="es-MX"/>
        </w:rPr>
        <w:t xml:space="preserve">Porcentaje de hogares </w:t>
      </w:r>
      <w:r>
        <w:rPr>
          <w:rFonts w:ascii="Garamond" w:hAnsi="Garamond"/>
          <w:b/>
          <w:sz w:val="20"/>
          <w:lang w:val="es-MX"/>
        </w:rPr>
        <w:t>por tipología familiar para el Estrato 3</w:t>
      </w:r>
    </w:p>
    <w:bookmarkEnd w:id="3"/>
    <w:p w14:paraId="3085E8D7" w14:textId="1F6D45CD" w:rsidR="00CE5DC4" w:rsidRDefault="00C26C16" w:rsidP="00CE5DC4">
      <w:pPr>
        <w:spacing w:after="0" w:line="360" w:lineRule="auto"/>
        <w:jc w:val="center"/>
        <w:rPr>
          <w:rFonts w:ascii="Garamond" w:hAnsi="Garamond"/>
          <w:sz w:val="20"/>
          <w:szCs w:val="20"/>
          <w:lang w:val="es-MX"/>
        </w:rPr>
      </w:pPr>
      <w:r>
        <w:rPr>
          <w:noProof/>
        </w:rPr>
        <w:drawing>
          <wp:inline distT="0" distB="0" distL="0" distR="0" wp14:anchorId="3E1B7EAC" wp14:editId="10A73825">
            <wp:extent cx="2581275" cy="1924050"/>
            <wp:effectExtent l="0" t="0" r="0" b="0"/>
            <wp:docPr id="21" name="Gráfico 21">
              <a:extLst xmlns:a="http://schemas.openxmlformats.org/drawingml/2006/main">
                <a:ext uri="{FF2B5EF4-FFF2-40B4-BE49-F238E27FC236}">
                  <a16:creationId xmlns:a16="http://schemas.microsoft.com/office/drawing/2014/main" id="{54B8B0A2-1C3B-7649-9F61-AA053B4C17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0C2F1AB" w14:textId="788CDFE3" w:rsidR="00B26C8A" w:rsidRDefault="001C6D1E" w:rsidP="00646175">
      <w:pPr>
        <w:spacing w:line="360" w:lineRule="auto"/>
        <w:jc w:val="both"/>
        <w:rPr>
          <w:rFonts w:ascii="Garamond" w:hAnsi="Garamond"/>
          <w:sz w:val="20"/>
          <w:szCs w:val="20"/>
          <w:lang w:val="es-MX"/>
        </w:rPr>
      </w:pPr>
      <w:r>
        <w:rPr>
          <w:rFonts w:ascii="Garamond" w:hAnsi="Garamond"/>
          <w:sz w:val="20"/>
          <w:szCs w:val="20"/>
          <w:lang w:val="es-MX"/>
        </w:rPr>
        <w:t>En cuanto</w:t>
      </w:r>
      <w:r w:rsidR="00D32331">
        <w:rPr>
          <w:rFonts w:ascii="Garamond" w:hAnsi="Garamond"/>
          <w:sz w:val="20"/>
          <w:szCs w:val="20"/>
          <w:lang w:val="es-MX"/>
        </w:rPr>
        <w:t xml:space="preserve"> al estrato 4 se mantiene la tendencia como en los estratos anteriores, que los hogares más frecuentes son los nucleares con hijos</w:t>
      </w:r>
      <w:r w:rsidR="00DE6328">
        <w:rPr>
          <w:rFonts w:ascii="Garamond" w:hAnsi="Garamond"/>
          <w:sz w:val="20"/>
          <w:szCs w:val="20"/>
          <w:lang w:val="es-MX"/>
        </w:rPr>
        <w:t xml:space="preserve"> (3</w:t>
      </w:r>
      <w:r w:rsidR="00191589">
        <w:rPr>
          <w:rFonts w:ascii="Garamond" w:hAnsi="Garamond"/>
          <w:sz w:val="20"/>
          <w:szCs w:val="20"/>
          <w:lang w:val="es-MX"/>
        </w:rPr>
        <w:t>4</w:t>
      </w:r>
      <w:r w:rsidR="00DE6328">
        <w:rPr>
          <w:rFonts w:ascii="Garamond" w:hAnsi="Garamond"/>
          <w:sz w:val="20"/>
          <w:szCs w:val="20"/>
          <w:lang w:val="es-MX"/>
        </w:rPr>
        <w:t xml:space="preserve">%), y como en el caso del estrato 3 los hogares unipersonales son los segundos más frecuentes, en este caso equivalen al 24,3% de los hogares. </w:t>
      </w:r>
    </w:p>
    <w:p w14:paraId="10A5047E" w14:textId="2E120A3E" w:rsidR="00B26C8A" w:rsidRDefault="00DE6328" w:rsidP="00646175">
      <w:pPr>
        <w:spacing w:line="360" w:lineRule="auto"/>
        <w:jc w:val="both"/>
        <w:rPr>
          <w:rFonts w:ascii="Garamond" w:hAnsi="Garamond"/>
          <w:sz w:val="20"/>
          <w:szCs w:val="20"/>
          <w:lang w:val="es-MX"/>
        </w:rPr>
      </w:pPr>
      <w:r>
        <w:rPr>
          <w:rFonts w:ascii="Garamond" w:hAnsi="Garamond"/>
          <w:sz w:val="20"/>
          <w:szCs w:val="20"/>
          <w:lang w:val="es-MX"/>
        </w:rPr>
        <w:t>Se destaca además que los hogares nucleares sin hijos son en este estrato los terceros más frecuentes con el 15,5%, ubicandose por encima de los hogares nucleares monoparentales con hijos (10,8%) y los extensos (7,</w:t>
      </w:r>
      <w:r w:rsidR="00191589">
        <w:rPr>
          <w:rFonts w:ascii="Garamond" w:hAnsi="Garamond"/>
          <w:sz w:val="20"/>
          <w:szCs w:val="20"/>
          <w:lang w:val="es-MX"/>
        </w:rPr>
        <w:t>5</w:t>
      </w:r>
      <w:r>
        <w:rPr>
          <w:rFonts w:ascii="Garamond" w:hAnsi="Garamond"/>
          <w:sz w:val="20"/>
          <w:szCs w:val="20"/>
          <w:lang w:val="es-MX"/>
        </w:rPr>
        <w:t xml:space="preserve">%) que para el caso de los estratos 1 y 2 </w:t>
      </w:r>
      <w:r w:rsidR="00191589">
        <w:rPr>
          <w:rFonts w:ascii="Garamond" w:hAnsi="Garamond"/>
          <w:sz w:val="20"/>
          <w:szCs w:val="20"/>
          <w:lang w:val="es-MX"/>
        </w:rPr>
        <w:t>superan el 16%</w:t>
      </w:r>
      <w:r>
        <w:rPr>
          <w:rFonts w:ascii="Garamond" w:hAnsi="Garamond"/>
          <w:sz w:val="20"/>
          <w:szCs w:val="20"/>
          <w:lang w:val="es-MX"/>
        </w:rPr>
        <w:t>.</w:t>
      </w:r>
    </w:p>
    <w:p w14:paraId="454A21E0" w14:textId="4EA83E38" w:rsidR="00CE5DC4" w:rsidRDefault="00CE5DC4" w:rsidP="00CE5DC4">
      <w:pPr>
        <w:spacing w:after="0" w:line="360" w:lineRule="auto"/>
        <w:jc w:val="center"/>
        <w:rPr>
          <w:rFonts w:ascii="Garamond" w:hAnsi="Garamond"/>
          <w:b/>
          <w:sz w:val="20"/>
          <w:lang w:val="es-MX"/>
        </w:rPr>
      </w:pPr>
      <w:r>
        <w:rPr>
          <w:rFonts w:ascii="Garamond" w:hAnsi="Garamond"/>
          <w:b/>
          <w:sz w:val="20"/>
          <w:lang w:val="es-MX"/>
        </w:rPr>
        <w:t xml:space="preserve">Gráfico </w:t>
      </w:r>
      <w:r w:rsidR="004E5061">
        <w:rPr>
          <w:rFonts w:ascii="Garamond" w:hAnsi="Garamond"/>
          <w:b/>
          <w:sz w:val="20"/>
          <w:lang w:val="es-MX"/>
        </w:rPr>
        <w:t>8</w:t>
      </w:r>
      <w:r>
        <w:rPr>
          <w:rFonts w:ascii="Garamond" w:hAnsi="Garamond"/>
          <w:b/>
          <w:sz w:val="20"/>
          <w:lang w:val="es-MX"/>
        </w:rPr>
        <w:t xml:space="preserve">. </w:t>
      </w:r>
      <w:r w:rsidRPr="00822A4A">
        <w:rPr>
          <w:rFonts w:ascii="Garamond" w:hAnsi="Garamond"/>
          <w:b/>
          <w:sz w:val="20"/>
          <w:lang w:val="es-MX"/>
        </w:rPr>
        <w:t xml:space="preserve">Porcentaje de hogares </w:t>
      </w:r>
      <w:r>
        <w:rPr>
          <w:rFonts w:ascii="Garamond" w:hAnsi="Garamond"/>
          <w:b/>
          <w:sz w:val="20"/>
          <w:lang w:val="es-MX"/>
        </w:rPr>
        <w:t>por tipología familiar para el Estrato 4</w:t>
      </w:r>
    </w:p>
    <w:p w14:paraId="6D67B182" w14:textId="6F455CBF" w:rsidR="00CE5DC4" w:rsidRDefault="00191589" w:rsidP="00191589">
      <w:pPr>
        <w:spacing w:after="0" w:line="360" w:lineRule="auto"/>
        <w:jc w:val="center"/>
        <w:rPr>
          <w:rFonts w:ascii="Garamond" w:hAnsi="Garamond"/>
          <w:b/>
          <w:sz w:val="20"/>
          <w:lang w:val="es-MX"/>
        </w:rPr>
      </w:pPr>
      <w:r>
        <w:rPr>
          <w:noProof/>
        </w:rPr>
        <w:drawing>
          <wp:inline distT="0" distB="0" distL="0" distR="0" wp14:anchorId="2B2742CD" wp14:editId="0F8B130D">
            <wp:extent cx="2581275" cy="2260600"/>
            <wp:effectExtent l="0" t="0" r="0" b="0"/>
            <wp:docPr id="25" name="Gráfico 25">
              <a:extLst xmlns:a="http://schemas.openxmlformats.org/drawingml/2006/main">
                <a:ext uri="{FF2B5EF4-FFF2-40B4-BE49-F238E27FC236}">
                  <a16:creationId xmlns:a16="http://schemas.microsoft.com/office/drawing/2014/main" id="{67131B03-CFB6-2D44-A264-9FDA3F1905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931282" w14:textId="61895C6C" w:rsidR="00B26C8A" w:rsidRDefault="00595386" w:rsidP="00646175">
      <w:pPr>
        <w:spacing w:line="360" w:lineRule="auto"/>
        <w:jc w:val="both"/>
        <w:rPr>
          <w:rFonts w:ascii="Garamond" w:hAnsi="Garamond"/>
          <w:sz w:val="20"/>
          <w:szCs w:val="20"/>
          <w:lang w:val="es-MX"/>
        </w:rPr>
      </w:pPr>
      <w:r w:rsidRPr="00595386">
        <w:rPr>
          <w:rFonts w:ascii="Garamond" w:hAnsi="Garamond"/>
          <w:sz w:val="20"/>
          <w:szCs w:val="20"/>
          <w:lang w:val="es-MX"/>
        </w:rPr>
        <w:lastRenderedPageBreak/>
        <w:t>En el estrato 5 el porcentaje de hogares nucleares con hijos sigue siendo el más frecuente</w:t>
      </w:r>
      <w:r>
        <w:rPr>
          <w:rFonts w:ascii="Garamond" w:hAnsi="Garamond"/>
          <w:sz w:val="20"/>
          <w:szCs w:val="20"/>
          <w:lang w:val="es-MX"/>
        </w:rPr>
        <w:t xml:space="preserve"> (31,</w:t>
      </w:r>
      <w:r w:rsidR="00FF2563">
        <w:rPr>
          <w:rFonts w:ascii="Garamond" w:hAnsi="Garamond"/>
          <w:sz w:val="20"/>
          <w:szCs w:val="20"/>
          <w:lang w:val="es-MX"/>
        </w:rPr>
        <w:t>6</w:t>
      </w:r>
      <w:r>
        <w:rPr>
          <w:rFonts w:ascii="Garamond" w:hAnsi="Garamond"/>
          <w:sz w:val="20"/>
          <w:szCs w:val="20"/>
          <w:lang w:val="es-MX"/>
        </w:rPr>
        <w:t>%)</w:t>
      </w:r>
      <w:r w:rsidRPr="00595386">
        <w:rPr>
          <w:rFonts w:ascii="Garamond" w:hAnsi="Garamond"/>
          <w:sz w:val="20"/>
          <w:szCs w:val="20"/>
          <w:lang w:val="es-MX"/>
        </w:rPr>
        <w:t xml:space="preserve"> pero se ubica </w:t>
      </w:r>
      <w:r>
        <w:rPr>
          <w:rFonts w:ascii="Garamond" w:hAnsi="Garamond"/>
          <w:sz w:val="20"/>
          <w:szCs w:val="20"/>
          <w:lang w:val="es-MX"/>
        </w:rPr>
        <w:t xml:space="preserve">más de </w:t>
      </w:r>
      <w:r w:rsidR="00FF2563">
        <w:rPr>
          <w:rFonts w:ascii="Garamond" w:hAnsi="Garamond"/>
          <w:sz w:val="20"/>
          <w:szCs w:val="20"/>
          <w:lang w:val="es-MX"/>
        </w:rPr>
        <w:t>9</w:t>
      </w:r>
      <w:r>
        <w:rPr>
          <w:rFonts w:ascii="Garamond" w:hAnsi="Garamond"/>
          <w:sz w:val="20"/>
          <w:szCs w:val="20"/>
          <w:lang w:val="es-MX"/>
        </w:rPr>
        <w:t xml:space="preserve"> puntos porcentuales por debajo que el porcentaje que representan en el estrato 1. Y en el caso de los hogares unipersonales, </w:t>
      </w:r>
      <w:r w:rsidR="00FF2563">
        <w:rPr>
          <w:rFonts w:ascii="Garamond" w:hAnsi="Garamond"/>
          <w:sz w:val="20"/>
          <w:szCs w:val="20"/>
          <w:lang w:val="es-MX"/>
        </w:rPr>
        <w:t xml:space="preserve">en este estrato </w:t>
      </w:r>
      <w:r>
        <w:rPr>
          <w:rFonts w:ascii="Garamond" w:hAnsi="Garamond"/>
          <w:sz w:val="20"/>
          <w:szCs w:val="20"/>
          <w:lang w:val="es-MX"/>
        </w:rPr>
        <w:t>son ya el 29,</w:t>
      </w:r>
      <w:r w:rsidR="00FF2563">
        <w:rPr>
          <w:rFonts w:ascii="Garamond" w:hAnsi="Garamond"/>
          <w:sz w:val="20"/>
          <w:szCs w:val="20"/>
          <w:lang w:val="es-MX"/>
        </w:rPr>
        <w:t>2</w:t>
      </w:r>
      <w:r>
        <w:rPr>
          <w:rFonts w:ascii="Garamond" w:hAnsi="Garamond"/>
          <w:sz w:val="20"/>
          <w:szCs w:val="20"/>
          <w:lang w:val="es-MX"/>
        </w:rPr>
        <w:t xml:space="preserve">%, porcentaje muy cercano al de los hogares nucleares con hijos. </w:t>
      </w:r>
    </w:p>
    <w:p w14:paraId="4B48B573" w14:textId="64F12B52" w:rsidR="00CE5DC4" w:rsidRDefault="00595386" w:rsidP="00646175">
      <w:pPr>
        <w:spacing w:line="360" w:lineRule="auto"/>
        <w:jc w:val="both"/>
        <w:rPr>
          <w:rFonts w:ascii="Garamond" w:hAnsi="Garamond"/>
          <w:sz w:val="20"/>
          <w:szCs w:val="20"/>
          <w:lang w:val="es-MX"/>
        </w:rPr>
      </w:pPr>
      <w:r>
        <w:rPr>
          <w:rFonts w:ascii="Garamond" w:hAnsi="Garamond"/>
          <w:sz w:val="20"/>
          <w:szCs w:val="20"/>
          <w:lang w:val="es-MX"/>
        </w:rPr>
        <w:t>En este estrato, igual que en el estrato 4, los hogares nucleares sin hijos son los terceros más frecuentes, acá son el 17,</w:t>
      </w:r>
      <w:r w:rsidR="00FF2563">
        <w:rPr>
          <w:rFonts w:ascii="Garamond" w:hAnsi="Garamond"/>
          <w:sz w:val="20"/>
          <w:szCs w:val="20"/>
          <w:lang w:val="es-MX"/>
        </w:rPr>
        <w:t>5</w:t>
      </w:r>
      <w:r>
        <w:rPr>
          <w:rFonts w:ascii="Garamond" w:hAnsi="Garamond"/>
          <w:sz w:val="20"/>
          <w:szCs w:val="20"/>
          <w:lang w:val="es-MX"/>
        </w:rPr>
        <w:t>% de los hogares. Se destaca además que los hogares extensos son del orden del 4,</w:t>
      </w:r>
      <w:r w:rsidR="00FF2563">
        <w:rPr>
          <w:rFonts w:ascii="Garamond" w:hAnsi="Garamond"/>
          <w:sz w:val="20"/>
          <w:szCs w:val="20"/>
          <w:lang w:val="es-MX"/>
        </w:rPr>
        <w:t>2</w:t>
      </w:r>
      <w:r>
        <w:rPr>
          <w:rFonts w:ascii="Garamond" w:hAnsi="Garamond"/>
          <w:sz w:val="20"/>
          <w:szCs w:val="20"/>
          <w:lang w:val="es-MX"/>
        </w:rPr>
        <w:t xml:space="preserve">%, </w:t>
      </w:r>
      <w:r w:rsidR="00FF2563">
        <w:rPr>
          <w:rFonts w:ascii="Garamond" w:hAnsi="Garamond"/>
          <w:sz w:val="20"/>
          <w:szCs w:val="20"/>
          <w:lang w:val="es-MX"/>
        </w:rPr>
        <w:t>casi 12</w:t>
      </w:r>
      <w:r>
        <w:rPr>
          <w:rFonts w:ascii="Garamond" w:hAnsi="Garamond"/>
          <w:sz w:val="20"/>
          <w:szCs w:val="20"/>
          <w:lang w:val="es-MX"/>
        </w:rPr>
        <w:t xml:space="preserve"> puntos porcentuales por debajo de lo que equivalen en el estrato 1 y 2.</w:t>
      </w:r>
    </w:p>
    <w:p w14:paraId="5DDE1A52" w14:textId="44BBE8BE" w:rsidR="00FF2563" w:rsidRPr="00FF2563" w:rsidRDefault="00FF2563" w:rsidP="00FF2563">
      <w:pPr>
        <w:spacing w:after="0" w:line="360" w:lineRule="auto"/>
        <w:jc w:val="center"/>
        <w:rPr>
          <w:rFonts w:ascii="Garamond" w:hAnsi="Garamond"/>
          <w:b/>
          <w:sz w:val="20"/>
          <w:lang w:val="es-MX"/>
        </w:rPr>
      </w:pPr>
      <w:r>
        <w:rPr>
          <w:rFonts w:ascii="Garamond" w:hAnsi="Garamond"/>
          <w:b/>
          <w:sz w:val="20"/>
          <w:lang w:val="es-MX"/>
        </w:rPr>
        <w:t xml:space="preserve">Gráfico 9. </w:t>
      </w:r>
      <w:r w:rsidRPr="00822A4A">
        <w:rPr>
          <w:rFonts w:ascii="Garamond" w:hAnsi="Garamond"/>
          <w:b/>
          <w:sz w:val="20"/>
          <w:lang w:val="es-MX"/>
        </w:rPr>
        <w:t xml:space="preserve">Porcentaje de hogares </w:t>
      </w:r>
      <w:r>
        <w:rPr>
          <w:rFonts w:ascii="Garamond" w:hAnsi="Garamond"/>
          <w:b/>
          <w:sz w:val="20"/>
          <w:lang w:val="es-MX"/>
        </w:rPr>
        <w:t>por tipología familiar para el Estrato 5</w:t>
      </w:r>
    </w:p>
    <w:p w14:paraId="48C16884" w14:textId="77DC916B" w:rsidR="00CE5DC4" w:rsidRPr="00FF2563" w:rsidRDefault="009F5E30" w:rsidP="00FF2563">
      <w:pPr>
        <w:spacing w:line="360" w:lineRule="auto"/>
        <w:jc w:val="both"/>
        <w:rPr>
          <w:rFonts w:ascii="Garamond" w:hAnsi="Garamond"/>
          <w:sz w:val="20"/>
          <w:szCs w:val="20"/>
          <w:lang w:val="es-MX"/>
        </w:rPr>
      </w:pPr>
      <w:r>
        <w:rPr>
          <w:noProof/>
        </w:rPr>
        <w:drawing>
          <wp:inline distT="0" distB="0" distL="0" distR="0" wp14:anchorId="40D66241" wp14:editId="27CE3536">
            <wp:extent cx="2581275" cy="2736000"/>
            <wp:effectExtent l="0" t="0" r="0" b="0"/>
            <wp:docPr id="28" name="Gráfico 28">
              <a:extLst xmlns:a="http://schemas.openxmlformats.org/drawingml/2006/main">
                <a:ext uri="{FF2B5EF4-FFF2-40B4-BE49-F238E27FC236}">
                  <a16:creationId xmlns:a16="http://schemas.microsoft.com/office/drawing/2014/main" id="{D784CABF-8F9C-3041-895B-0A87C54AF7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99B664" w14:textId="5A12E097" w:rsidR="00CE5DC4" w:rsidRDefault="00D103AD" w:rsidP="00646175">
      <w:pPr>
        <w:spacing w:line="360" w:lineRule="auto"/>
        <w:jc w:val="both"/>
        <w:rPr>
          <w:rFonts w:ascii="Garamond" w:hAnsi="Garamond"/>
          <w:sz w:val="20"/>
          <w:szCs w:val="20"/>
          <w:lang w:val="es-MX"/>
        </w:rPr>
      </w:pPr>
      <w:r w:rsidRPr="00646175">
        <w:rPr>
          <w:rFonts w:ascii="Garamond" w:hAnsi="Garamond"/>
          <w:sz w:val="20"/>
          <w:szCs w:val="20"/>
          <w:lang w:val="es-MX"/>
        </w:rPr>
        <w:t>En el estrato 6, como se observó en el gráfico 3, los hogares más frecuentes son los no familiares, específicamente los hogares unipersonales (4</w:t>
      </w:r>
      <w:r w:rsidR="00FF2563">
        <w:rPr>
          <w:rFonts w:ascii="Garamond" w:hAnsi="Garamond"/>
          <w:sz w:val="20"/>
          <w:szCs w:val="20"/>
          <w:lang w:val="es-MX"/>
        </w:rPr>
        <w:t>2,8</w:t>
      </w:r>
      <w:r w:rsidRPr="00646175">
        <w:rPr>
          <w:rFonts w:ascii="Garamond" w:hAnsi="Garamond"/>
          <w:sz w:val="20"/>
          <w:szCs w:val="20"/>
          <w:lang w:val="es-MX"/>
        </w:rPr>
        <w:t>%). Los segundos más frecuentes son los nucleares con hijos (24</w:t>
      </w:r>
      <w:r w:rsidR="00FF2563">
        <w:rPr>
          <w:rFonts w:ascii="Garamond" w:hAnsi="Garamond"/>
          <w:sz w:val="20"/>
          <w:szCs w:val="20"/>
          <w:lang w:val="es-MX"/>
        </w:rPr>
        <w:t>,1</w:t>
      </w:r>
      <w:r w:rsidRPr="00646175">
        <w:rPr>
          <w:rFonts w:ascii="Garamond" w:hAnsi="Garamond"/>
          <w:sz w:val="20"/>
          <w:szCs w:val="20"/>
          <w:lang w:val="es-MX"/>
        </w:rPr>
        <w:t>%) y le siguen los nucleares sin hijos (1</w:t>
      </w:r>
      <w:r w:rsidR="00FF2563">
        <w:rPr>
          <w:rFonts w:ascii="Garamond" w:hAnsi="Garamond"/>
          <w:sz w:val="20"/>
          <w:szCs w:val="20"/>
          <w:lang w:val="es-MX"/>
        </w:rPr>
        <w:t>5,8</w:t>
      </w:r>
      <w:r w:rsidRPr="00646175">
        <w:rPr>
          <w:rFonts w:ascii="Garamond" w:hAnsi="Garamond"/>
          <w:sz w:val="20"/>
          <w:szCs w:val="20"/>
          <w:lang w:val="es-MX"/>
        </w:rPr>
        <w:t>%). En este estrato los hogares familiares extensos son un porcentaje muy baj</w:t>
      </w:r>
      <w:r w:rsidR="00FF2563">
        <w:rPr>
          <w:rFonts w:ascii="Garamond" w:hAnsi="Garamond"/>
          <w:sz w:val="20"/>
          <w:szCs w:val="20"/>
          <w:lang w:val="es-MX"/>
        </w:rPr>
        <w:t>o</w:t>
      </w:r>
      <w:r w:rsidRPr="00646175">
        <w:rPr>
          <w:rFonts w:ascii="Garamond" w:hAnsi="Garamond"/>
          <w:sz w:val="20"/>
          <w:szCs w:val="20"/>
          <w:lang w:val="es-MX"/>
        </w:rPr>
        <w:t xml:space="preserve"> (2,</w:t>
      </w:r>
      <w:r w:rsidR="00FF2563">
        <w:rPr>
          <w:rFonts w:ascii="Garamond" w:hAnsi="Garamond"/>
          <w:sz w:val="20"/>
          <w:szCs w:val="20"/>
          <w:lang w:val="es-MX"/>
        </w:rPr>
        <w:t>2</w:t>
      </w:r>
      <w:r w:rsidRPr="00646175">
        <w:rPr>
          <w:rFonts w:ascii="Garamond" w:hAnsi="Garamond"/>
          <w:sz w:val="20"/>
          <w:szCs w:val="20"/>
          <w:lang w:val="es-MX"/>
        </w:rPr>
        <w:t xml:space="preserve">%), solo </w:t>
      </w:r>
      <w:r w:rsidRPr="00646175">
        <w:rPr>
          <w:rFonts w:ascii="Garamond" w:hAnsi="Garamond"/>
          <w:sz w:val="20"/>
          <w:szCs w:val="20"/>
          <w:lang w:val="es-MX"/>
        </w:rPr>
        <w:t>levemente superior al de los hogares no familiares sin núcleo que son el 1,4%.</w:t>
      </w:r>
    </w:p>
    <w:p w14:paraId="09CC97C0" w14:textId="22A2BE65" w:rsidR="00CE5DC4" w:rsidRDefault="00CE5DC4" w:rsidP="00CE5DC4">
      <w:pPr>
        <w:spacing w:after="0" w:line="360" w:lineRule="auto"/>
        <w:jc w:val="center"/>
        <w:rPr>
          <w:rFonts w:ascii="Garamond" w:hAnsi="Garamond"/>
          <w:b/>
          <w:sz w:val="20"/>
          <w:lang w:val="es-MX"/>
        </w:rPr>
      </w:pPr>
      <w:r>
        <w:rPr>
          <w:rFonts w:ascii="Garamond" w:hAnsi="Garamond"/>
          <w:b/>
          <w:sz w:val="20"/>
          <w:lang w:val="es-MX"/>
        </w:rPr>
        <w:t xml:space="preserve">Gráfico </w:t>
      </w:r>
      <w:r w:rsidR="004E5061">
        <w:rPr>
          <w:rFonts w:ascii="Garamond" w:hAnsi="Garamond"/>
          <w:b/>
          <w:sz w:val="20"/>
          <w:lang w:val="es-MX"/>
        </w:rPr>
        <w:t>10</w:t>
      </w:r>
      <w:r>
        <w:rPr>
          <w:rFonts w:ascii="Garamond" w:hAnsi="Garamond"/>
          <w:b/>
          <w:sz w:val="20"/>
          <w:lang w:val="es-MX"/>
        </w:rPr>
        <w:t xml:space="preserve">. </w:t>
      </w:r>
      <w:r w:rsidRPr="00822A4A">
        <w:rPr>
          <w:rFonts w:ascii="Garamond" w:hAnsi="Garamond"/>
          <w:b/>
          <w:sz w:val="20"/>
          <w:lang w:val="es-MX"/>
        </w:rPr>
        <w:t xml:space="preserve">Porcentaje de hogares </w:t>
      </w:r>
      <w:r>
        <w:rPr>
          <w:rFonts w:ascii="Garamond" w:hAnsi="Garamond"/>
          <w:b/>
          <w:sz w:val="20"/>
          <w:lang w:val="es-MX"/>
        </w:rPr>
        <w:t>por tipología familiar para el Estrato 6</w:t>
      </w:r>
    </w:p>
    <w:p w14:paraId="40A5200C" w14:textId="3745DBFB" w:rsidR="00CE5DC4" w:rsidRDefault="00FF2563" w:rsidP="00B26C8A">
      <w:pPr>
        <w:spacing w:after="0" w:line="360" w:lineRule="auto"/>
        <w:jc w:val="center"/>
        <w:rPr>
          <w:rFonts w:ascii="Garamond" w:hAnsi="Garamond"/>
          <w:b/>
          <w:sz w:val="20"/>
          <w:lang w:val="es-MX"/>
        </w:rPr>
      </w:pPr>
      <w:r>
        <w:rPr>
          <w:noProof/>
        </w:rPr>
        <w:drawing>
          <wp:inline distT="0" distB="0" distL="0" distR="0" wp14:anchorId="0E14EDE6" wp14:editId="50030FE2">
            <wp:extent cx="2581275" cy="2700000"/>
            <wp:effectExtent l="0" t="0" r="0" b="0"/>
            <wp:docPr id="36" name="Gráfico 36">
              <a:extLst xmlns:a="http://schemas.openxmlformats.org/drawingml/2006/main">
                <a:ext uri="{FF2B5EF4-FFF2-40B4-BE49-F238E27FC236}">
                  <a16:creationId xmlns:a16="http://schemas.microsoft.com/office/drawing/2014/main" id="{09E64182-A22D-3E4A-AD24-72A108F593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1943E87" w14:textId="736B4989" w:rsidR="00CE54E9" w:rsidRDefault="00CE54E9" w:rsidP="00CE54E9">
      <w:pPr>
        <w:pStyle w:val="Ttulo2"/>
        <w:jc w:val="both"/>
        <w:rPr>
          <w:lang w:val="es-MX"/>
        </w:rPr>
      </w:pPr>
      <w:r>
        <w:rPr>
          <w:lang w:val="es-MX"/>
        </w:rPr>
        <w:t>Tipología familiar por localidades</w:t>
      </w:r>
    </w:p>
    <w:p w14:paraId="6B22CB78" w14:textId="77777777" w:rsidR="00646175" w:rsidRDefault="00646175" w:rsidP="00646175">
      <w:pPr>
        <w:spacing w:after="0" w:line="360" w:lineRule="auto"/>
        <w:jc w:val="both"/>
        <w:rPr>
          <w:rFonts w:ascii="Garamond" w:hAnsi="Garamond"/>
          <w:sz w:val="20"/>
          <w:szCs w:val="20"/>
          <w:lang w:val="es-MX"/>
        </w:rPr>
      </w:pPr>
    </w:p>
    <w:p w14:paraId="21D233BF" w14:textId="21559CC9" w:rsidR="001C6D1E" w:rsidRDefault="00717FE7" w:rsidP="00646175">
      <w:pPr>
        <w:spacing w:line="360" w:lineRule="auto"/>
        <w:jc w:val="both"/>
        <w:rPr>
          <w:rFonts w:ascii="Garamond" w:hAnsi="Garamond"/>
          <w:sz w:val="20"/>
          <w:szCs w:val="20"/>
          <w:lang w:val="es-MX"/>
        </w:rPr>
      </w:pPr>
      <w:r>
        <w:rPr>
          <w:rFonts w:ascii="Garamond" w:hAnsi="Garamond"/>
          <w:sz w:val="20"/>
          <w:szCs w:val="20"/>
          <w:lang w:val="es-MX"/>
        </w:rPr>
        <w:t xml:space="preserve">Al analizar las cifras de tipología familiar de los hogares bogotanos </w:t>
      </w:r>
      <w:r w:rsidR="003D381D">
        <w:rPr>
          <w:rFonts w:ascii="Garamond" w:hAnsi="Garamond"/>
          <w:sz w:val="20"/>
          <w:szCs w:val="20"/>
          <w:lang w:val="es-MX"/>
        </w:rPr>
        <w:t>por localidad se observa que los hogares nucleares con hijos son los que se presentan con mayor frecuencia</w:t>
      </w:r>
      <w:r w:rsidR="002F014E">
        <w:rPr>
          <w:rFonts w:ascii="Garamond" w:hAnsi="Garamond"/>
          <w:sz w:val="20"/>
          <w:szCs w:val="20"/>
          <w:lang w:val="es-MX"/>
        </w:rPr>
        <w:t xml:space="preserve"> </w:t>
      </w:r>
      <w:r w:rsidR="00C41F3F">
        <w:rPr>
          <w:rFonts w:ascii="Garamond" w:hAnsi="Garamond"/>
          <w:sz w:val="20"/>
          <w:szCs w:val="20"/>
          <w:lang w:val="es-MX"/>
        </w:rPr>
        <w:t xml:space="preserve">en 17 localidades </w:t>
      </w:r>
      <w:r w:rsidR="002F014E">
        <w:rPr>
          <w:rFonts w:ascii="Garamond" w:hAnsi="Garamond"/>
          <w:sz w:val="20"/>
          <w:szCs w:val="20"/>
          <w:lang w:val="es-MX"/>
        </w:rPr>
        <w:t>(en color verde se destacan los más frecuentes por localidad, ver tabla 2) desde Bosa (4</w:t>
      </w:r>
      <w:r w:rsidR="00AD3AAF">
        <w:rPr>
          <w:rFonts w:ascii="Garamond" w:hAnsi="Garamond"/>
          <w:sz w:val="20"/>
          <w:szCs w:val="20"/>
          <w:lang w:val="es-MX"/>
        </w:rPr>
        <w:t>6,14</w:t>
      </w:r>
      <w:r w:rsidR="002F014E">
        <w:rPr>
          <w:rFonts w:ascii="Garamond" w:hAnsi="Garamond"/>
          <w:sz w:val="20"/>
          <w:szCs w:val="20"/>
          <w:lang w:val="es-MX"/>
        </w:rPr>
        <w:t>%) hasta Barrios Unidos</w:t>
      </w:r>
      <w:r w:rsidR="003D381D">
        <w:rPr>
          <w:rFonts w:ascii="Garamond" w:hAnsi="Garamond"/>
          <w:sz w:val="20"/>
          <w:szCs w:val="20"/>
          <w:lang w:val="es-MX"/>
        </w:rPr>
        <w:t xml:space="preserve"> </w:t>
      </w:r>
      <w:r w:rsidR="002F014E">
        <w:rPr>
          <w:rFonts w:ascii="Garamond" w:hAnsi="Garamond"/>
          <w:sz w:val="20"/>
          <w:szCs w:val="20"/>
          <w:lang w:val="es-MX"/>
        </w:rPr>
        <w:t>(29,</w:t>
      </w:r>
      <w:r w:rsidR="00AD3AAF">
        <w:rPr>
          <w:rFonts w:ascii="Garamond" w:hAnsi="Garamond"/>
          <w:sz w:val="20"/>
          <w:szCs w:val="20"/>
          <w:lang w:val="es-MX"/>
        </w:rPr>
        <w:t>88</w:t>
      </w:r>
      <w:r w:rsidR="002F014E">
        <w:rPr>
          <w:rFonts w:ascii="Garamond" w:hAnsi="Garamond"/>
          <w:sz w:val="20"/>
          <w:szCs w:val="20"/>
          <w:lang w:val="es-MX"/>
        </w:rPr>
        <w:t>%)</w:t>
      </w:r>
      <w:r w:rsidR="00C41F3F">
        <w:rPr>
          <w:rFonts w:ascii="Garamond" w:hAnsi="Garamond"/>
          <w:sz w:val="20"/>
          <w:szCs w:val="20"/>
          <w:lang w:val="es-MX"/>
        </w:rPr>
        <w:t>.</w:t>
      </w:r>
      <w:r w:rsidR="002F014E">
        <w:rPr>
          <w:rFonts w:ascii="Garamond" w:hAnsi="Garamond"/>
          <w:sz w:val="20"/>
          <w:szCs w:val="20"/>
          <w:lang w:val="es-MX"/>
        </w:rPr>
        <w:t xml:space="preserve"> </w:t>
      </w:r>
    </w:p>
    <w:p w14:paraId="41829506" w14:textId="061C5844" w:rsidR="00E7269A" w:rsidRDefault="00C41F3F" w:rsidP="00646175">
      <w:pPr>
        <w:spacing w:line="360" w:lineRule="auto"/>
        <w:jc w:val="both"/>
        <w:rPr>
          <w:rFonts w:ascii="Garamond" w:hAnsi="Garamond"/>
          <w:sz w:val="20"/>
          <w:szCs w:val="20"/>
          <w:lang w:val="es-MX"/>
        </w:rPr>
      </w:pPr>
      <w:r>
        <w:rPr>
          <w:rFonts w:ascii="Garamond" w:hAnsi="Garamond"/>
          <w:sz w:val="20"/>
          <w:szCs w:val="20"/>
          <w:lang w:val="es-MX"/>
        </w:rPr>
        <w:t>S</w:t>
      </w:r>
      <w:r w:rsidR="002F014E">
        <w:rPr>
          <w:rFonts w:ascii="Garamond" w:hAnsi="Garamond"/>
          <w:sz w:val="20"/>
          <w:szCs w:val="20"/>
          <w:lang w:val="es-MX"/>
        </w:rPr>
        <w:t>in embargo, en las localidades</w:t>
      </w:r>
      <w:r w:rsidR="003D381D">
        <w:rPr>
          <w:rFonts w:ascii="Garamond" w:hAnsi="Garamond"/>
          <w:sz w:val="20"/>
          <w:szCs w:val="20"/>
          <w:lang w:val="es-MX"/>
        </w:rPr>
        <w:t xml:space="preserve"> de Santa Fe</w:t>
      </w:r>
      <w:r w:rsidR="00932EF0">
        <w:rPr>
          <w:rFonts w:ascii="Garamond" w:hAnsi="Garamond"/>
          <w:sz w:val="20"/>
          <w:szCs w:val="20"/>
          <w:lang w:val="es-MX"/>
        </w:rPr>
        <w:t xml:space="preserve"> (24,</w:t>
      </w:r>
      <w:r w:rsidR="00AD3AAF">
        <w:rPr>
          <w:rFonts w:ascii="Garamond" w:hAnsi="Garamond"/>
          <w:sz w:val="20"/>
          <w:szCs w:val="20"/>
          <w:lang w:val="es-MX"/>
        </w:rPr>
        <w:t>99</w:t>
      </w:r>
      <w:r w:rsidR="00932EF0">
        <w:rPr>
          <w:rFonts w:ascii="Garamond" w:hAnsi="Garamond"/>
          <w:sz w:val="20"/>
          <w:szCs w:val="20"/>
          <w:lang w:val="es-MX"/>
        </w:rPr>
        <w:t>%), La Candelaria (2</w:t>
      </w:r>
      <w:r w:rsidR="00AD3AAF">
        <w:rPr>
          <w:rFonts w:ascii="Garamond" w:hAnsi="Garamond"/>
          <w:sz w:val="20"/>
          <w:szCs w:val="20"/>
          <w:lang w:val="es-MX"/>
        </w:rPr>
        <w:t>2,02</w:t>
      </w:r>
      <w:r w:rsidR="00932EF0">
        <w:rPr>
          <w:rFonts w:ascii="Garamond" w:hAnsi="Garamond"/>
          <w:sz w:val="20"/>
          <w:szCs w:val="20"/>
          <w:lang w:val="es-MX"/>
        </w:rPr>
        <w:t>%) y Chapinero (20,</w:t>
      </w:r>
      <w:r w:rsidR="00AD3AAF">
        <w:rPr>
          <w:rFonts w:ascii="Garamond" w:hAnsi="Garamond"/>
          <w:sz w:val="20"/>
          <w:szCs w:val="20"/>
          <w:lang w:val="es-MX"/>
        </w:rPr>
        <w:t>57</w:t>
      </w:r>
      <w:r w:rsidR="00932EF0">
        <w:rPr>
          <w:rFonts w:ascii="Garamond" w:hAnsi="Garamond"/>
          <w:sz w:val="20"/>
          <w:szCs w:val="20"/>
          <w:lang w:val="es-MX"/>
        </w:rPr>
        <w:t>%)</w:t>
      </w:r>
      <w:r w:rsidR="002F014E">
        <w:rPr>
          <w:rFonts w:ascii="Garamond" w:hAnsi="Garamond"/>
          <w:sz w:val="20"/>
          <w:szCs w:val="20"/>
          <w:lang w:val="es-MX"/>
        </w:rPr>
        <w:t xml:space="preserve"> los porcentajes de hogares nucleares con hijos son superados por los porcentajes de los hogares</w:t>
      </w:r>
      <w:r w:rsidR="00932EF0">
        <w:rPr>
          <w:rFonts w:ascii="Garamond" w:hAnsi="Garamond"/>
          <w:sz w:val="20"/>
          <w:szCs w:val="20"/>
          <w:lang w:val="es-MX"/>
        </w:rPr>
        <w:t xml:space="preserve"> Unipersonales </w:t>
      </w:r>
      <w:r w:rsidR="002F014E">
        <w:rPr>
          <w:rFonts w:ascii="Garamond" w:hAnsi="Garamond"/>
          <w:sz w:val="20"/>
          <w:szCs w:val="20"/>
          <w:lang w:val="es-MX"/>
        </w:rPr>
        <w:t>que son</w:t>
      </w:r>
      <w:r w:rsidR="00932EF0">
        <w:rPr>
          <w:rFonts w:ascii="Garamond" w:hAnsi="Garamond"/>
          <w:sz w:val="20"/>
          <w:szCs w:val="20"/>
          <w:lang w:val="es-MX"/>
        </w:rPr>
        <w:t xml:space="preserve"> </w:t>
      </w:r>
      <w:r w:rsidR="00E7269A">
        <w:rPr>
          <w:rFonts w:ascii="Garamond" w:hAnsi="Garamond"/>
          <w:sz w:val="20"/>
          <w:szCs w:val="20"/>
          <w:lang w:val="es-MX"/>
        </w:rPr>
        <w:t>32,72%, 39,58% y 41,62%, respectivamente.</w:t>
      </w:r>
    </w:p>
    <w:p w14:paraId="156D91F3" w14:textId="509B7BEC" w:rsidR="002A51B4" w:rsidRDefault="002F014E" w:rsidP="00646175">
      <w:pPr>
        <w:spacing w:line="360" w:lineRule="auto"/>
        <w:jc w:val="both"/>
        <w:rPr>
          <w:rFonts w:ascii="Garamond" w:hAnsi="Garamond"/>
          <w:sz w:val="20"/>
          <w:szCs w:val="20"/>
          <w:lang w:val="es-MX"/>
        </w:rPr>
      </w:pPr>
      <w:r>
        <w:rPr>
          <w:rFonts w:ascii="Garamond" w:hAnsi="Garamond"/>
          <w:sz w:val="20"/>
          <w:szCs w:val="20"/>
          <w:lang w:val="es-MX"/>
        </w:rPr>
        <w:t>Los hogares Unipersonales son los segundos de mayor frecuencia</w:t>
      </w:r>
      <w:r w:rsidR="002A51B4">
        <w:rPr>
          <w:rFonts w:ascii="Garamond" w:hAnsi="Garamond"/>
          <w:sz w:val="20"/>
          <w:szCs w:val="20"/>
          <w:lang w:val="es-MX"/>
        </w:rPr>
        <w:t xml:space="preserve"> en 8 localidades</w:t>
      </w:r>
      <w:r>
        <w:rPr>
          <w:rFonts w:ascii="Garamond" w:hAnsi="Garamond"/>
          <w:sz w:val="20"/>
          <w:szCs w:val="20"/>
          <w:lang w:val="es-MX"/>
        </w:rPr>
        <w:t xml:space="preserve"> (</w:t>
      </w:r>
      <w:r w:rsidR="00C41F3F">
        <w:rPr>
          <w:rFonts w:ascii="Garamond" w:hAnsi="Garamond"/>
          <w:sz w:val="20"/>
          <w:szCs w:val="20"/>
          <w:lang w:val="es-MX"/>
        </w:rPr>
        <w:t xml:space="preserve">en color naranja se destacan los segundos más frecuentes en cada localidad): Teusaquillo (28,48%), Usaquén (25,83%), </w:t>
      </w:r>
      <w:r w:rsidR="00C41F3F">
        <w:rPr>
          <w:rFonts w:ascii="Garamond" w:hAnsi="Garamond"/>
          <w:sz w:val="20"/>
          <w:szCs w:val="20"/>
          <w:lang w:val="es-MX"/>
        </w:rPr>
        <w:lastRenderedPageBreak/>
        <w:t xml:space="preserve">Los Mártires (22,65%), Barrios Unidos (21,39%),  Suba (18,83%), Tunjuelito (17,81%), Fontibón (16,13%) y Puente Aranda (16,09%). </w:t>
      </w:r>
    </w:p>
    <w:p w14:paraId="27D887BD" w14:textId="41E955FC" w:rsidR="00DE0903" w:rsidRDefault="00C41F3F" w:rsidP="00646175">
      <w:pPr>
        <w:spacing w:line="360" w:lineRule="auto"/>
        <w:jc w:val="both"/>
        <w:rPr>
          <w:rFonts w:ascii="Garamond" w:hAnsi="Garamond"/>
          <w:sz w:val="20"/>
          <w:szCs w:val="20"/>
          <w:lang w:val="es-MX"/>
        </w:rPr>
      </w:pPr>
      <w:r>
        <w:rPr>
          <w:rFonts w:ascii="Garamond" w:hAnsi="Garamond"/>
          <w:sz w:val="20"/>
          <w:szCs w:val="20"/>
          <w:lang w:val="es-MX"/>
        </w:rPr>
        <w:t>Mientras que para las localidades de Bosa</w:t>
      </w:r>
      <w:r w:rsidR="002A51B4">
        <w:rPr>
          <w:rFonts w:ascii="Garamond" w:hAnsi="Garamond"/>
          <w:sz w:val="20"/>
          <w:szCs w:val="20"/>
          <w:lang w:val="es-MX"/>
        </w:rPr>
        <w:t xml:space="preserve"> (16,</w:t>
      </w:r>
      <w:r w:rsidR="00AD3AAF">
        <w:rPr>
          <w:rFonts w:ascii="Garamond" w:hAnsi="Garamond"/>
          <w:sz w:val="20"/>
          <w:szCs w:val="20"/>
          <w:lang w:val="es-MX"/>
        </w:rPr>
        <w:t>71</w:t>
      </w:r>
      <w:r w:rsidR="002A51B4">
        <w:rPr>
          <w:rFonts w:ascii="Garamond" w:hAnsi="Garamond"/>
          <w:sz w:val="20"/>
          <w:szCs w:val="20"/>
          <w:lang w:val="es-MX"/>
        </w:rPr>
        <w:t>%)</w:t>
      </w:r>
      <w:r>
        <w:rPr>
          <w:rFonts w:ascii="Garamond" w:hAnsi="Garamond"/>
          <w:sz w:val="20"/>
          <w:szCs w:val="20"/>
          <w:lang w:val="es-MX"/>
        </w:rPr>
        <w:t>, Usme</w:t>
      </w:r>
      <w:r w:rsidR="002A51B4">
        <w:rPr>
          <w:rFonts w:ascii="Garamond" w:hAnsi="Garamond"/>
          <w:sz w:val="20"/>
          <w:szCs w:val="20"/>
          <w:lang w:val="es-MX"/>
        </w:rPr>
        <w:t xml:space="preserve"> (1</w:t>
      </w:r>
      <w:r w:rsidR="00AD3AAF">
        <w:rPr>
          <w:rFonts w:ascii="Garamond" w:hAnsi="Garamond"/>
          <w:sz w:val="20"/>
          <w:szCs w:val="20"/>
          <w:lang w:val="es-MX"/>
        </w:rPr>
        <w:t>7,88</w:t>
      </w:r>
      <w:r w:rsidR="002A51B4">
        <w:rPr>
          <w:rFonts w:ascii="Garamond" w:hAnsi="Garamond"/>
          <w:sz w:val="20"/>
          <w:szCs w:val="20"/>
          <w:lang w:val="es-MX"/>
        </w:rPr>
        <w:t>%)</w:t>
      </w:r>
      <w:r>
        <w:rPr>
          <w:rFonts w:ascii="Garamond" w:hAnsi="Garamond"/>
          <w:sz w:val="20"/>
          <w:szCs w:val="20"/>
          <w:lang w:val="es-MX"/>
        </w:rPr>
        <w:t>, Sumapaz</w:t>
      </w:r>
      <w:r w:rsidR="002A51B4">
        <w:rPr>
          <w:rFonts w:ascii="Garamond" w:hAnsi="Garamond"/>
          <w:sz w:val="20"/>
          <w:szCs w:val="20"/>
          <w:lang w:val="es-MX"/>
        </w:rPr>
        <w:t xml:space="preserve"> (17,20%)</w:t>
      </w:r>
      <w:r>
        <w:rPr>
          <w:rFonts w:ascii="Garamond" w:hAnsi="Garamond"/>
          <w:sz w:val="20"/>
          <w:szCs w:val="20"/>
          <w:lang w:val="es-MX"/>
        </w:rPr>
        <w:t xml:space="preserve">, </w:t>
      </w:r>
      <w:r w:rsidR="003A3832">
        <w:rPr>
          <w:rFonts w:ascii="Garamond" w:hAnsi="Garamond"/>
          <w:sz w:val="20"/>
          <w:szCs w:val="20"/>
          <w:lang w:val="es-MX"/>
        </w:rPr>
        <w:t>Ciudad Bolívar</w:t>
      </w:r>
      <w:r w:rsidR="002A51B4">
        <w:rPr>
          <w:rFonts w:ascii="Garamond" w:hAnsi="Garamond"/>
          <w:sz w:val="20"/>
          <w:szCs w:val="20"/>
          <w:lang w:val="es-MX"/>
        </w:rPr>
        <w:t xml:space="preserve"> (1</w:t>
      </w:r>
      <w:r w:rsidR="00AD3AAF">
        <w:rPr>
          <w:rFonts w:ascii="Garamond" w:hAnsi="Garamond"/>
          <w:sz w:val="20"/>
          <w:szCs w:val="20"/>
          <w:lang w:val="es-MX"/>
        </w:rPr>
        <w:t>4,93</w:t>
      </w:r>
      <w:r w:rsidR="002A51B4">
        <w:rPr>
          <w:rFonts w:ascii="Garamond" w:hAnsi="Garamond"/>
          <w:sz w:val="20"/>
          <w:szCs w:val="20"/>
          <w:lang w:val="es-MX"/>
        </w:rPr>
        <w:t>%)</w:t>
      </w:r>
      <w:r w:rsidR="003A3832">
        <w:rPr>
          <w:rFonts w:ascii="Garamond" w:hAnsi="Garamond"/>
          <w:sz w:val="20"/>
          <w:szCs w:val="20"/>
          <w:lang w:val="es-MX"/>
        </w:rPr>
        <w:t>, San Cristóbal</w:t>
      </w:r>
      <w:r w:rsidR="002A51B4">
        <w:rPr>
          <w:rFonts w:ascii="Garamond" w:hAnsi="Garamond"/>
          <w:sz w:val="20"/>
          <w:szCs w:val="20"/>
          <w:lang w:val="es-MX"/>
        </w:rPr>
        <w:t xml:space="preserve"> (16,</w:t>
      </w:r>
      <w:r w:rsidR="00AD3AAF">
        <w:rPr>
          <w:rFonts w:ascii="Garamond" w:hAnsi="Garamond"/>
          <w:sz w:val="20"/>
          <w:szCs w:val="20"/>
          <w:lang w:val="es-MX"/>
        </w:rPr>
        <w:t>03</w:t>
      </w:r>
      <w:r w:rsidR="002A51B4">
        <w:rPr>
          <w:rFonts w:ascii="Garamond" w:hAnsi="Garamond"/>
          <w:sz w:val="20"/>
          <w:szCs w:val="20"/>
          <w:lang w:val="es-MX"/>
        </w:rPr>
        <w:t>%)</w:t>
      </w:r>
      <w:r w:rsidR="003A3832">
        <w:rPr>
          <w:rFonts w:ascii="Garamond" w:hAnsi="Garamond"/>
          <w:sz w:val="20"/>
          <w:szCs w:val="20"/>
          <w:lang w:val="es-MX"/>
        </w:rPr>
        <w:t>, Kennedy</w:t>
      </w:r>
      <w:r w:rsidR="002A51B4">
        <w:rPr>
          <w:rFonts w:ascii="Garamond" w:hAnsi="Garamond"/>
          <w:sz w:val="20"/>
          <w:szCs w:val="20"/>
          <w:lang w:val="es-MX"/>
        </w:rPr>
        <w:t xml:space="preserve"> (1</w:t>
      </w:r>
      <w:r w:rsidR="00AD3AAF">
        <w:rPr>
          <w:rFonts w:ascii="Garamond" w:hAnsi="Garamond"/>
          <w:sz w:val="20"/>
          <w:szCs w:val="20"/>
          <w:lang w:val="es-MX"/>
        </w:rPr>
        <w:t>5</w:t>
      </w:r>
      <w:r w:rsidR="002A51B4">
        <w:rPr>
          <w:rFonts w:ascii="Garamond" w:hAnsi="Garamond"/>
          <w:sz w:val="20"/>
          <w:szCs w:val="20"/>
          <w:lang w:val="es-MX"/>
        </w:rPr>
        <w:t>,</w:t>
      </w:r>
      <w:r w:rsidR="00AD3AAF">
        <w:rPr>
          <w:rFonts w:ascii="Garamond" w:hAnsi="Garamond"/>
          <w:sz w:val="20"/>
          <w:szCs w:val="20"/>
          <w:lang w:val="es-MX"/>
        </w:rPr>
        <w:t>81</w:t>
      </w:r>
      <w:r w:rsidR="002A51B4">
        <w:rPr>
          <w:rFonts w:ascii="Garamond" w:hAnsi="Garamond"/>
          <w:sz w:val="20"/>
          <w:szCs w:val="20"/>
          <w:lang w:val="es-MX"/>
        </w:rPr>
        <w:t>%)</w:t>
      </w:r>
      <w:r w:rsidR="003A3832">
        <w:rPr>
          <w:rFonts w:ascii="Garamond" w:hAnsi="Garamond"/>
          <w:sz w:val="20"/>
          <w:szCs w:val="20"/>
          <w:lang w:val="es-MX"/>
        </w:rPr>
        <w:t>, Engativá</w:t>
      </w:r>
      <w:r w:rsidR="002A51B4">
        <w:rPr>
          <w:rFonts w:ascii="Garamond" w:hAnsi="Garamond"/>
          <w:sz w:val="20"/>
          <w:szCs w:val="20"/>
          <w:lang w:val="es-MX"/>
        </w:rPr>
        <w:t xml:space="preserve"> (16,</w:t>
      </w:r>
      <w:r w:rsidR="00AD3AAF">
        <w:rPr>
          <w:rFonts w:ascii="Garamond" w:hAnsi="Garamond"/>
          <w:sz w:val="20"/>
          <w:szCs w:val="20"/>
          <w:lang w:val="es-MX"/>
        </w:rPr>
        <w:t>53</w:t>
      </w:r>
      <w:r w:rsidR="002A51B4">
        <w:rPr>
          <w:rFonts w:ascii="Garamond" w:hAnsi="Garamond"/>
          <w:sz w:val="20"/>
          <w:szCs w:val="20"/>
          <w:lang w:val="es-MX"/>
        </w:rPr>
        <w:t>%)</w:t>
      </w:r>
      <w:r w:rsidR="003A3832">
        <w:rPr>
          <w:rFonts w:ascii="Garamond" w:hAnsi="Garamond"/>
          <w:sz w:val="20"/>
          <w:szCs w:val="20"/>
          <w:lang w:val="es-MX"/>
        </w:rPr>
        <w:t xml:space="preserve"> y Antonio Nariño</w:t>
      </w:r>
      <w:r w:rsidR="002A51B4">
        <w:rPr>
          <w:rFonts w:ascii="Garamond" w:hAnsi="Garamond"/>
          <w:sz w:val="20"/>
          <w:szCs w:val="20"/>
          <w:lang w:val="es-MX"/>
        </w:rPr>
        <w:t xml:space="preserve"> (17,</w:t>
      </w:r>
      <w:r w:rsidR="00AD3AAF">
        <w:rPr>
          <w:rFonts w:ascii="Garamond" w:hAnsi="Garamond"/>
          <w:sz w:val="20"/>
          <w:szCs w:val="20"/>
          <w:lang w:val="es-MX"/>
        </w:rPr>
        <w:t>26</w:t>
      </w:r>
      <w:r w:rsidR="002A51B4">
        <w:rPr>
          <w:rFonts w:ascii="Garamond" w:hAnsi="Garamond"/>
          <w:sz w:val="20"/>
          <w:szCs w:val="20"/>
          <w:lang w:val="es-MX"/>
        </w:rPr>
        <w:t>%)</w:t>
      </w:r>
      <w:r w:rsidR="003A3832">
        <w:rPr>
          <w:rFonts w:ascii="Garamond" w:hAnsi="Garamond"/>
          <w:sz w:val="20"/>
          <w:szCs w:val="20"/>
          <w:lang w:val="es-MX"/>
        </w:rPr>
        <w:t xml:space="preserve"> los hogares familiares extensos son los segundos más frecuentes.</w:t>
      </w:r>
      <w:r w:rsidR="003A3832">
        <w:rPr>
          <w:rFonts w:ascii="Garamond" w:hAnsi="Garamond"/>
          <w:sz w:val="20"/>
          <w:szCs w:val="20"/>
          <w:lang w:val="es-MX"/>
        </w:rPr>
        <w:tab/>
      </w:r>
    </w:p>
    <w:p w14:paraId="724D068D" w14:textId="145E2B4D" w:rsidR="00DE0903" w:rsidRDefault="00DE0903" w:rsidP="00646175">
      <w:pPr>
        <w:spacing w:line="360" w:lineRule="auto"/>
        <w:jc w:val="both"/>
        <w:rPr>
          <w:rFonts w:ascii="Garamond" w:hAnsi="Garamond"/>
          <w:sz w:val="20"/>
          <w:szCs w:val="20"/>
          <w:lang w:val="es-MX"/>
        </w:rPr>
      </w:pPr>
      <w:r>
        <w:rPr>
          <w:rFonts w:ascii="Garamond" w:hAnsi="Garamond"/>
          <w:sz w:val="20"/>
          <w:szCs w:val="20"/>
          <w:lang w:val="es-MX"/>
        </w:rPr>
        <w:t>Para el caso específico de la localidad de Rafael Uribe Uribe, los hogares nucleares monoparentales con hijos son los segundos más frecuentes, y representan el 16,09% de los hogares, luego de los hogares familiares nucleares con hijos que son el 40,</w:t>
      </w:r>
      <w:r w:rsidR="00AD3AAF">
        <w:rPr>
          <w:rFonts w:ascii="Garamond" w:hAnsi="Garamond"/>
          <w:sz w:val="20"/>
          <w:szCs w:val="20"/>
          <w:lang w:val="es-MX"/>
        </w:rPr>
        <w:t>34</w:t>
      </w:r>
      <w:r>
        <w:rPr>
          <w:rFonts w:ascii="Garamond" w:hAnsi="Garamond"/>
          <w:sz w:val="20"/>
          <w:szCs w:val="20"/>
          <w:lang w:val="es-MX"/>
        </w:rPr>
        <w:t>%.</w:t>
      </w:r>
    </w:p>
    <w:p w14:paraId="14C2D9AC" w14:textId="05D7725A" w:rsidR="001A03FC" w:rsidRDefault="00DE0903" w:rsidP="00646175">
      <w:pPr>
        <w:spacing w:line="360" w:lineRule="auto"/>
        <w:jc w:val="both"/>
        <w:rPr>
          <w:rFonts w:ascii="Garamond" w:hAnsi="Garamond"/>
          <w:sz w:val="20"/>
          <w:szCs w:val="20"/>
          <w:lang w:val="es-MX"/>
        </w:rPr>
      </w:pPr>
      <w:r>
        <w:rPr>
          <w:rFonts w:ascii="Garamond" w:hAnsi="Garamond"/>
          <w:sz w:val="20"/>
          <w:szCs w:val="20"/>
          <w:lang w:val="es-MX"/>
        </w:rPr>
        <w:t xml:space="preserve">Los hogares nucleares monoparentales con hijos son los terceros más frecuentes en 10 localidades (en color amarillo están marcados los terceros más frecuentes para cada localidad): </w:t>
      </w:r>
      <w:r w:rsidR="00E94E3B">
        <w:rPr>
          <w:rFonts w:ascii="Garamond" w:hAnsi="Garamond"/>
          <w:sz w:val="20"/>
          <w:szCs w:val="20"/>
          <w:lang w:val="es-MX"/>
        </w:rPr>
        <w:t>Bosa, Usme, Ciudad Bolívar, San Cristóbal, Kennedy, Suba, Antonio Nariño, Tunjuelito, Los Mártires y La Candelaria; y representan entre el 12,58% y el 16,55% de los hogares en estas localidades.</w:t>
      </w:r>
    </w:p>
    <w:p w14:paraId="3B3D5329" w14:textId="354A88A4" w:rsidR="00EF04D7" w:rsidRDefault="00DE5160" w:rsidP="00646175">
      <w:pPr>
        <w:spacing w:line="360" w:lineRule="auto"/>
        <w:jc w:val="both"/>
        <w:rPr>
          <w:rFonts w:ascii="Garamond" w:hAnsi="Garamond"/>
          <w:sz w:val="20"/>
          <w:szCs w:val="20"/>
          <w:lang w:val="es-MX"/>
        </w:rPr>
      </w:pPr>
      <w:r>
        <w:rPr>
          <w:rFonts w:ascii="Garamond" w:hAnsi="Garamond"/>
          <w:sz w:val="20"/>
          <w:szCs w:val="20"/>
          <w:lang w:val="es-MX"/>
        </w:rPr>
        <w:t>En contraste,</w:t>
      </w:r>
      <w:r w:rsidR="001A03FC">
        <w:rPr>
          <w:rFonts w:ascii="Garamond" w:hAnsi="Garamond"/>
          <w:sz w:val="20"/>
          <w:szCs w:val="20"/>
          <w:lang w:val="es-MX"/>
        </w:rPr>
        <w:t xml:space="preserve"> los hogares familiares compuestos y los hogares </w:t>
      </w:r>
      <w:r>
        <w:rPr>
          <w:rFonts w:ascii="Garamond" w:hAnsi="Garamond"/>
          <w:sz w:val="20"/>
          <w:szCs w:val="20"/>
          <w:lang w:val="es-MX"/>
        </w:rPr>
        <w:t>N</w:t>
      </w:r>
      <w:r w:rsidR="001A03FC">
        <w:rPr>
          <w:rFonts w:ascii="Garamond" w:hAnsi="Garamond"/>
          <w:sz w:val="20"/>
          <w:szCs w:val="20"/>
          <w:lang w:val="es-MX"/>
        </w:rPr>
        <w:t xml:space="preserve">o familiares sin núcleo son los menos frecuentes en las localidades (marcados en gris claro los segundos menos frecuentes y en rosado los menos frecuentes). </w:t>
      </w:r>
      <w:r>
        <w:rPr>
          <w:rFonts w:ascii="Garamond" w:hAnsi="Garamond"/>
          <w:sz w:val="20"/>
          <w:szCs w:val="20"/>
          <w:lang w:val="es-MX"/>
        </w:rPr>
        <w:t>Puntualmente,</w:t>
      </w:r>
      <w:r w:rsidR="001A03FC">
        <w:rPr>
          <w:rFonts w:ascii="Garamond" w:hAnsi="Garamond"/>
          <w:sz w:val="20"/>
          <w:szCs w:val="20"/>
          <w:lang w:val="es-MX"/>
        </w:rPr>
        <w:t xml:space="preserve"> los hogares no familiares sin núcleo son los menos frecuentes en 15 localidades con porcentajes de 0,34% en Rafael Uribe Uribe hasta 2,14% en Chapinero. Mientras que los hogares familiares compuestos representan el 2,19% de los hogares en Antonio Nariño hasta el 0,39% en Tunjuelito.</w:t>
      </w:r>
    </w:p>
    <w:p w14:paraId="1D2AF42A" w14:textId="77777777" w:rsidR="00E7269A" w:rsidRDefault="00E7269A" w:rsidP="003D381D">
      <w:pPr>
        <w:spacing w:after="0" w:line="360" w:lineRule="auto"/>
        <w:jc w:val="both"/>
        <w:rPr>
          <w:rFonts w:ascii="Garamond" w:hAnsi="Garamond"/>
          <w:sz w:val="20"/>
          <w:szCs w:val="20"/>
          <w:lang w:val="es-MX"/>
        </w:rPr>
      </w:pPr>
    </w:p>
    <w:p w14:paraId="0C56E166" w14:textId="4C6A1816" w:rsidR="00E7269A" w:rsidRPr="003D381D" w:rsidRDefault="00E7269A" w:rsidP="003D381D">
      <w:pPr>
        <w:spacing w:after="0" w:line="360" w:lineRule="auto"/>
        <w:jc w:val="both"/>
        <w:rPr>
          <w:rFonts w:ascii="Garamond" w:hAnsi="Garamond"/>
          <w:sz w:val="20"/>
          <w:szCs w:val="20"/>
          <w:lang w:val="es-MX"/>
        </w:rPr>
        <w:sectPr w:rsidR="00E7269A" w:rsidRPr="003D381D" w:rsidSect="00890DCF">
          <w:pgSz w:w="12240" w:h="15840"/>
          <w:pgMar w:top="1417" w:right="1701" w:bottom="1417" w:left="1701" w:header="708" w:footer="708" w:gutter="0"/>
          <w:pgNumType w:start="0"/>
          <w:cols w:num="2" w:space="708"/>
          <w:titlePg/>
          <w:docGrid w:linePitch="360"/>
        </w:sectPr>
      </w:pPr>
    </w:p>
    <w:p w14:paraId="2B8FCA0B" w14:textId="77777777" w:rsidR="00AC2ED3" w:rsidRDefault="00AC2ED3" w:rsidP="00862E91">
      <w:pPr>
        <w:spacing w:after="0" w:line="360" w:lineRule="auto"/>
        <w:jc w:val="center"/>
        <w:rPr>
          <w:rFonts w:ascii="Garamond" w:hAnsi="Garamond"/>
          <w:b/>
          <w:sz w:val="20"/>
          <w:lang w:val="es-MX"/>
        </w:rPr>
      </w:pPr>
      <w:r>
        <w:rPr>
          <w:rFonts w:ascii="Garamond" w:hAnsi="Garamond"/>
          <w:b/>
          <w:sz w:val="20"/>
          <w:lang w:val="es-MX"/>
        </w:rPr>
        <w:lastRenderedPageBreak/>
        <w:t>Tabla 2. Porcentajes de hogares por tipología familar por localidad</w:t>
      </w:r>
    </w:p>
    <w:tbl>
      <w:tblPr>
        <w:tblW w:w="12753" w:type="dxa"/>
        <w:tblCellMar>
          <w:left w:w="70" w:type="dxa"/>
          <w:right w:w="70" w:type="dxa"/>
        </w:tblCellMar>
        <w:tblLook w:val="04A0" w:firstRow="1" w:lastRow="0" w:firstColumn="1" w:lastColumn="0" w:noHBand="0" w:noVBand="1"/>
      </w:tblPr>
      <w:tblGrid>
        <w:gridCol w:w="1696"/>
        <w:gridCol w:w="1276"/>
        <w:gridCol w:w="1418"/>
        <w:gridCol w:w="1417"/>
        <w:gridCol w:w="1418"/>
        <w:gridCol w:w="1275"/>
        <w:gridCol w:w="1418"/>
        <w:gridCol w:w="1417"/>
        <w:gridCol w:w="1418"/>
      </w:tblGrid>
      <w:tr w:rsidR="002F014E" w:rsidRPr="00AC2ED3" w14:paraId="53A62DC0" w14:textId="77777777" w:rsidTr="002F014E">
        <w:trPr>
          <w:trHeight w:val="1019"/>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758C1" w14:textId="4127ACC9" w:rsidR="00AC2ED3" w:rsidRPr="00AC2ED3" w:rsidRDefault="00AC2ED3" w:rsidP="00AC2ED3">
            <w:pPr>
              <w:spacing w:after="0" w:line="240" w:lineRule="auto"/>
              <w:jc w:val="center"/>
              <w:rPr>
                <w:rFonts w:ascii="Garamond" w:eastAsia="Times New Roman" w:hAnsi="Garamond" w:cs="Calibri"/>
                <w:color w:val="000000"/>
                <w:sz w:val="18"/>
                <w:szCs w:val="16"/>
                <w:lang w:eastAsia="es-ES_tradnl"/>
              </w:rPr>
            </w:pPr>
            <w:r w:rsidRPr="00AC2ED3">
              <w:rPr>
                <w:rFonts w:ascii="Garamond" w:eastAsia="Times New Roman" w:hAnsi="Garamond" w:cs="Calibri"/>
                <w:color w:val="000000"/>
                <w:sz w:val="18"/>
                <w:szCs w:val="16"/>
                <w:lang w:eastAsia="es-ES_tradnl"/>
              </w:rPr>
              <w:t>L</w:t>
            </w:r>
            <w:r>
              <w:rPr>
                <w:rFonts w:ascii="Garamond" w:eastAsia="Times New Roman" w:hAnsi="Garamond" w:cs="Calibri"/>
                <w:color w:val="000000"/>
                <w:sz w:val="18"/>
                <w:szCs w:val="16"/>
                <w:lang w:eastAsia="es-ES_tradnl"/>
              </w:rPr>
              <w:t>ocalidades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AE4DDE0" w14:textId="77777777" w:rsidR="00AC2ED3" w:rsidRPr="00AC2ED3" w:rsidRDefault="00AC2ED3" w:rsidP="00AC2ED3">
            <w:pPr>
              <w:spacing w:after="0" w:line="240" w:lineRule="auto"/>
              <w:jc w:val="center"/>
              <w:rPr>
                <w:rFonts w:ascii="Garamond" w:eastAsia="Times New Roman" w:hAnsi="Garamond" w:cs="Calibri"/>
                <w:color w:val="000000"/>
                <w:sz w:val="18"/>
                <w:szCs w:val="16"/>
                <w:lang w:eastAsia="es-ES_tradnl"/>
              </w:rPr>
            </w:pPr>
            <w:r w:rsidRPr="00AC2ED3">
              <w:rPr>
                <w:rFonts w:ascii="Garamond" w:eastAsia="Times New Roman" w:hAnsi="Garamond" w:cs="Calibri"/>
                <w:color w:val="000000"/>
                <w:sz w:val="18"/>
                <w:szCs w:val="16"/>
                <w:lang w:eastAsia="es-ES_tradnl"/>
              </w:rPr>
              <w:t xml:space="preserve"> Nuclear con hijos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920944C" w14:textId="77777777" w:rsidR="00AC2ED3" w:rsidRPr="00AC2ED3" w:rsidRDefault="00AC2ED3" w:rsidP="00AC2ED3">
            <w:pPr>
              <w:spacing w:after="0" w:line="240" w:lineRule="auto"/>
              <w:jc w:val="center"/>
              <w:rPr>
                <w:rFonts w:ascii="Garamond" w:eastAsia="Times New Roman" w:hAnsi="Garamond" w:cs="Calibri"/>
                <w:color w:val="000000"/>
                <w:sz w:val="18"/>
                <w:szCs w:val="16"/>
                <w:lang w:eastAsia="es-ES_tradnl"/>
              </w:rPr>
            </w:pPr>
            <w:r w:rsidRPr="00AC2ED3">
              <w:rPr>
                <w:rFonts w:ascii="Garamond" w:eastAsia="Times New Roman" w:hAnsi="Garamond" w:cs="Calibri"/>
                <w:color w:val="000000"/>
                <w:sz w:val="18"/>
                <w:szCs w:val="16"/>
                <w:lang w:eastAsia="es-ES_tradnl"/>
              </w:rPr>
              <w:t xml:space="preserve"> Hogar unipersonal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1E5EABE" w14:textId="77777777" w:rsidR="00AC2ED3" w:rsidRPr="00AC2ED3" w:rsidRDefault="00AC2ED3" w:rsidP="00AC2ED3">
            <w:pPr>
              <w:spacing w:after="0" w:line="240" w:lineRule="auto"/>
              <w:jc w:val="center"/>
              <w:rPr>
                <w:rFonts w:ascii="Garamond" w:eastAsia="Times New Roman" w:hAnsi="Garamond" w:cs="Calibri"/>
                <w:color w:val="000000"/>
                <w:sz w:val="18"/>
                <w:szCs w:val="16"/>
                <w:lang w:eastAsia="es-ES_tradnl"/>
              </w:rPr>
            </w:pPr>
            <w:r w:rsidRPr="00AC2ED3">
              <w:rPr>
                <w:rFonts w:ascii="Garamond" w:eastAsia="Times New Roman" w:hAnsi="Garamond" w:cs="Calibri"/>
                <w:color w:val="000000"/>
                <w:sz w:val="18"/>
                <w:szCs w:val="16"/>
                <w:lang w:eastAsia="es-ES_tradnl"/>
              </w:rPr>
              <w:t xml:space="preserve"> Hogar familiar extenso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C6B71A2" w14:textId="77777777" w:rsidR="00AC2ED3" w:rsidRPr="00AC2ED3" w:rsidRDefault="00AC2ED3" w:rsidP="00AC2ED3">
            <w:pPr>
              <w:spacing w:after="0" w:line="240" w:lineRule="auto"/>
              <w:jc w:val="center"/>
              <w:rPr>
                <w:rFonts w:ascii="Garamond" w:eastAsia="Times New Roman" w:hAnsi="Garamond" w:cs="Calibri"/>
                <w:color w:val="000000"/>
                <w:sz w:val="18"/>
                <w:szCs w:val="16"/>
                <w:lang w:eastAsia="es-ES_tradnl"/>
              </w:rPr>
            </w:pPr>
            <w:r w:rsidRPr="00AC2ED3">
              <w:rPr>
                <w:rFonts w:ascii="Garamond" w:eastAsia="Times New Roman" w:hAnsi="Garamond" w:cs="Calibri"/>
                <w:color w:val="000000"/>
                <w:sz w:val="18"/>
                <w:szCs w:val="16"/>
                <w:lang w:eastAsia="es-ES_tradnl"/>
              </w:rPr>
              <w:t xml:space="preserve"> Nuclear monoparental con hijos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0F3424C" w14:textId="77777777" w:rsidR="00AC2ED3" w:rsidRPr="00AC2ED3" w:rsidRDefault="00AC2ED3" w:rsidP="00AC2ED3">
            <w:pPr>
              <w:spacing w:after="0" w:line="240" w:lineRule="auto"/>
              <w:jc w:val="center"/>
              <w:rPr>
                <w:rFonts w:ascii="Garamond" w:eastAsia="Times New Roman" w:hAnsi="Garamond" w:cs="Calibri"/>
                <w:color w:val="000000"/>
                <w:sz w:val="18"/>
                <w:szCs w:val="16"/>
                <w:lang w:eastAsia="es-ES_tradnl"/>
              </w:rPr>
            </w:pPr>
            <w:r w:rsidRPr="00AC2ED3">
              <w:rPr>
                <w:rFonts w:ascii="Garamond" w:eastAsia="Times New Roman" w:hAnsi="Garamond" w:cs="Calibri"/>
                <w:color w:val="000000"/>
                <w:sz w:val="18"/>
                <w:szCs w:val="16"/>
                <w:lang w:eastAsia="es-ES_tradnl"/>
              </w:rPr>
              <w:t xml:space="preserve"> Nuclear sin hijos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F432D69" w14:textId="77777777" w:rsidR="00AC2ED3" w:rsidRPr="00AC2ED3" w:rsidRDefault="00AC2ED3" w:rsidP="00AC2ED3">
            <w:pPr>
              <w:spacing w:after="0" w:line="240" w:lineRule="auto"/>
              <w:jc w:val="center"/>
              <w:rPr>
                <w:rFonts w:ascii="Garamond" w:eastAsia="Times New Roman" w:hAnsi="Garamond" w:cs="Calibri"/>
                <w:color w:val="000000"/>
                <w:sz w:val="18"/>
                <w:szCs w:val="16"/>
                <w:lang w:eastAsia="es-ES_tradnl"/>
              </w:rPr>
            </w:pPr>
            <w:r w:rsidRPr="00AC2ED3">
              <w:rPr>
                <w:rFonts w:ascii="Garamond" w:eastAsia="Times New Roman" w:hAnsi="Garamond" w:cs="Calibri"/>
                <w:color w:val="000000"/>
                <w:sz w:val="18"/>
                <w:szCs w:val="16"/>
                <w:lang w:eastAsia="es-ES_tradnl"/>
              </w:rPr>
              <w:t xml:space="preserve"> Hogar familiar sin núcleo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F31D9C7" w14:textId="77777777" w:rsidR="00AC2ED3" w:rsidRPr="00AC2ED3" w:rsidRDefault="00AC2ED3" w:rsidP="00AC2ED3">
            <w:pPr>
              <w:spacing w:after="0" w:line="240" w:lineRule="auto"/>
              <w:jc w:val="center"/>
              <w:rPr>
                <w:rFonts w:ascii="Garamond" w:eastAsia="Times New Roman" w:hAnsi="Garamond" w:cs="Calibri"/>
                <w:color w:val="000000"/>
                <w:sz w:val="18"/>
                <w:szCs w:val="16"/>
                <w:lang w:eastAsia="es-ES_tradnl"/>
              </w:rPr>
            </w:pPr>
            <w:r w:rsidRPr="00AC2ED3">
              <w:rPr>
                <w:rFonts w:ascii="Garamond" w:eastAsia="Times New Roman" w:hAnsi="Garamond" w:cs="Calibri"/>
                <w:color w:val="000000"/>
                <w:sz w:val="18"/>
                <w:szCs w:val="16"/>
                <w:lang w:eastAsia="es-ES_tradnl"/>
              </w:rPr>
              <w:t xml:space="preserve"> Hogar familiar compuesto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67C8FD1" w14:textId="77777777" w:rsidR="00AC2ED3" w:rsidRPr="00AC2ED3" w:rsidRDefault="00AC2ED3" w:rsidP="00AC2ED3">
            <w:pPr>
              <w:spacing w:after="0" w:line="240" w:lineRule="auto"/>
              <w:jc w:val="center"/>
              <w:rPr>
                <w:rFonts w:ascii="Garamond" w:eastAsia="Times New Roman" w:hAnsi="Garamond" w:cs="Calibri"/>
                <w:color w:val="000000"/>
                <w:sz w:val="18"/>
                <w:szCs w:val="16"/>
                <w:lang w:eastAsia="es-ES_tradnl"/>
              </w:rPr>
            </w:pPr>
            <w:r w:rsidRPr="00AC2ED3">
              <w:rPr>
                <w:rFonts w:ascii="Garamond" w:eastAsia="Times New Roman" w:hAnsi="Garamond" w:cs="Calibri"/>
                <w:color w:val="000000"/>
                <w:sz w:val="18"/>
                <w:szCs w:val="16"/>
                <w:lang w:eastAsia="es-ES_tradnl"/>
              </w:rPr>
              <w:t xml:space="preserve"> Hogar no familiar sin núcleo </w:t>
            </w:r>
          </w:p>
        </w:tc>
      </w:tr>
      <w:tr w:rsidR="00BF3960" w:rsidRPr="00AC2ED3" w14:paraId="5B777E74" w14:textId="77777777" w:rsidTr="002F014E">
        <w:trPr>
          <w:trHeight w:val="31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935FD03" w14:textId="77777777" w:rsidR="00BF3960" w:rsidRPr="00AC2ED3" w:rsidRDefault="00BF3960" w:rsidP="00BF3960">
            <w:pPr>
              <w:spacing w:after="0" w:line="240" w:lineRule="auto"/>
              <w:rPr>
                <w:rFonts w:ascii="Garamond" w:eastAsia="Times New Roman" w:hAnsi="Garamond" w:cs="Calibri"/>
                <w:color w:val="000000"/>
                <w:sz w:val="18"/>
                <w:szCs w:val="16"/>
                <w:lang w:eastAsia="es-ES_tradnl"/>
              </w:rPr>
            </w:pPr>
            <w:r w:rsidRPr="00AC2ED3">
              <w:rPr>
                <w:rFonts w:ascii="Garamond" w:eastAsia="Times New Roman" w:hAnsi="Garamond" w:cs="Calibri"/>
                <w:color w:val="000000"/>
                <w:sz w:val="18"/>
                <w:szCs w:val="16"/>
                <w:lang w:eastAsia="es-ES_tradnl"/>
              </w:rPr>
              <w:t>Bosa</w:t>
            </w:r>
          </w:p>
        </w:tc>
        <w:tc>
          <w:tcPr>
            <w:tcW w:w="1276" w:type="dxa"/>
            <w:tcBorders>
              <w:top w:val="nil"/>
              <w:left w:val="nil"/>
              <w:bottom w:val="single" w:sz="4" w:space="0" w:color="auto"/>
              <w:right w:val="single" w:sz="4" w:space="0" w:color="auto"/>
            </w:tcBorders>
            <w:shd w:val="clear" w:color="000000" w:fill="70AD47"/>
            <w:noWrap/>
            <w:vAlign w:val="bottom"/>
            <w:hideMark/>
          </w:tcPr>
          <w:p w14:paraId="173822E6" w14:textId="7BF86429" w:rsidR="00BF3960" w:rsidRPr="00AD3AAF" w:rsidRDefault="00BF3960" w:rsidP="00BF3960">
            <w:pPr>
              <w:spacing w:after="0" w:line="240" w:lineRule="auto"/>
              <w:jc w:val="right"/>
              <w:rPr>
                <w:rFonts w:ascii="Garamond" w:eastAsia="Times New Roman" w:hAnsi="Garamond" w:cs="Calibri"/>
                <w:color w:val="FFFFFF"/>
                <w:sz w:val="18"/>
                <w:szCs w:val="18"/>
                <w:lang w:eastAsia="es-ES_tradnl"/>
              </w:rPr>
            </w:pPr>
            <w:r w:rsidRPr="00AD3AAF">
              <w:rPr>
                <w:rFonts w:ascii="Garamond" w:hAnsi="Garamond" w:cs="Calibri"/>
                <w:color w:val="000000"/>
                <w:sz w:val="18"/>
                <w:szCs w:val="18"/>
              </w:rPr>
              <w:t>46,14%</w:t>
            </w:r>
          </w:p>
        </w:tc>
        <w:tc>
          <w:tcPr>
            <w:tcW w:w="1418" w:type="dxa"/>
            <w:tcBorders>
              <w:top w:val="nil"/>
              <w:left w:val="nil"/>
              <w:bottom w:val="single" w:sz="4" w:space="0" w:color="auto"/>
              <w:right w:val="single" w:sz="4" w:space="0" w:color="auto"/>
            </w:tcBorders>
            <w:shd w:val="clear" w:color="000000" w:fill="5B9BD5"/>
            <w:noWrap/>
            <w:vAlign w:val="bottom"/>
            <w:hideMark/>
          </w:tcPr>
          <w:p w14:paraId="5F9F9DFB" w14:textId="19A5E521"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8,74%</w:t>
            </w:r>
          </w:p>
        </w:tc>
        <w:tc>
          <w:tcPr>
            <w:tcW w:w="1417" w:type="dxa"/>
            <w:tcBorders>
              <w:top w:val="nil"/>
              <w:left w:val="nil"/>
              <w:bottom w:val="single" w:sz="4" w:space="0" w:color="auto"/>
              <w:right w:val="single" w:sz="4" w:space="0" w:color="auto"/>
            </w:tcBorders>
            <w:shd w:val="clear" w:color="000000" w:fill="FFC000"/>
            <w:noWrap/>
            <w:vAlign w:val="bottom"/>
            <w:hideMark/>
          </w:tcPr>
          <w:p w14:paraId="097C8A84" w14:textId="084BD0EB"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16,71%</w:t>
            </w:r>
          </w:p>
        </w:tc>
        <w:tc>
          <w:tcPr>
            <w:tcW w:w="1418" w:type="dxa"/>
            <w:tcBorders>
              <w:top w:val="nil"/>
              <w:left w:val="nil"/>
              <w:bottom w:val="single" w:sz="4" w:space="0" w:color="auto"/>
              <w:right w:val="single" w:sz="4" w:space="0" w:color="auto"/>
            </w:tcBorders>
            <w:shd w:val="clear" w:color="000000" w:fill="FFE699"/>
            <w:noWrap/>
            <w:vAlign w:val="bottom"/>
            <w:hideMark/>
          </w:tcPr>
          <w:p w14:paraId="09DAA5C0" w14:textId="423A0198"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14,19%</w:t>
            </w:r>
          </w:p>
        </w:tc>
        <w:tc>
          <w:tcPr>
            <w:tcW w:w="1275" w:type="dxa"/>
            <w:tcBorders>
              <w:top w:val="nil"/>
              <w:left w:val="nil"/>
              <w:bottom w:val="single" w:sz="4" w:space="0" w:color="auto"/>
              <w:right w:val="single" w:sz="4" w:space="0" w:color="auto"/>
            </w:tcBorders>
            <w:shd w:val="clear" w:color="000000" w:fill="A6A6A6"/>
            <w:noWrap/>
            <w:vAlign w:val="bottom"/>
            <w:hideMark/>
          </w:tcPr>
          <w:p w14:paraId="24156848" w14:textId="51316280"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9,46%</w:t>
            </w:r>
          </w:p>
        </w:tc>
        <w:tc>
          <w:tcPr>
            <w:tcW w:w="1418" w:type="dxa"/>
            <w:tcBorders>
              <w:top w:val="nil"/>
              <w:left w:val="nil"/>
              <w:bottom w:val="single" w:sz="4" w:space="0" w:color="auto"/>
              <w:right w:val="single" w:sz="4" w:space="0" w:color="auto"/>
            </w:tcBorders>
            <w:shd w:val="clear" w:color="000000" w:fill="BDD7EE"/>
            <w:noWrap/>
            <w:vAlign w:val="bottom"/>
            <w:hideMark/>
          </w:tcPr>
          <w:p w14:paraId="644E481A" w14:textId="0C96580E"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3,05%</w:t>
            </w:r>
          </w:p>
        </w:tc>
        <w:tc>
          <w:tcPr>
            <w:tcW w:w="1417" w:type="dxa"/>
            <w:tcBorders>
              <w:top w:val="nil"/>
              <w:left w:val="nil"/>
              <w:bottom w:val="single" w:sz="4" w:space="0" w:color="auto"/>
              <w:right w:val="single" w:sz="4" w:space="0" w:color="auto"/>
            </w:tcBorders>
            <w:shd w:val="clear" w:color="000000" w:fill="EDEDED"/>
            <w:noWrap/>
            <w:vAlign w:val="bottom"/>
            <w:hideMark/>
          </w:tcPr>
          <w:p w14:paraId="2A310542" w14:textId="29242D20"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1,15%</w:t>
            </w:r>
          </w:p>
        </w:tc>
        <w:tc>
          <w:tcPr>
            <w:tcW w:w="1418" w:type="dxa"/>
            <w:tcBorders>
              <w:top w:val="nil"/>
              <w:left w:val="nil"/>
              <w:bottom w:val="single" w:sz="4" w:space="0" w:color="auto"/>
              <w:right w:val="single" w:sz="4" w:space="0" w:color="auto"/>
            </w:tcBorders>
            <w:shd w:val="clear" w:color="000000" w:fill="FCE4D6"/>
            <w:noWrap/>
            <w:vAlign w:val="bottom"/>
            <w:hideMark/>
          </w:tcPr>
          <w:p w14:paraId="35A37976" w14:textId="2404F426"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0,55%</w:t>
            </w:r>
          </w:p>
        </w:tc>
      </w:tr>
      <w:tr w:rsidR="00BF3960" w:rsidRPr="00AC2ED3" w14:paraId="2824512D" w14:textId="77777777" w:rsidTr="002F014E">
        <w:trPr>
          <w:trHeight w:val="31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23B1923" w14:textId="77777777" w:rsidR="00BF3960" w:rsidRPr="00AC2ED3" w:rsidRDefault="00BF3960" w:rsidP="00BF3960">
            <w:pPr>
              <w:spacing w:after="0" w:line="240" w:lineRule="auto"/>
              <w:rPr>
                <w:rFonts w:ascii="Garamond" w:eastAsia="Times New Roman" w:hAnsi="Garamond" w:cs="Calibri"/>
                <w:color w:val="000000"/>
                <w:sz w:val="18"/>
                <w:szCs w:val="16"/>
                <w:lang w:eastAsia="es-ES_tradnl"/>
              </w:rPr>
            </w:pPr>
            <w:r w:rsidRPr="00AC2ED3">
              <w:rPr>
                <w:rFonts w:ascii="Garamond" w:eastAsia="Times New Roman" w:hAnsi="Garamond" w:cs="Calibri"/>
                <w:color w:val="000000"/>
                <w:sz w:val="18"/>
                <w:szCs w:val="16"/>
                <w:lang w:eastAsia="es-ES_tradnl"/>
              </w:rPr>
              <w:t>Usme</w:t>
            </w:r>
          </w:p>
        </w:tc>
        <w:tc>
          <w:tcPr>
            <w:tcW w:w="1276" w:type="dxa"/>
            <w:tcBorders>
              <w:top w:val="nil"/>
              <w:left w:val="nil"/>
              <w:bottom w:val="single" w:sz="4" w:space="0" w:color="auto"/>
              <w:right w:val="single" w:sz="4" w:space="0" w:color="auto"/>
            </w:tcBorders>
            <w:shd w:val="clear" w:color="000000" w:fill="70AD47"/>
            <w:noWrap/>
            <w:vAlign w:val="bottom"/>
            <w:hideMark/>
          </w:tcPr>
          <w:p w14:paraId="004003E6" w14:textId="27D76050" w:rsidR="00BF3960" w:rsidRPr="00AD3AAF" w:rsidRDefault="00BF3960" w:rsidP="00BF3960">
            <w:pPr>
              <w:spacing w:after="0" w:line="240" w:lineRule="auto"/>
              <w:jc w:val="right"/>
              <w:rPr>
                <w:rFonts w:ascii="Garamond" w:eastAsia="Times New Roman" w:hAnsi="Garamond" w:cs="Calibri"/>
                <w:color w:val="FFFFFF"/>
                <w:sz w:val="18"/>
                <w:szCs w:val="18"/>
                <w:lang w:eastAsia="es-ES_tradnl"/>
              </w:rPr>
            </w:pPr>
            <w:r w:rsidRPr="00AD3AAF">
              <w:rPr>
                <w:rFonts w:ascii="Garamond" w:hAnsi="Garamond" w:cs="Calibri"/>
                <w:color w:val="000000"/>
                <w:sz w:val="18"/>
                <w:szCs w:val="18"/>
              </w:rPr>
              <w:t>42,91%</w:t>
            </w:r>
          </w:p>
        </w:tc>
        <w:tc>
          <w:tcPr>
            <w:tcW w:w="1418" w:type="dxa"/>
            <w:tcBorders>
              <w:top w:val="nil"/>
              <w:left w:val="nil"/>
              <w:bottom w:val="single" w:sz="4" w:space="0" w:color="auto"/>
              <w:right w:val="single" w:sz="4" w:space="0" w:color="auto"/>
            </w:tcBorders>
            <w:shd w:val="clear" w:color="000000" w:fill="A6A6A6"/>
            <w:noWrap/>
            <w:vAlign w:val="bottom"/>
            <w:hideMark/>
          </w:tcPr>
          <w:p w14:paraId="32E23A2A" w14:textId="0A6FAA90"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9,73%</w:t>
            </w:r>
          </w:p>
        </w:tc>
        <w:tc>
          <w:tcPr>
            <w:tcW w:w="1417" w:type="dxa"/>
            <w:tcBorders>
              <w:top w:val="nil"/>
              <w:left w:val="nil"/>
              <w:bottom w:val="single" w:sz="4" w:space="0" w:color="auto"/>
              <w:right w:val="single" w:sz="4" w:space="0" w:color="auto"/>
            </w:tcBorders>
            <w:shd w:val="clear" w:color="000000" w:fill="FFC000"/>
            <w:noWrap/>
            <w:vAlign w:val="bottom"/>
            <w:hideMark/>
          </w:tcPr>
          <w:p w14:paraId="2BDE2C29" w14:textId="05A218B2"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17,88%</w:t>
            </w:r>
          </w:p>
        </w:tc>
        <w:tc>
          <w:tcPr>
            <w:tcW w:w="1418" w:type="dxa"/>
            <w:tcBorders>
              <w:top w:val="nil"/>
              <w:left w:val="nil"/>
              <w:bottom w:val="single" w:sz="4" w:space="0" w:color="auto"/>
              <w:right w:val="single" w:sz="4" w:space="0" w:color="auto"/>
            </w:tcBorders>
            <w:shd w:val="clear" w:color="000000" w:fill="FFE699"/>
            <w:noWrap/>
            <w:vAlign w:val="bottom"/>
            <w:hideMark/>
          </w:tcPr>
          <w:p w14:paraId="0550ED07" w14:textId="51BC61D1"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15,97%</w:t>
            </w:r>
          </w:p>
        </w:tc>
        <w:tc>
          <w:tcPr>
            <w:tcW w:w="1275" w:type="dxa"/>
            <w:tcBorders>
              <w:top w:val="nil"/>
              <w:left w:val="nil"/>
              <w:bottom w:val="single" w:sz="4" w:space="0" w:color="auto"/>
              <w:right w:val="single" w:sz="4" w:space="0" w:color="auto"/>
            </w:tcBorders>
            <w:shd w:val="clear" w:color="000000" w:fill="5B9BD5"/>
            <w:noWrap/>
            <w:vAlign w:val="bottom"/>
            <w:hideMark/>
          </w:tcPr>
          <w:p w14:paraId="0CA1C7A4" w14:textId="29872895"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9,16%</w:t>
            </w:r>
          </w:p>
        </w:tc>
        <w:tc>
          <w:tcPr>
            <w:tcW w:w="1418" w:type="dxa"/>
            <w:tcBorders>
              <w:top w:val="nil"/>
              <w:left w:val="nil"/>
              <w:bottom w:val="single" w:sz="4" w:space="0" w:color="auto"/>
              <w:right w:val="single" w:sz="4" w:space="0" w:color="auto"/>
            </w:tcBorders>
            <w:shd w:val="clear" w:color="000000" w:fill="BDD7EE"/>
            <w:noWrap/>
            <w:vAlign w:val="bottom"/>
            <w:hideMark/>
          </w:tcPr>
          <w:p w14:paraId="3574847E" w14:textId="6828E0FA"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2,91%</w:t>
            </w:r>
          </w:p>
        </w:tc>
        <w:tc>
          <w:tcPr>
            <w:tcW w:w="1417" w:type="dxa"/>
            <w:tcBorders>
              <w:top w:val="nil"/>
              <w:left w:val="nil"/>
              <w:bottom w:val="single" w:sz="4" w:space="0" w:color="auto"/>
              <w:right w:val="single" w:sz="4" w:space="0" w:color="auto"/>
            </w:tcBorders>
            <w:shd w:val="clear" w:color="000000" w:fill="EDEDED"/>
            <w:noWrap/>
            <w:vAlign w:val="bottom"/>
            <w:hideMark/>
          </w:tcPr>
          <w:p w14:paraId="520BAC2A" w14:textId="0A26D0AC"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1,11%</w:t>
            </w:r>
          </w:p>
        </w:tc>
        <w:tc>
          <w:tcPr>
            <w:tcW w:w="1418" w:type="dxa"/>
            <w:tcBorders>
              <w:top w:val="nil"/>
              <w:left w:val="nil"/>
              <w:bottom w:val="single" w:sz="4" w:space="0" w:color="auto"/>
              <w:right w:val="single" w:sz="4" w:space="0" w:color="auto"/>
            </w:tcBorders>
            <w:shd w:val="clear" w:color="000000" w:fill="FCE4D6"/>
            <w:noWrap/>
            <w:vAlign w:val="bottom"/>
            <w:hideMark/>
          </w:tcPr>
          <w:p w14:paraId="24D8B1A8" w14:textId="001974CB"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0,34%</w:t>
            </w:r>
          </w:p>
        </w:tc>
      </w:tr>
      <w:tr w:rsidR="00BF3960" w:rsidRPr="00AC2ED3" w14:paraId="0158B9F5" w14:textId="77777777" w:rsidTr="002F014E">
        <w:trPr>
          <w:trHeight w:val="31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44AE858" w14:textId="77777777" w:rsidR="00BF3960" w:rsidRPr="00AC2ED3" w:rsidRDefault="00BF3960" w:rsidP="00BF3960">
            <w:pPr>
              <w:spacing w:after="0" w:line="240" w:lineRule="auto"/>
              <w:rPr>
                <w:rFonts w:ascii="Garamond" w:eastAsia="Times New Roman" w:hAnsi="Garamond" w:cs="Calibri"/>
                <w:color w:val="000000"/>
                <w:sz w:val="18"/>
                <w:szCs w:val="16"/>
                <w:lang w:eastAsia="es-ES_tradnl"/>
              </w:rPr>
            </w:pPr>
            <w:r w:rsidRPr="00AC2ED3">
              <w:rPr>
                <w:rFonts w:ascii="Garamond" w:eastAsia="Times New Roman" w:hAnsi="Garamond" w:cs="Calibri"/>
                <w:color w:val="000000"/>
                <w:sz w:val="18"/>
                <w:szCs w:val="16"/>
                <w:lang w:eastAsia="es-ES_tradnl"/>
              </w:rPr>
              <w:t>Sumapaz</w:t>
            </w:r>
          </w:p>
        </w:tc>
        <w:tc>
          <w:tcPr>
            <w:tcW w:w="1276" w:type="dxa"/>
            <w:tcBorders>
              <w:top w:val="nil"/>
              <w:left w:val="nil"/>
              <w:bottom w:val="single" w:sz="4" w:space="0" w:color="auto"/>
              <w:right w:val="single" w:sz="4" w:space="0" w:color="auto"/>
            </w:tcBorders>
            <w:shd w:val="clear" w:color="000000" w:fill="70AD47"/>
            <w:noWrap/>
            <w:vAlign w:val="bottom"/>
            <w:hideMark/>
          </w:tcPr>
          <w:p w14:paraId="18C025E7" w14:textId="4A460B76" w:rsidR="00BF3960" w:rsidRPr="00AD3AAF" w:rsidRDefault="00BF3960" w:rsidP="00BF3960">
            <w:pPr>
              <w:spacing w:after="0" w:line="240" w:lineRule="auto"/>
              <w:jc w:val="right"/>
              <w:rPr>
                <w:rFonts w:ascii="Garamond" w:eastAsia="Times New Roman" w:hAnsi="Garamond" w:cs="Calibri"/>
                <w:color w:val="FFFFFF"/>
                <w:sz w:val="18"/>
                <w:szCs w:val="18"/>
                <w:lang w:eastAsia="es-ES_tradnl"/>
              </w:rPr>
            </w:pPr>
            <w:r w:rsidRPr="00AD3AAF">
              <w:rPr>
                <w:rFonts w:ascii="Garamond" w:hAnsi="Garamond" w:cs="Calibri"/>
                <w:color w:val="000000"/>
                <w:sz w:val="18"/>
                <w:szCs w:val="18"/>
              </w:rPr>
              <w:t>42,33%</w:t>
            </w:r>
          </w:p>
        </w:tc>
        <w:tc>
          <w:tcPr>
            <w:tcW w:w="1418" w:type="dxa"/>
            <w:tcBorders>
              <w:top w:val="nil"/>
              <w:left w:val="nil"/>
              <w:bottom w:val="single" w:sz="4" w:space="0" w:color="auto"/>
              <w:right w:val="single" w:sz="4" w:space="0" w:color="auto"/>
            </w:tcBorders>
            <w:shd w:val="clear" w:color="000000" w:fill="FFE699"/>
            <w:noWrap/>
            <w:vAlign w:val="bottom"/>
            <w:hideMark/>
          </w:tcPr>
          <w:p w14:paraId="1E7ACFA9" w14:textId="3CC31770"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15,34%</w:t>
            </w:r>
          </w:p>
        </w:tc>
        <w:tc>
          <w:tcPr>
            <w:tcW w:w="1417" w:type="dxa"/>
            <w:tcBorders>
              <w:top w:val="nil"/>
              <w:left w:val="nil"/>
              <w:bottom w:val="single" w:sz="4" w:space="0" w:color="auto"/>
              <w:right w:val="single" w:sz="4" w:space="0" w:color="auto"/>
            </w:tcBorders>
            <w:shd w:val="clear" w:color="000000" w:fill="FFC000"/>
            <w:noWrap/>
            <w:vAlign w:val="bottom"/>
            <w:hideMark/>
          </w:tcPr>
          <w:p w14:paraId="687D3778" w14:textId="429FE420"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17,20%</w:t>
            </w:r>
          </w:p>
        </w:tc>
        <w:tc>
          <w:tcPr>
            <w:tcW w:w="1418" w:type="dxa"/>
            <w:tcBorders>
              <w:top w:val="nil"/>
              <w:left w:val="nil"/>
              <w:bottom w:val="single" w:sz="4" w:space="0" w:color="auto"/>
              <w:right w:val="single" w:sz="4" w:space="0" w:color="auto"/>
            </w:tcBorders>
            <w:shd w:val="clear" w:color="000000" w:fill="5B9BD5"/>
            <w:noWrap/>
            <w:vAlign w:val="bottom"/>
            <w:hideMark/>
          </w:tcPr>
          <w:p w14:paraId="26C5F5D3" w14:textId="081142D1"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8,47%</w:t>
            </w:r>
          </w:p>
        </w:tc>
        <w:tc>
          <w:tcPr>
            <w:tcW w:w="1275" w:type="dxa"/>
            <w:tcBorders>
              <w:top w:val="nil"/>
              <w:left w:val="nil"/>
              <w:bottom w:val="single" w:sz="4" w:space="0" w:color="auto"/>
              <w:right w:val="single" w:sz="4" w:space="0" w:color="auto"/>
            </w:tcBorders>
            <w:shd w:val="clear" w:color="000000" w:fill="A6A6A6"/>
            <w:noWrap/>
            <w:vAlign w:val="bottom"/>
            <w:hideMark/>
          </w:tcPr>
          <w:p w14:paraId="13746377" w14:textId="54F95A43"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11,90%</w:t>
            </w:r>
          </w:p>
        </w:tc>
        <w:tc>
          <w:tcPr>
            <w:tcW w:w="1418" w:type="dxa"/>
            <w:tcBorders>
              <w:top w:val="nil"/>
              <w:left w:val="nil"/>
              <w:bottom w:val="single" w:sz="4" w:space="0" w:color="auto"/>
              <w:right w:val="single" w:sz="4" w:space="0" w:color="auto"/>
            </w:tcBorders>
            <w:shd w:val="clear" w:color="000000" w:fill="BDD7EE"/>
            <w:noWrap/>
            <w:vAlign w:val="bottom"/>
            <w:hideMark/>
          </w:tcPr>
          <w:p w14:paraId="73188E77" w14:textId="4C738006"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3,17%</w:t>
            </w:r>
          </w:p>
        </w:tc>
        <w:tc>
          <w:tcPr>
            <w:tcW w:w="1417" w:type="dxa"/>
            <w:tcBorders>
              <w:top w:val="nil"/>
              <w:left w:val="nil"/>
              <w:bottom w:val="single" w:sz="4" w:space="0" w:color="auto"/>
              <w:right w:val="single" w:sz="4" w:space="0" w:color="auto"/>
            </w:tcBorders>
            <w:shd w:val="clear" w:color="000000" w:fill="EDEDED"/>
            <w:noWrap/>
            <w:vAlign w:val="bottom"/>
            <w:hideMark/>
          </w:tcPr>
          <w:p w14:paraId="101E5AF4" w14:textId="43C1E840"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1,06%</w:t>
            </w:r>
          </w:p>
        </w:tc>
        <w:tc>
          <w:tcPr>
            <w:tcW w:w="1418" w:type="dxa"/>
            <w:tcBorders>
              <w:top w:val="nil"/>
              <w:left w:val="nil"/>
              <w:bottom w:val="single" w:sz="4" w:space="0" w:color="auto"/>
              <w:right w:val="single" w:sz="4" w:space="0" w:color="auto"/>
            </w:tcBorders>
            <w:shd w:val="clear" w:color="000000" w:fill="FCE4D6"/>
            <w:noWrap/>
            <w:vAlign w:val="bottom"/>
            <w:hideMark/>
          </w:tcPr>
          <w:p w14:paraId="7793EF85" w14:textId="39E94003"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0,53%</w:t>
            </w:r>
          </w:p>
        </w:tc>
      </w:tr>
      <w:tr w:rsidR="00BF3960" w:rsidRPr="00AC2ED3" w14:paraId="3ABBFF0B" w14:textId="77777777" w:rsidTr="002F014E">
        <w:trPr>
          <w:trHeight w:val="31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3E28A33" w14:textId="5EFC18D6" w:rsidR="00BF3960" w:rsidRPr="00AC2ED3" w:rsidRDefault="00BF3960" w:rsidP="00BF3960">
            <w:pPr>
              <w:spacing w:after="0" w:line="240" w:lineRule="auto"/>
              <w:rPr>
                <w:rFonts w:ascii="Garamond" w:eastAsia="Times New Roman" w:hAnsi="Garamond" w:cs="Calibri"/>
                <w:color w:val="000000"/>
                <w:sz w:val="18"/>
                <w:szCs w:val="16"/>
                <w:lang w:eastAsia="es-ES_tradnl"/>
              </w:rPr>
            </w:pPr>
            <w:r w:rsidRPr="00AC2ED3">
              <w:rPr>
                <w:rFonts w:ascii="Garamond" w:eastAsia="Times New Roman" w:hAnsi="Garamond" w:cs="Calibri"/>
                <w:color w:val="000000"/>
                <w:sz w:val="18"/>
                <w:szCs w:val="16"/>
                <w:lang w:eastAsia="es-ES_tradnl"/>
              </w:rPr>
              <w:t>Ciudad Bol</w:t>
            </w:r>
            <w:r>
              <w:rPr>
                <w:rFonts w:ascii="Garamond" w:eastAsia="Times New Roman" w:hAnsi="Garamond" w:cs="Calibri"/>
                <w:color w:val="000000"/>
                <w:sz w:val="18"/>
                <w:szCs w:val="16"/>
                <w:lang w:eastAsia="es-ES_tradnl"/>
              </w:rPr>
              <w:t>í</w:t>
            </w:r>
            <w:r w:rsidRPr="00AC2ED3">
              <w:rPr>
                <w:rFonts w:ascii="Garamond" w:eastAsia="Times New Roman" w:hAnsi="Garamond" w:cs="Calibri"/>
                <w:color w:val="000000"/>
                <w:sz w:val="18"/>
                <w:szCs w:val="16"/>
                <w:lang w:eastAsia="es-ES_tradnl"/>
              </w:rPr>
              <w:t>var</w:t>
            </w:r>
          </w:p>
        </w:tc>
        <w:tc>
          <w:tcPr>
            <w:tcW w:w="1276" w:type="dxa"/>
            <w:tcBorders>
              <w:top w:val="nil"/>
              <w:left w:val="nil"/>
              <w:bottom w:val="single" w:sz="4" w:space="0" w:color="auto"/>
              <w:right w:val="single" w:sz="4" w:space="0" w:color="auto"/>
            </w:tcBorders>
            <w:shd w:val="clear" w:color="000000" w:fill="70AD47"/>
            <w:noWrap/>
            <w:vAlign w:val="bottom"/>
            <w:hideMark/>
          </w:tcPr>
          <w:p w14:paraId="64DCA815" w14:textId="5379F190" w:rsidR="00BF3960" w:rsidRPr="00AD3AAF" w:rsidRDefault="00BF3960" w:rsidP="00BF3960">
            <w:pPr>
              <w:spacing w:after="0" w:line="240" w:lineRule="auto"/>
              <w:jc w:val="right"/>
              <w:rPr>
                <w:rFonts w:ascii="Garamond" w:eastAsia="Times New Roman" w:hAnsi="Garamond" w:cs="Calibri"/>
                <w:color w:val="FFFFFF"/>
                <w:sz w:val="18"/>
                <w:szCs w:val="18"/>
                <w:lang w:eastAsia="es-ES_tradnl"/>
              </w:rPr>
            </w:pPr>
            <w:r w:rsidRPr="00AD3AAF">
              <w:rPr>
                <w:rFonts w:ascii="Garamond" w:hAnsi="Garamond" w:cs="Calibri"/>
                <w:color w:val="000000"/>
                <w:sz w:val="18"/>
                <w:szCs w:val="18"/>
              </w:rPr>
              <w:t>41,64%</w:t>
            </w:r>
          </w:p>
        </w:tc>
        <w:tc>
          <w:tcPr>
            <w:tcW w:w="1418" w:type="dxa"/>
            <w:tcBorders>
              <w:top w:val="nil"/>
              <w:left w:val="nil"/>
              <w:bottom w:val="single" w:sz="4" w:space="0" w:color="auto"/>
              <w:right w:val="single" w:sz="4" w:space="0" w:color="auto"/>
            </w:tcBorders>
            <w:shd w:val="clear" w:color="000000" w:fill="A6A6A6"/>
            <w:noWrap/>
            <w:vAlign w:val="bottom"/>
            <w:hideMark/>
          </w:tcPr>
          <w:p w14:paraId="002925F8" w14:textId="75C45F9E"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12,82%</w:t>
            </w:r>
          </w:p>
        </w:tc>
        <w:tc>
          <w:tcPr>
            <w:tcW w:w="1417" w:type="dxa"/>
            <w:tcBorders>
              <w:top w:val="nil"/>
              <w:left w:val="nil"/>
              <w:bottom w:val="single" w:sz="4" w:space="0" w:color="auto"/>
              <w:right w:val="single" w:sz="4" w:space="0" w:color="auto"/>
            </w:tcBorders>
            <w:shd w:val="clear" w:color="000000" w:fill="FFC000"/>
            <w:noWrap/>
            <w:vAlign w:val="bottom"/>
            <w:hideMark/>
          </w:tcPr>
          <w:p w14:paraId="45A243A1" w14:textId="3BB2B2E7"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14,93%</w:t>
            </w:r>
          </w:p>
        </w:tc>
        <w:tc>
          <w:tcPr>
            <w:tcW w:w="1418" w:type="dxa"/>
            <w:tcBorders>
              <w:top w:val="nil"/>
              <w:left w:val="nil"/>
              <w:bottom w:val="single" w:sz="4" w:space="0" w:color="auto"/>
              <w:right w:val="single" w:sz="4" w:space="0" w:color="auto"/>
            </w:tcBorders>
            <w:shd w:val="clear" w:color="000000" w:fill="FFE699"/>
            <w:noWrap/>
            <w:vAlign w:val="bottom"/>
            <w:hideMark/>
          </w:tcPr>
          <w:p w14:paraId="7D095B97" w14:textId="204012DE"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15,84%</w:t>
            </w:r>
          </w:p>
        </w:tc>
        <w:tc>
          <w:tcPr>
            <w:tcW w:w="1275" w:type="dxa"/>
            <w:tcBorders>
              <w:top w:val="nil"/>
              <w:left w:val="nil"/>
              <w:bottom w:val="single" w:sz="4" w:space="0" w:color="auto"/>
              <w:right w:val="single" w:sz="4" w:space="0" w:color="auto"/>
            </w:tcBorders>
            <w:shd w:val="clear" w:color="000000" w:fill="5B9BD5"/>
            <w:noWrap/>
            <w:vAlign w:val="bottom"/>
            <w:hideMark/>
          </w:tcPr>
          <w:p w14:paraId="6B0BB1DB" w14:textId="5F3A889C"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10,40%</w:t>
            </w:r>
          </w:p>
        </w:tc>
        <w:tc>
          <w:tcPr>
            <w:tcW w:w="1418" w:type="dxa"/>
            <w:tcBorders>
              <w:top w:val="nil"/>
              <w:left w:val="nil"/>
              <w:bottom w:val="single" w:sz="4" w:space="0" w:color="auto"/>
              <w:right w:val="single" w:sz="4" w:space="0" w:color="auto"/>
            </w:tcBorders>
            <w:shd w:val="clear" w:color="000000" w:fill="BDD7EE"/>
            <w:noWrap/>
            <w:vAlign w:val="bottom"/>
            <w:hideMark/>
          </w:tcPr>
          <w:p w14:paraId="3AB2FE18" w14:textId="4C75DF6C"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2,63%</w:t>
            </w:r>
          </w:p>
        </w:tc>
        <w:tc>
          <w:tcPr>
            <w:tcW w:w="1417" w:type="dxa"/>
            <w:tcBorders>
              <w:top w:val="nil"/>
              <w:left w:val="nil"/>
              <w:bottom w:val="single" w:sz="4" w:space="0" w:color="auto"/>
              <w:right w:val="single" w:sz="4" w:space="0" w:color="auto"/>
            </w:tcBorders>
            <w:shd w:val="clear" w:color="000000" w:fill="EDEDED"/>
            <w:noWrap/>
            <w:vAlign w:val="bottom"/>
            <w:hideMark/>
          </w:tcPr>
          <w:p w14:paraId="7FCAA8F8" w14:textId="35F845DB"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1,30%</w:t>
            </w:r>
          </w:p>
        </w:tc>
        <w:tc>
          <w:tcPr>
            <w:tcW w:w="1418" w:type="dxa"/>
            <w:tcBorders>
              <w:top w:val="nil"/>
              <w:left w:val="nil"/>
              <w:bottom w:val="single" w:sz="4" w:space="0" w:color="auto"/>
              <w:right w:val="single" w:sz="4" w:space="0" w:color="auto"/>
            </w:tcBorders>
            <w:shd w:val="clear" w:color="000000" w:fill="FCE4D6"/>
            <w:noWrap/>
            <w:vAlign w:val="bottom"/>
            <w:hideMark/>
          </w:tcPr>
          <w:p w14:paraId="1CC13286" w14:textId="66DD9345"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0,45%</w:t>
            </w:r>
          </w:p>
        </w:tc>
      </w:tr>
      <w:tr w:rsidR="00BF3960" w:rsidRPr="00AC2ED3" w14:paraId="47820F19" w14:textId="77777777" w:rsidTr="002F014E">
        <w:trPr>
          <w:trHeight w:val="31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93423F5" w14:textId="77777777" w:rsidR="00BF3960" w:rsidRPr="00AC2ED3" w:rsidRDefault="00BF3960" w:rsidP="00BF3960">
            <w:pPr>
              <w:spacing w:after="0" w:line="240" w:lineRule="auto"/>
              <w:rPr>
                <w:rFonts w:ascii="Garamond" w:eastAsia="Times New Roman" w:hAnsi="Garamond" w:cs="Calibri"/>
                <w:color w:val="000000"/>
                <w:sz w:val="18"/>
                <w:szCs w:val="16"/>
                <w:lang w:eastAsia="es-ES_tradnl"/>
              </w:rPr>
            </w:pPr>
            <w:r w:rsidRPr="00AC2ED3">
              <w:rPr>
                <w:rFonts w:ascii="Garamond" w:eastAsia="Times New Roman" w:hAnsi="Garamond" w:cs="Calibri"/>
                <w:color w:val="000000"/>
                <w:sz w:val="18"/>
                <w:szCs w:val="16"/>
                <w:lang w:eastAsia="es-ES_tradnl"/>
              </w:rPr>
              <w:t>San Cristóbal</w:t>
            </w:r>
          </w:p>
        </w:tc>
        <w:tc>
          <w:tcPr>
            <w:tcW w:w="1276" w:type="dxa"/>
            <w:tcBorders>
              <w:top w:val="nil"/>
              <w:left w:val="nil"/>
              <w:bottom w:val="single" w:sz="4" w:space="0" w:color="auto"/>
              <w:right w:val="single" w:sz="4" w:space="0" w:color="auto"/>
            </w:tcBorders>
            <w:shd w:val="clear" w:color="000000" w:fill="70AD47"/>
            <w:noWrap/>
            <w:vAlign w:val="bottom"/>
            <w:hideMark/>
          </w:tcPr>
          <w:p w14:paraId="40545B79" w14:textId="6C9435EC" w:rsidR="00BF3960" w:rsidRPr="00AD3AAF" w:rsidRDefault="00BF3960" w:rsidP="00BF3960">
            <w:pPr>
              <w:spacing w:after="0" w:line="240" w:lineRule="auto"/>
              <w:jc w:val="right"/>
              <w:rPr>
                <w:rFonts w:ascii="Garamond" w:eastAsia="Times New Roman" w:hAnsi="Garamond" w:cs="Calibri"/>
                <w:color w:val="FFFFFF"/>
                <w:sz w:val="18"/>
                <w:szCs w:val="18"/>
                <w:lang w:eastAsia="es-ES_tradnl"/>
              </w:rPr>
            </w:pPr>
            <w:r w:rsidRPr="00AD3AAF">
              <w:rPr>
                <w:rFonts w:ascii="Garamond" w:hAnsi="Garamond" w:cs="Calibri"/>
                <w:color w:val="000000"/>
                <w:sz w:val="18"/>
                <w:szCs w:val="18"/>
              </w:rPr>
              <w:t>41,28%</w:t>
            </w:r>
          </w:p>
        </w:tc>
        <w:tc>
          <w:tcPr>
            <w:tcW w:w="1418" w:type="dxa"/>
            <w:tcBorders>
              <w:top w:val="nil"/>
              <w:left w:val="nil"/>
              <w:bottom w:val="single" w:sz="4" w:space="0" w:color="auto"/>
              <w:right w:val="single" w:sz="4" w:space="0" w:color="auto"/>
            </w:tcBorders>
            <w:shd w:val="clear" w:color="000000" w:fill="A6A6A6"/>
            <w:noWrap/>
            <w:vAlign w:val="bottom"/>
            <w:hideMark/>
          </w:tcPr>
          <w:p w14:paraId="7F461941" w14:textId="5D65EDA8"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12,61%</w:t>
            </w:r>
          </w:p>
        </w:tc>
        <w:tc>
          <w:tcPr>
            <w:tcW w:w="1417" w:type="dxa"/>
            <w:tcBorders>
              <w:top w:val="nil"/>
              <w:left w:val="nil"/>
              <w:bottom w:val="single" w:sz="4" w:space="0" w:color="auto"/>
              <w:right w:val="single" w:sz="4" w:space="0" w:color="auto"/>
            </w:tcBorders>
            <w:shd w:val="clear" w:color="000000" w:fill="FFC000"/>
            <w:noWrap/>
            <w:vAlign w:val="bottom"/>
            <w:hideMark/>
          </w:tcPr>
          <w:p w14:paraId="3F43CCD2" w14:textId="098B6A04"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16,03%</w:t>
            </w:r>
          </w:p>
        </w:tc>
        <w:tc>
          <w:tcPr>
            <w:tcW w:w="1418" w:type="dxa"/>
            <w:tcBorders>
              <w:top w:val="nil"/>
              <w:left w:val="nil"/>
              <w:bottom w:val="single" w:sz="4" w:space="0" w:color="auto"/>
              <w:right w:val="single" w:sz="4" w:space="0" w:color="auto"/>
            </w:tcBorders>
            <w:shd w:val="clear" w:color="000000" w:fill="FFE699"/>
            <w:noWrap/>
            <w:vAlign w:val="bottom"/>
            <w:hideMark/>
          </w:tcPr>
          <w:p w14:paraId="27157805" w14:textId="6C5E171A"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15,30%</w:t>
            </w:r>
          </w:p>
        </w:tc>
        <w:tc>
          <w:tcPr>
            <w:tcW w:w="1275" w:type="dxa"/>
            <w:tcBorders>
              <w:top w:val="nil"/>
              <w:left w:val="nil"/>
              <w:bottom w:val="single" w:sz="4" w:space="0" w:color="auto"/>
              <w:right w:val="single" w:sz="4" w:space="0" w:color="auto"/>
            </w:tcBorders>
            <w:shd w:val="clear" w:color="000000" w:fill="5B9BD5"/>
            <w:noWrap/>
            <w:vAlign w:val="bottom"/>
            <w:hideMark/>
          </w:tcPr>
          <w:p w14:paraId="7DAA2896" w14:textId="2578B0C7"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10,20%</w:t>
            </w:r>
          </w:p>
        </w:tc>
        <w:tc>
          <w:tcPr>
            <w:tcW w:w="1418" w:type="dxa"/>
            <w:tcBorders>
              <w:top w:val="nil"/>
              <w:left w:val="nil"/>
              <w:bottom w:val="single" w:sz="4" w:space="0" w:color="auto"/>
              <w:right w:val="single" w:sz="4" w:space="0" w:color="auto"/>
            </w:tcBorders>
            <w:shd w:val="clear" w:color="000000" w:fill="BDD7EE"/>
            <w:noWrap/>
            <w:vAlign w:val="bottom"/>
            <w:hideMark/>
          </w:tcPr>
          <w:p w14:paraId="03E3FB5B" w14:textId="23B8A271"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2,84%</w:t>
            </w:r>
          </w:p>
        </w:tc>
        <w:tc>
          <w:tcPr>
            <w:tcW w:w="1417" w:type="dxa"/>
            <w:tcBorders>
              <w:top w:val="nil"/>
              <w:left w:val="nil"/>
              <w:bottom w:val="single" w:sz="4" w:space="0" w:color="auto"/>
              <w:right w:val="single" w:sz="4" w:space="0" w:color="auto"/>
            </w:tcBorders>
            <w:shd w:val="clear" w:color="000000" w:fill="EDEDED"/>
            <w:noWrap/>
            <w:vAlign w:val="bottom"/>
            <w:hideMark/>
          </w:tcPr>
          <w:p w14:paraId="5C2E8515" w14:textId="163CC4CD"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1,37%</w:t>
            </w:r>
          </w:p>
        </w:tc>
        <w:tc>
          <w:tcPr>
            <w:tcW w:w="1418" w:type="dxa"/>
            <w:tcBorders>
              <w:top w:val="nil"/>
              <w:left w:val="nil"/>
              <w:bottom w:val="single" w:sz="4" w:space="0" w:color="auto"/>
              <w:right w:val="single" w:sz="4" w:space="0" w:color="auto"/>
            </w:tcBorders>
            <w:shd w:val="clear" w:color="000000" w:fill="FCE4D6"/>
            <w:noWrap/>
            <w:vAlign w:val="bottom"/>
            <w:hideMark/>
          </w:tcPr>
          <w:p w14:paraId="7FB46B37" w14:textId="7CD26176"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0,37%</w:t>
            </w:r>
          </w:p>
        </w:tc>
      </w:tr>
      <w:tr w:rsidR="00BF3960" w:rsidRPr="00AC2ED3" w14:paraId="79C34F82" w14:textId="77777777" w:rsidTr="002F014E">
        <w:trPr>
          <w:trHeight w:val="31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389FE22" w14:textId="77777777" w:rsidR="00BF3960" w:rsidRPr="00AC2ED3" w:rsidRDefault="00BF3960" w:rsidP="00BF3960">
            <w:pPr>
              <w:spacing w:after="0" w:line="240" w:lineRule="auto"/>
              <w:rPr>
                <w:rFonts w:ascii="Garamond" w:eastAsia="Times New Roman" w:hAnsi="Garamond" w:cs="Calibri"/>
                <w:color w:val="000000"/>
                <w:sz w:val="18"/>
                <w:szCs w:val="16"/>
                <w:lang w:eastAsia="es-ES_tradnl"/>
              </w:rPr>
            </w:pPr>
            <w:r w:rsidRPr="00AC2ED3">
              <w:rPr>
                <w:rFonts w:ascii="Garamond" w:eastAsia="Times New Roman" w:hAnsi="Garamond" w:cs="Calibri"/>
                <w:color w:val="000000"/>
                <w:sz w:val="18"/>
                <w:szCs w:val="16"/>
                <w:lang w:eastAsia="es-ES_tradnl"/>
              </w:rPr>
              <w:t>Kennedy</w:t>
            </w:r>
          </w:p>
        </w:tc>
        <w:tc>
          <w:tcPr>
            <w:tcW w:w="1276" w:type="dxa"/>
            <w:tcBorders>
              <w:top w:val="nil"/>
              <w:left w:val="nil"/>
              <w:bottom w:val="single" w:sz="4" w:space="0" w:color="auto"/>
              <w:right w:val="single" w:sz="4" w:space="0" w:color="auto"/>
            </w:tcBorders>
            <w:shd w:val="clear" w:color="000000" w:fill="70AD47"/>
            <w:noWrap/>
            <w:vAlign w:val="bottom"/>
            <w:hideMark/>
          </w:tcPr>
          <w:p w14:paraId="3FE74634" w14:textId="3214A1A7" w:rsidR="00BF3960" w:rsidRPr="00AD3AAF" w:rsidRDefault="00BF3960" w:rsidP="00BF3960">
            <w:pPr>
              <w:spacing w:after="0" w:line="240" w:lineRule="auto"/>
              <w:jc w:val="right"/>
              <w:rPr>
                <w:rFonts w:ascii="Garamond" w:eastAsia="Times New Roman" w:hAnsi="Garamond" w:cs="Calibri"/>
                <w:color w:val="FFFFFF"/>
                <w:sz w:val="18"/>
                <w:szCs w:val="18"/>
                <w:lang w:eastAsia="es-ES_tradnl"/>
              </w:rPr>
            </w:pPr>
            <w:r w:rsidRPr="00AD3AAF">
              <w:rPr>
                <w:rFonts w:ascii="Garamond" w:hAnsi="Garamond" w:cs="Calibri"/>
                <w:color w:val="000000"/>
                <w:sz w:val="18"/>
                <w:szCs w:val="18"/>
              </w:rPr>
              <w:t>40,66%</w:t>
            </w:r>
          </w:p>
        </w:tc>
        <w:tc>
          <w:tcPr>
            <w:tcW w:w="1418" w:type="dxa"/>
            <w:tcBorders>
              <w:top w:val="nil"/>
              <w:left w:val="nil"/>
              <w:bottom w:val="single" w:sz="4" w:space="0" w:color="auto"/>
              <w:right w:val="single" w:sz="4" w:space="0" w:color="auto"/>
            </w:tcBorders>
            <w:shd w:val="clear" w:color="000000" w:fill="A6A6A6"/>
            <w:noWrap/>
            <w:vAlign w:val="bottom"/>
            <w:hideMark/>
          </w:tcPr>
          <w:p w14:paraId="267D094A" w14:textId="42887D87"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11,84%</w:t>
            </w:r>
          </w:p>
        </w:tc>
        <w:tc>
          <w:tcPr>
            <w:tcW w:w="1417" w:type="dxa"/>
            <w:tcBorders>
              <w:top w:val="nil"/>
              <w:left w:val="nil"/>
              <w:bottom w:val="single" w:sz="4" w:space="0" w:color="auto"/>
              <w:right w:val="single" w:sz="4" w:space="0" w:color="auto"/>
            </w:tcBorders>
            <w:shd w:val="clear" w:color="000000" w:fill="FFC000"/>
            <w:noWrap/>
            <w:vAlign w:val="bottom"/>
            <w:hideMark/>
          </w:tcPr>
          <w:p w14:paraId="25DA31E7" w14:textId="257E232E"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15,81%</w:t>
            </w:r>
          </w:p>
        </w:tc>
        <w:tc>
          <w:tcPr>
            <w:tcW w:w="1418" w:type="dxa"/>
            <w:tcBorders>
              <w:top w:val="nil"/>
              <w:left w:val="nil"/>
              <w:bottom w:val="single" w:sz="4" w:space="0" w:color="auto"/>
              <w:right w:val="single" w:sz="4" w:space="0" w:color="auto"/>
            </w:tcBorders>
            <w:shd w:val="clear" w:color="000000" w:fill="FFE699"/>
            <w:noWrap/>
            <w:vAlign w:val="bottom"/>
            <w:hideMark/>
          </w:tcPr>
          <w:p w14:paraId="3EB9327A" w14:textId="06EA92E1"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14,35%</w:t>
            </w:r>
          </w:p>
        </w:tc>
        <w:tc>
          <w:tcPr>
            <w:tcW w:w="1275" w:type="dxa"/>
            <w:tcBorders>
              <w:top w:val="nil"/>
              <w:left w:val="nil"/>
              <w:bottom w:val="single" w:sz="4" w:space="0" w:color="auto"/>
              <w:right w:val="single" w:sz="4" w:space="0" w:color="auto"/>
            </w:tcBorders>
            <w:shd w:val="clear" w:color="000000" w:fill="5B9BD5"/>
            <w:noWrap/>
            <w:vAlign w:val="bottom"/>
            <w:hideMark/>
          </w:tcPr>
          <w:p w14:paraId="61D237B4" w14:textId="6A8AFC7A"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11,66%</w:t>
            </w:r>
          </w:p>
        </w:tc>
        <w:tc>
          <w:tcPr>
            <w:tcW w:w="1418" w:type="dxa"/>
            <w:tcBorders>
              <w:top w:val="nil"/>
              <w:left w:val="nil"/>
              <w:bottom w:val="single" w:sz="4" w:space="0" w:color="auto"/>
              <w:right w:val="single" w:sz="4" w:space="0" w:color="auto"/>
            </w:tcBorders>
            <w:shd w:val="clear" w:color="000000" w:fill="BDD7EE"/>
            <w:noWrap/>
            <w:vAlign w:val="bottom"/>
            <w:hideMark/>
          </w:tcPr>
          <w:p w14:paraId="58AFD5DF" w14:textId="5CF31D0C"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3,57%</w:t>
            </w:r>
          </w:p>
        </w:tc>
        <w:tc>
          <w:tcPr>
            <w:tcW w:w="1417" w:type="dxa"/>
            <w:tcBorders>
              <w:top w:val="nil"/>
              <w:left w:val="nil"/>
              <w:bottom w:val="single" w:sz="4" w:space="0" w:color="auto"/>
              <w:right w:val="single" w:sz="4" w:space="0" w:color="auto"/>
            </w:tcBorders>
            <w:shd w:val="clear" w:color="000000" w:fill="EDEDED"/>
            <w:noWrap/>
            <w:vAlign w:val="bottom"/>
            <w:hideMark/>
          </w:tcPr>
          <w:p w14:paraId="6CACB1E9" w14:textId="36EB027A"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1,42%</w:t>
            </w:r>
          </w:p>
        </w:tc>
        <w:tc>
          <w:tcPr>
            <w:tcW w:w="1418" w:type="dxa"/>
            <w:tcBorders>
              <w:top w:val="nil"/>
              <w:left w:val="nil"/>
              <w:bottom w:val="single" w:sz="4" w:space="0" w:color="auto"/>
              <w:right w:val="single" w:sz="4" w:space="0" w:color="auto"/>
            </w:tcBorders>
            <w:shd w:val="clear" w:color="000000" w:fill="FCE4D6"/>
            <w:noWrap/>
            <w:vAlign w:val="bottom"/>
            <w:hideMark/>
          </w:tcPr>
          <w:p w14:paraId="3832390C" w14:textId="2E0309E2"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0,69%</w:t>
            </w:r>
          </w:p>
        </w:tc>
      </w:tr>
      <w:tr w:rsidR="00BF3960" w:rsidRPr="00AC2ED3" w14:paraId="78AEE6AB" w14:textId="77777777" w:rsidTr="002F014E">
        <w:trPr>
          <w:trHeight w:val="31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4CE1960" w14:textId="77777777" w:rsidR="00BF3960" w:rsidRPr="00AC2ED3" w:rsidRDefault="00BF3960" w:rsidP="00BF3960">
            <w:pPr>
              <w:spacing w:after="0" w:line="240" w:lineRule="auto"/>
              <w:rPr>
                <w:rFonts w:ascii="Garamond" w:eastAsia="Times New Roman" w:hAnsi="Garamond" w:cs="Calibri"/>
                <w:color w:val="000000"/>
                <w:sz w:val="18"/>
                <w:szCs w:val="16"/>
                <w:lang w:eastAsia="es-ES_tradnl"/>
              </w:rPr>
            </w:pPr>
            <w:r w:rsidRPr="00AC2ED3">
              <w:rPr>
                <w:rFonts w:ascii="Garamond" w:eastAsia="Times New Roman" w:hAnsi="Garamond" w:cs="Calibri"/>
                <w:color w:val="000000"/>
                <w:sz w:val="18"/>
                <w:szCs w:val="16"/>
                <w:lang w:eastAsia="es-ES_tradnl"/>
              </w:rPr>
              <w:t>Rafael Uribe Uribe</w:t>
            </w:r>
          </w:p>
        </w:tc>
        <w:tc>
          <w:tcPr>
            <w:tcW w:w="1276" w:type="dxa"/>
            <w:tcBorders>
              <w:top w:val="nil"/>
              <w:left w:val="nil"/>
              <w:bottom w:val="single" w:sz="4" w:space="0" w:color="auto"/>
              <w:right w:val="single" w:sz="4" w:space="0" w:color="auto"/>
            </w:tcBorders>
            <w:shd w:val="clear" w:color="000000" w:fill="70AD47"/>
            <w:noWrap/>
            <w:vAlign w:val="bottom"/>
            <w:hideMark/>
          </w:tcPr>
          <w:p w14:paraId="01B04821" w14:textId="7D55127F" w:rsidR="00BF3960" w:rsidRPr="00AD3AAF" w:rsidRDefault="00BF3960" w:rsidP="00BF3960">
            <w:pPr>
              <w:spacing w:after="0" w:line="240" w:lineRule="auto"/>
              <w:jc w:val="right"/>
              <w:rPr>
                <w:rFonts w:ascii="Garamond" w:eastAsia="Times New Roman" w:hAnsi="Garamond" w:cs="Calibri"/>
                <w:color w:val="FFFFFF"/>
                <w:sz w:val="18"/>
                <w:szCs w:val="18"/>
                <w:lang w:eastAsia="es-ES_tradnl"/>
              </w:rPr>
            </w:pPr>
            <w:r w:rsidRPr="00AD3AAF">
              <w:rPr>
                <w:rFonts w:ascii="Garamond" w:hAnsi="Garamond" w:cs="Calibri"/>
                <w:color w:val="000000"/>
                <w:sz w:val="18"/>
                <w:szCs w:val="18"/>
              </w:rPr>
              <w:t>40,34%</w:t>
            </w:r>
          </w:p>
        </w:tc>
        <w:tc>
          <w:tcPr>
            <w:tcW w:w="1418" w:type="dxa"/>
            <w:tcBorders>
              <w:top w:val="nil"/>
              <w:left w:val="nil"/>
              <w:bottom w:val="single" w:sz="4" w:space="0" w:color="auto"/>
              <w:right w:val="single" w:sz="4" w:space="0" w:color="auto"/>
            </w:tcBorders>
            <w:shd w:val="clear" w:color="000000" w:fill="A6A6A6"/>
            <w:noWrap/>
            <w:vAlign w:val="bottom"/>
            <w:hideMark/>
          </w:tcPr>
          <w:p w14:paraId="62CBBBB4" w14:textId="5CDF0FE2"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12,82%</w:t>
            </w:r>
          </w:p>
        </w:tc>
        <w:tc>
          <w:tcPr>
            <w:tcW w:w="1417" w:type="dxa"/>
            <w:tcBorders>
              <w:top w:val="nil"/>
              <w:left w:val="nil"/>
              <w:bottom w:val="single" w:sz="4" w:space="0" w:color="auto"/>
              <w:right w:val="single" w:sz="4" w:space="0" w:color="auto"/>
            </w:tcBorders>
            <w:shd w:val="clear" w:color="000000" w:fill="FFE699"/>
            <w:noWrap/>
            <w:vAlign w:val="bottom"/>
            <w:hideMark/>
          </w:tcPr>
          <w:p w14:paraId="3CECDE8E" w14:textId="367A7ADA"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14,94%</w:t>
            </w:r>
          </w:p>
        </w:tc>
        <w:tc>
          <w:tcPr>
            <w:tcW w:w="1418" w:type="dxa"/>
            <w:tcBorders>
              <w:top w:val="nil"/>
              <w:left w:val="nil"/>
              <w:bottom w:val="single" w:sz="4" w:space="0" w:color="auto"/>
              <w:right w:val="single" w:sz="4" w:space="0" w:color="auto"/>
            </w:tcBorders>
            <w:shd w:val="clear" w:color="000000" w:fill="FFC000"/>
            <w:noWrap/>
            <w:vAlign w:val="bottom"/>
            <w:hideMark/>
          </w:tcPr>
          <w:p w14:paraId="6622C939" w14:textId="71276D41"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16,09%</w:t>
            </w:r>
          </w:p>
        </w:tc>
        <w:tc>
          <w:tcPr>
            <w:tcW w:w="1275" w:type="dxa"/>
            <w:tcBorders>
              <w:top w:val="nil"/>
              <w:left w:val="nil"/>
              <w:bottom w:val="single" w:sz="4" w:space="0" w:color="auto"/>
              <w:right w:val="single" w:sz="4" w:space="0" w:color="auto"/>
            </w:tcBorders>
            <w:shd w:val="clear" w:color="000000" w:fill="5B9BD5"/>
            <w:noWrap/>
            <w:vAlign w:val="bottom"/>
            <w:hideMark/>
          </w:tcPr>
          <w:p w14:paraId="5F8E6F2A" w14:textId="16DF3936"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11,32%</w:t>
            </w:r>
          </w:p>
        </w:tc>
        <w:tc>
          <w:tcPr>
            <w:tcW w:w="1418" w:type="dxa"/>
            <w:tcBorders>
              <w:top w:val="nil"/>
              <w:left w:val="nil"/>
              <w:bottom w:val="single" w:sz="4" w:space="0" w:color="auto"/>
              <w:right w:val="single" w:sz="4" w:space="0" w:color="auto"/>
            </w:tcBorders>
            <w:shd w:val="clear" w:color="000000" w:fill="BDD7EE"/>
            <w:noWrap/>
            <w:vAlign w:val="bottom"/>
            <w:hideMark/>
          </w:tcPr>
          <w:p w14:paraId="764B87D4" w14:textId="553D9AAB"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3,52%</w:t>
            </w:r>
          </w:p>
        </w:tc>
        <w:tc>
          <w:tcPr>
            <w:tcW w:w="1417" w:type="dxa"/>
            <w:tcBorders>
              <w:top w:val="nil"/>
              <w:left w:val="nil"/>
              <w:bottom w:val="single" w:sz="4" w:space="0" w:color="auto"/>
              <w:right w:val="single" w:sz="4" w:space="0" w:color="auto"/>
            </w:tcBorders>
            <w:shd w:val="clear" w:color="000000" w:fill="EDEDED"/>
            <w:noWrap/>
            <w:vAlign w:val="bottom"/>
            <w:hideMark/>
          </w:tcPr>
          <w:p w14:paraId="4AA6CD98" w14:textId="7E3416E3"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0,63%</w:t>
            </w:r>
          </w:p>
        </w:tc>
        <w:tc>
          <w:tcPr>
            <w:tcW w:w="1418" w:type="dxa"/>
            <w:tcBorders>
              <w:top w:val="nil"/>
              <w:left w:val="nil"/>
              <w:bottom w:val="single" w:sz="4" w:space="0" w:color="auto"/>
              <w:right w:val="single" w:sz="4" w:space="0" w:color="auto"/>
            </w:tcBorders>
            <w:shd w:val="clear" w:color="000000" w:fill="FCE4D6"/>
            <w:noWrap/>
            <w:vAlign w:val="bottom"/>
            <w:hideMark/>
          </w:tcPr>
          <w:p w14:paraId="7C2A2A8A" w14:textId="69949BB3"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0,34%</w:t>
            </w:r>
          </w:p>
        </w:tc>
      </w:tr>
      <w:tr w:rsidR="00BF3960" w:rsidRPr="00AC2ED3" w14:paraId="36CA2511" w14:textId="77777777" w:rsidTr="00E84B0C">
        <w:trPr>
          <w:trHeight w:val="31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8D415BF" w14:textId="77777777" w:rsidR="00BF3960" w:rsidRPr="00AC2ED3" w:rsidRDefault="00BF3960" w:rsidP="00BF3960">
            <w:pPr>
              <w:spacing w:after="0" w:line="240" w:lineRule="auto"/>
              <w:rPr>
                <w:rFonts w:ascii="Garamond" w:eastAsia="Times New Roman" w:hAnsi="Garamond" w:cs="Calibri"/>
                <w:color w:val="000000"/>
                <w:sz w:val="18"/>
                <w:szCs w:val="16"/>
                <w:lang w:eastAsia="es-ES_tradnl"/>
              </w:rPr>
            </w:pPr>
            <w:r w:rsidRPr="00AC2ED3">
              <w:rPr>
                <w:rFonts w:ascii="Garamond" w:eastAsia="Times New Roman" w:hAnsi="Garamond" w:cs="Calibri"/>
                <w:color w:val="000000"/>
                <w:sz w:val="18"/>
                <w:szCs w:val="16"/>
                <w:lang w:eastAsia="es-ES_tradnl"/>
              </w:rPr>
              <w:t>Fontibón</w:t>
            </w:r>
          </w:p>
        </w:tc>
        <w:tc>
          <w:tcPr>
            <w:tcW w:w="1276" w:type="dxa"/>
            <w:tcBorders>
              <w:top w:val="nil"/>
              <w:left w:val="nil"/>
              <w:bottom w:val="single" w:sz="4" w:space="0" w:color="auto"/>
              <w:right w:val="single" w:sz="4" w:space="0" w:color="auto"/>
            </w:tcBorders>
            <w:shd w:val="clear" w:color="000000" w:fill="70AD47"/>
            <w:noWrap/>
            <w:vAlign w:val="bottom"/>
            <w:hideMark/>
          </w:tcPr>
          <w:p w14:paraId="2B532252" w14:textId="1E645801" w:rsidR="00BF3960" w:rsidRPr="00AD3AAF" w:rsidRDefault="00BF3960" w:rsidP="00BF3960">
            <w:pPr>
              <w:spacing w:after="0" w:line="240" w:lineRule="auto"/>
              <w:jc w:val="right"/>
              <w:rPr>
                <w:rFonts w:ascii="Garamond" w:eastAsia="Times New Roman" w:hAnsi="Garamond" w:cs="Calibri"/>
                <w:color w:val="FFFFFF"/>
                <w:sz w:val="18"/>
                <w:szCs w:val="18"/>
                <w:lang w:eastAsia="es-ES_tradnl"/>
              </w:rPr>
            </w:pPr>
            <w:r w:rsidRPr="00AD3AAF">
              <w:rPr>
                <w:rFonts w:ascii="Garamond" w:hAnsi="Garamond" w:cs="Calibri"/>
                <w:color w:val="000000"/>
                <w:sz w:val="18"/>
                <w:szCs w:val="18"/>
              </w:rPr>
              <w:t>39,68%</w:t>
            </w:r>
          </w:p>
        </w:tc>
        <w:tc>
          <w:tcPr>
            <w:tcW w:w="1418" w:type="dxa"/>
            <w:tcBorders>
              <w:top w:val="nil"/>
              <w:left w:val="nil"/>
              <w:bottom w:val="single" w:sz="4" w:space="0" w:color="auto"/>
              <w:right w:val="single" w:sz="4" w:space="0" w:color="auto"/>
            </w:tcBorders>
            <w:shd w:val="clear" w:color="000000" w:fill="FFC000"/>
            <w:noWrap/>
            <w:vAlign w:val="bottom"/>
            <w:hideMark/>
          </w:tcPr>
          <w:p w14:paraId="2F5866C7" w14:textId="705EDBD2"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16,13%</w:t>
            </w:r>
          </w:p>
        </w:tc>
        <w:tc>
          <w:tcPr>
            <w:tcW w:w="1417" w:type="dxa"/>
            <w:tcBorders>
              <w:top w:val="nil"/>
              <w:left w:val="nil"/>
              <w:bottom w:val="single" w:sz="4" w:space="0" w:color="auto"/>
              <w:right w:val="single" w:sz="4" w:space="0" w:color="auto"/>
            </w:tcBorders>
            <w:shd w:val="clear" w:color="000000" w:fill="FFE699"/>
            <w:noWrap/>
            <w:vAlign w:val="bottom"/>
            <w:hideMark/>
          </w:tcPr>
          <w:p w14:paraId="6D6BA29A" w14:textId="3686150B"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13,14%</w:t>
            </w:r>
          </w:p>
        </w:tc>
        <w:tc>
          <w:tcPr>
            <w:tcW w:w="1418" w:type="dxa"/>
            <w:tcBorders>
              <w:top w:val="nil"/>
              <w:left w:val="nil"/>
              <w:bottom w:val="single" w:sz="4" w:space="0" w:color="auto"/>
              <w:right w:val="single" w:sz="4" w:space="0" w:color="auto"/>
            </w:tcBorders>
            <w:shd w:val="clear" w:color="000000" w:fill="A6A6A6"/>
            <w:noWrap/>
            <w:vAlign w:val="bottom"/>
            <w:hideMark/>
          </w:tcPr>
          <w:p w14:paraId="5549E4A1" w14:textId="0BA2D67C"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13,07%</w:t>
            </w:r>
          </w:p>
        </w:tc>
        <w:tc>
          <w:tcPr>
            <w:tcW w:w="1275" w:type="dxa"/>
            <w:tcBorders>
              <w:top w:val="nil"/>
              <w:left w:val="nil"/>
              <w:bottom w:val="single" w:sz="4" w:space="0" w:color="auto"/>
              <w:right w:val="single" w:sz="4" w:space="0" w:color="auto"/>
            </w:tcBorders>
            <w:shd w:val="clear" w:color="000000" w:fill="5B9BD5"/>
            <w:noWrap/>
            <w:vAlign w:val="bottom"/>
            <w:hideMark/>
          </w:tcPr>
          <w:p w14:paraId="0ED4E9E7" w14:textId="1F621037"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11,44%</w:t>
            </w:r>
          </w:p>
        </w:tc>
        <w:tc>
          <w:tcPr>
            <w:tcW w:w="1418" w:type="dxa"/>
            <w:tcBorders>
              <w:top w:val="nil"/>
              <w:left w:val="nil"/>
              <w:bottom w:val="single" w:sz="4" w:space="0" w:color="auto"/>
              <w:right w:val="single" w:sz="4" w:space="0" w:color="auto"/>
            </w:tcBorders>
            <w:shd w:val="clear" w:color="000000" w:fill="BDD7EE"/>
            <w:noWrap/>
            <w:vAlign w:val="bottom"/>
            <w:hideMark/>
          </w:tcPr>
          <w:p w14:paraId="191E0E99" w14:textId="0A791E36"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3,94%</w:t>
            </w:r>
          </w:p>
        </w:tc>
        <w:tc>
          <w:tcPr>
            <w:tcW w:w="1417" w:type="dxa"/>
            <w:tcBorders>
              <w:top w:val="nil"/>
              <w:left w:val="nil"/>
              <w:bottom w:val="single" w:sz="4" w:space="0" w:color="auto"/>
              <w:right w:val="single" w:sz="4" w:space="0" w:color="auto"/>
            </w:tcBorders>
            <w:shd w:val="clear" w:color="auto" w:fill="F2F2F2" w:themeFill="background1" w:themeFillShade="F2"/>
            <w:noWrap/>
            <w:vAlign w:val="bottom"/>
            <w:hideMark/>
          </w:tcPr>
          <w:p w14:paraId="3122C898" w14:textId="0E704249" w:rsidR="00BF3960" w:rsidRPr="00E84B0C" w:rsidRDefault="00BF3960" w:rsidP="00BF3960">
            <w:pPr>
              <w:spacing w:after="0" w:line="240" w:lineRule="auto"/>
              <w:jc w:val="right"/>
              <w:rPr>
                <w:rFonts w:ascii="Garamond" w:hAnsi="Garamond" w:cs="Calibri"/>
                <w:color w:val="000000"/>
                <w:sz w:val="18"/>
                <w:szCs w:val="18"/>
              </w:rPr>
            </w:pPr>
            <w:r w:rsidRPr="00AD3AAF">
              <w:rPr>
                <w:rFonts w:ascii="Garamond" w:hAnsi="Garamond" w:cs="Calibri"/>
                <w:color w:val="000000"/>
                <w:sz w:val="18"/>
                <w:szCs w:val="18"/>
              </w:rPr>
              <w:t>1,33%</w:t>
            </w:r>
          </w:p>
        </w:tc>
        <w:tc>
          <w:tcPr>
            <w:tcW w:w="1418" w:type="dxa"/>
            <w:tcBorders>
              <w:top w:val="nil"/>
              <w:left w:val="nil"/>
              <w:bottom w:val="single" w:sz="4" w:space="0" w:color="auto"/>
              <w:right w:val="single" w:sz="4" w:space="0" w:color="auto"/>
            </w:tcBorders>
            <w:shd w:val="clear" w:color="auto" w:fill="FDE9D9" w:themeFill="accent6" w:themeFillTint="33"/>
            <w:noWrap/>
            <w:vAlign w:val="bottom"/>
            <w:hideMark/>
          </w:tcPr>
          <w:p w14:paraId="1E762DDC" w14:textId="6B406124"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1,28%</w:t>
            </w:r>
          </w:p>
        </w:tc>
      </w:tr>
      <w:tr w:rsidR="00BF3960" w:rsidRPr="00AC2ED3" w14:paraId="61AF8159" w14:textId="77777777" w:rsidTr="002F014E">
        <w:trPr>
          <w:trHeight w:val="31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3FCD658" w14:textId="77777777" w:rsidR="00BF3960" w:rsidRPr="00AC2ED3" w:rsidRDefault="00BF3960" w:rsidP="00BF3960">
            <w:pPr>
              <w:spacing w:after="0" w:line="240" w:lineRule="auto"/>
              <w:rPr>
                <w:rFonts w:ascii="Garamond" w:eastAsia="Times New Roman" w:hAnsi="Garamond" w:cs="Calibri"/>
                <w:color w:val="000000"/>
                <w:sz w:val="18"/>
                <w:szCs w:val="16"/>
                <w:lang w:eastAsia="es-ES_tradnl"/>
              </w:rPr>
            </w:pPr>
            <w:r w:rsidRPr="00AC2ED3">
              <w:rPr>
                <w:rFonts w:ascii="Garamond" w:eastAsia="Times New Roman" w:hAnsi="Garamond" w:cs="Calibri"/>
                <w:color w:val="000000"/>
                <w:sz w:val="18"/>
                <w:szCs w:val="16"/>
                <w:lang w:eastAsia="es-ES_tradnl"/>
              </w:rPr>
              <w:t>Engativá</w:t>
            </w:r>
          </w:p>
        </w:tc>
        <w:tc>
          <w:tcPr>
            <w:tcW w:w="1276" w:type="dxa"/>
            <w:tcBorders>
              <w:top w:val="nil"/>
              <w:left w:val="nil"/>
              <w:bottom w:val="single" w:sz="4" w:space="0" w:color="auto"/>
              <w:right w:val="single" w:sz="4" w:space="0" w:color="auto"/>
            </w:tcBorders>
            <w:shd w:val="clear" w:color="000000" w:fill="70AD47"/>
            <w:noWrap/>
            <w:vAlign w:val="bottom"/>
            <w:hideMark/>
          </w:tcPr>
          <w:p w14:paraId="15B7A74B" w14:textId="4566B314" w:rsidR="00BF3960" w:rsidRPr="00AD3AAF" w:rsidRDefault="00BF3960" w:rsidP="00BF3960">
            <w:pPr>
              <w:spacing w:after="0" w:line="240" w:lineRule="auto"/>
              <w:jc w:val="right"/>
              <w:rPr>
                <w:rFonts w:ascii="Garamond" w:eastAsia="Times New Roman" w:hAnsi="Garamond" w:cs="Calibri"/>
                <w:color w:val="FFFFFF"/>
                <w:sz w:val="18"/>
                <w:szCs w:val="18"/>
                <w:lang w:eastAsia="es-ES_tradnl"/>
              </w:rPr>
            </w:pPr>
            <w:r w:rsidRPr="00AD3AAF">
              <w:rPr>
                <w:rFonts w:ascii="Garamond" w:hAnsi="Garamond" w:cs="Calibri"/>
                <w:color w:val="000000"/>
                <w:sz w:val="18"/>
                <w:szCs w:val="18"/>
              </w:rPr>
              <w:t>39,01%</w:t>
            </w:r>
          </w:p>
        </w:tc>
        <w:tc>
          <w:tcPr>
            <w:tcW w:w="1418" w:type="dxa"/>
            <w:tcBorders>
              <w:top w:val="nil"/>
              <w:left w:val="nil"/>
              <w:bottom w:val="single" w:sz="4" w:space="0" w:color="auto"/>
              <w:right w:val="single" w:sz="4" w:space="0" w:color="auto"/>
            </w:tcBorders>
            <w:shd w:val="clear" w:color="000000" w:fill="FFE699"/>
            <w:noWrap/>
            <w:vAlign w:val="bottom"/>
            <w:hideMark/>
          </w:tcPr>
          <w:p w14:paraId="41999A00" w14:textId="2411FD2B"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13,84%</w:t>
            </w:r>
          </w:p>
        </w:tc>
        <w:tc>
          <w:tcPr>
            <w:tcW w:w="1417" w:type="dxa"/>
            <w:tcBorders>
              <w:top w:val="nil"/>
              <w:left w:val="nil"/>
              <w:bottom w:val="single" w:sz="4" w:space="0" w:color="auto"/>
              <w:right w:val="single" w:sz="4" w:space="0" w:color="auto"/>
            </w:tcBorders>
            <w:shd w:val="clear" w:color="000000" w:fill="FFC000"/>
            <w:noWrap/>
            <w:vAlign w:val="bottom"/>
            <w:hideMark/>
          </w:tcPr>
          <w:p w14:paraId="3CB5BCDB" w14:textId="272EF274"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16,53%</w:t>
            </w:r>
          </w:p>
        </w:tc>
        <w:tc>
          <w:tcPr>
            <w:tcW w:w="1418" w:type="dxa"/>
            <w:tcBorders>
              <w:top w:val="nil"/>
              <w:left w:val="nil"/>
              <w:bottom w:val="single" w:sz="4" w:space="0" w:color="auto"/>
              <w:right w:val="single" w:sz="4" w:space="0" w:color="auto"/>
            </w:tcBorders>
            <w:shd w:val="clear" w:color="000000" w:fill="A6A6A6"/>
            <w:noWrap/>
            <w:vAlign w:val="bottom"/>
            <w:hideMark/>
          </w:tcPr>
          <w:p w14:paraId="231AE2A5" w14:textId="676B39EC"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13,48%</w:t>
            </w:r>
          </w:p>
        </w:tc>
        <w:tc>
          <w:tcPr>
            <w:tcW w:w="1275" w:type="dxa"/>
            <w:tcBorders>
              <w:top w:val="nil"/>
              <w:left w:val="nil"/>
              <w:bottom w:val="single" w:sz="4" w:space="0" w:color="auto"/>
              <w:right w:val="single" w:sz="4" w:space="0" w:color="auto"/>
            </w:tcBorders>
            <w:shd w:val="clear" w:color="000000" w:fill="5B9BD5"/>
            <w:noWrap/>
            <w:vAlign w:val="bottom"/>
            <w:hideMark/>
          </w:tcPr>
          <w:p w14:paraId="5975998C" w14:textId="085A6677"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10,79%</w:t>
            </w:r>
          </w:p>
        </w:tc>
        <w:tc>
          <w:tcPr>
            <w:tcW w:w="1418" w:type="dxa"/>
            <w:tcBorders>
              <w:top w:val="nil"/>
              <w:left w:val="nil"/>
              <w:bottom w:val="single" w:sz="4" w:space="0" w:color="auto"/>
              <w:right w:val="single" w:sz="4" w:space="0" w:color="auto"/>
            </w:tcBorders>
            <w:shd w:val="clear" w:color="000000" w:fill="BDD7EE"/>
            <w:noWrap/>
            <w:vAlign w:val="bottom"/>
            <w:hideMark/>
          </w:tcPr>
          <w:p w14:paraId="0F908640" w14:textId="62DA1962"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3,98%</w:t>
            </w:r>
          </w:p>
        </w:tc>
        <w:tc>
          <w:tcPr>
            <w:tcW w:w="1417" w:type="dxa"/>
            <w:tcBorders>
              <w:top w:val="nil"/>
              <w:left w:val="nil"/>
              <w:bottom w:val="single" w:sz="4" w:space="0" w:color="auto"/>
              <w:right w:val="single" w:sz="4" w:space="0" w:color="auto"/>
            </w:tcBorders>
            <w:shd w:val="clear" w:color="000000" w:fill="EDEDED"/>
            <w:noWrap/>
            <w:vAlign w:val="bottom"/>
            <w:hideMark/>
          </w:tcPr>
          <w:p w14:paraId="367AF86D" w14:textId="54A57585"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1,43%</w:t>
            </w:r>
          </w:p>
        </w:tc>
        <w:tc>
          <w:tcPr>
            <w:tcW w:w="1418" w:type="dxa"/>
            <w:tcBorders>
              <w:top w:val="nil"/>
              <w:left w:val="nil"/>
              <w:bottom w:val="single" w:sz="4" w:space="0" w:color="auto"/>
              <w:right w:val="single" w:sz="4" w:space="0" w:color="auto"/>
            </w:tcBorders>
            <w:shd w:val="clear" w:color="000000" w:fill="FCE4D6"/>
            <w:noWrap/>
            <w:vAlign w:val="bottom"/>
            <w:hideMark/>
          </w:tcPr>
          <w:p w14:paraId="269949C3" w14:textId="3FFD46C7"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0,93%</w:t>
            </w:r>
          </w:p>
        </w:tc>
      </w:tr>
      <w:tr w:rsidR="00BF3960" w:rsidRPr="00AC2ED3" w14:paraId="6A2D0F5F" w14:textId="77777777" w:rsidTr="002F014E">
        <w:trPr>
          <w:trHeight w:val="31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502266D" w14:textId="77777777" w:rsidR="00BF3960" w:rsidRPr="00AC2ED3" w:rsidRDefault="00BF3960" w:rsidP="00BF3960">
            <w:pPr>
              <w:spacing w:after="0" w:line="240" w:lineRule="auto"/>
              <w:rPr>
                <w:rFonts w:ascii="Garamond" w:eastAsia="Times New Roman" w:hAnsi="Garamond" w:cs="Calibri"/>
                <w:color w:val="000000"/>
                <w:sz w:val="18"/>
                <w:szCs w:val="16"/>
                <w:lang w:eastAsia="es-ES_tradnl"/>
              </w:rPr>
            </w:pPr>
            <w:r w:rsidRPr="00AC2ED3">
              <w:rPr>
                <w:rFonts w:ascii="Garamond" w:eastAsia="Times New Roman" w:hAnsi="Garamond" w:cs="Calibri"/>
                <w:color w:val="000000"/>
                <w:sz w:val="18"/>
                <w:szCs w:val="16"/>
                <w:lang w:eastAsia="es-ES_tradnl"/>
              </w:rPr>
              <w:t>Suba</w:t>
            </w:r>
          </w:p>
        </w:tc>
        <w:tc>
          <w:tcPr>
            <w:tcW w:w="1276" w:type="dxa"/>
            <w:tcBorders>
              <w:top w:val="nil"/>
              <w:left w:val="nil"/>
              <w:bottom w:val="single" w:sz="4" w:space="0" w:color="auto"/>
              <w:right w:val="single" w:sz="4" w:space="0" w:color="auto"/>
            </w:tcBorders>
            <w:shd w:val="clear" w:color="000000" w:fill="70AD47"/>
            <w:noWrap/>
            <w:vAlign w:val="bottom"/>
            <w:hideMark/>
          </w:tcPr>
          <w:p w14:paraId="5E88D712" w14:textId="4054622D" w:rsidR="00BF3960" w:rsidRPr="00AD3AAF" w:rsidRDefault="00BF3960" w:rsidP="00BF3960">
            <w:pPr>
              <w:spacing w:after="0" w:line="240" w:lineRule="auto"/>
              <w:jc w:val="right"/>
              <w:rPr>
                <w:rFonts w:ascii="Garamond" w:eastAsia="Times New Roman" w:hAnsi="Garamond" w:cs="Calibri"/>
                <w:color w:val="FFFFFF"/>
                <w:sz w:val="18"/>
                <w:szCs w:val="18"/>
                <w:lang w:eastAsia="es-ES_tradnl"/>
              </w:rPr>
            </w:pPr>
            <w:r w:rsidRPr="00AD3AAF">
              <w:rPr>
                <w:rFonts w:ascii="Garamond" w:hAnsi="Garamond" w:cs="Calibri"/>
                <w:color w:val="000000"/>
                <w:sz w:val="18"/>
                <w:szCs w:val="18"/>
              </w:rPr>
              <w:t>38,99%</w:t>
            </w:r>
          </w:p>
        </w:tc>
        <w:tc>
          <w:tcPr>
            <w:tcW w:w="1418" w:type="dxa"/>
            <w:tcBorders>
              <w:top w:val="nil"/>
              <w:left w:val="nil"/>
              <w:bottom w:val="single" w:sz="4" w:space="0" w:color="auto"/>
              <w:right w:val="single" w:sz="4" w:space="0" w:color="auto"/>
            </w:tcBorders>
            <w:shd w:val="clear" w:color="000000" w:fill="FFC000"/>
            <w:noWrap/>
            <w:vAlign w:val="bottom"/>
            <w:hideMark/>
          </w:tcPr>
          <w:p w14:paraId="42AFC593" w14:textId="4485C252"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18,83%</w:t>
            </w:r>
          </w:p>
        </w:tc>
        <w:tc>
          <w:tcPr>
            <w:tcW w:w="1417" w:type="dxa"/>
            <w:tcBorders>
              <w:top w:val="nil"/>
              <w:left w:val="nil"/>
              <w:bottom w:val="single" w:sz="4" w:space="0" w:color="auto"/>
              <w:right w:val="single" w:sz="4" w:space="0" w:color="auto"/>
            </w:tcBorders>
            <w:shd w:val="clear" w:color="000000" w:fill="A6A6A6"/>
            <w:noWrap/>
            <w:vAlign w:val="bottom"/>
            <w:hideMark/>
          </w:tcPr>
          <w:p w14:paraId="6C3B71CA" w14:textId="777363AB"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12,19%</w:t>
            </w:r>
          </w:p>
        </w:tc>
        <w:tc>
          <w:tcPr>
            <w:tcW w:w="1418" w:type="dxa"/>
            <w:tcBorders>
              <w:top w:val="nil"/>
              <w:left w:val="nil"/>
              <w:bottom w:val="single" w:sz="4" w:space="0" w:color="auto"/>
              <w:right w:val="single" w:sz="4" w:space="0" w:color="auto"/>
            </w:tcBorders>
            <w:shd w:val="clear" w:color="000000" w:fill="FFE699"/>
            <w:noWrap/>
            <w:vAlign w:val="bottom"/>
            <w:hideMark/>
          </w:tcPr>
          <w:p w14:paraId="3F8946F9" w14:textId="080D39DF"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12,87%</w:t>
            </w:r>
          </w:p>
        </w:tc>
        <w:tc>
          <w:tcPr>
            <w:tcW w:w="1275" w:type="dxa"/>
            <w:tcBorders>
              <w:top w:val="nil"/>
              <w:left w:val="nil"/>
              <w:bottom w:val="single" w:sz="4" w:space="0" w:color="auto"/>
              <w:right w:val="single" w:sz="4" w:space="0" w:color="auto"/>
            </w:tcBorders>
            <w:shd w:val="clear" w:color="000000" w:fill="5B9BD5"/>
            <w:noWrap/>
            <w:vAlign w:val="bottom"/>
            <w:hideMark/>
          </w:tcPr>
          <w:p w14:paraId="10748A36" w14:textId="712144B1"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11,52%</w:t>
            </w:r>
          </w:p>
        </w:tc>
        <w:tc>
          <w:tcPr>
            <w:tcW w:w="1418" w:type="dxa"/>
            <w:tcBorders>
              <w:top w:val="nil"/>
              <w:left w:val="nil"/>
              <w:bottom w:val="single" w:sz="4" w:space="0" w:color="auto"/>
              <w:right w:val="single" w:sz="4" w:space="0" w:color="auto"/>
            </w:tcBorders>
            <w:shd w:val="clear" w:color="000000" w:fill="BDD7EE"/>
            <w:noWrap/>
            <w:vAlign w:val="bottom"/>
            <w:hideMark/>
          </w:tcPr>
          <w:p w14:paraId="61E70598" w14:textId="70232D1D"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3,33%</w:t>
            </w:r>
          </w:p>
        </w:tc>
        <w:tc>
          <w:tcPr>
            <w:tcW w:w="1417" w:type="dxa"/>
            <w:tcBorders>
              <w:top w:val="nil"/>
              <w:left w:val="nil"/>
              <w:bottom w:val="single" w:sz="4" w:space="0" w:color="auto"/>
              <w:right w:val="single" w:sz="4" w:space="0" w:color="auto"/>
            </w:tcBorders>
            <w:shd w:val="clear" w:color="000000" w:fill="EDEDED"/>
            <w:noWrap/>
            <w:vAlign w:val="bottom"/>
            <w:hideMark/>
          </w:tcPr>
          <w:p w14:paraId="76CE7919" w14:textId="191E5FB1"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1,43%</w:t>
            </w:r>
          </w:p>
        </w:tc>
        <w:tc>
          <w:tcPr>
            <w:tcW w:w="1418" w:type="dxa"/>
            <w:tcBorders>
              <w:top w:val="nil"/>
              <w:left w:val="nil"/>
              <w:bottom w:val="single" w:sz="4" w:space="0" w:color="auto"/>
              <w:right w:val="single" w:sz="4" w:space="0" w:color="auto"/>
            </w:tcBorders>
            <w:shd w:val="clear" w:color="000000" w:fill="FCE4D6"/>
            <w:noWrap/>
            <w:vAlign w:val="bottom"/>
            <w:hideMark/>
          </w:tcPr>
          <w:p w14:paraId="6A08AEF6" w14:textId="505A95C9"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0,84%</w:t>
            </w:r>
          </w:p>
        </w:tc>
      </w:tr>
      <w:tr w:rsidR="00BF3960" w:rsidRPr="00AC2ED3" w14:paraId="1C286F61" w14:textId="77777777" w:rsidTr="002F014E">
        <w:trPr>
          <w:trHeight w:val="31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DB3A0F4" w14:textId="77777777" w:rsidR="00BF3960" w:rsidRPr="00AC2ED3" w:rsidRDefault="00BF3960" w:rsidP="00BF3960">
            <w:pPr>
              <w:spacing w:after="0" w:line="240" w:lineRule="auto"/>
              <w:rPr>
                <w:rFonts w:ascii="Garamond" w:eastAsia="Times New Roman" w:hAnsi="Garamond" w:cs="Calibri"/>
                <w:color w:val="000000"/>
                <w:sz w:val="18"/>
                <w:szCs w:val="16"/>
                <w:lang w:eastAsia="es-ES_tradnl"/>
              </w:rPr>
            </w:pPr>
            <w:r w:rsidRPr="00AC2ED3">
              <w:rPr>
                <w:rFonts w:ascii="Garamond" w:eastAsia="Times New Roman" w:hAnsi="Garamond" w:cs="Calibri"/>
                <w:color w:val="000000"/>
                <w:sz w:val="18"/>
                <w:szCs w:val="16"/>
                <w:lang w:eastAsia="es-ES_tradnl"/>
              </w:rPr>
              <w:t>Antonio Nariño</w:t>
            </w:r>
          </w:p>
        </w:tc>
        <w:tc>
          <w:tcPr>
            <w:tcW w:w="1276" w:type="dxa"/>
            <w:tcBorders>
              <w:top w:val="nil"/>
              <w:left w:val="nil"/>
              <w:bottom w:val="single" w:sz="4" w:space="0" w:color="auto"/>
              <w:right w:val="single" w:sz="4" w:space="0" w:color="auto"/>
            </w:tcBorders>
            <w:shd w:val="clear" w:color="000000" w:fill="70AD47"/>
            <w:noWrap/>
            <w:vAlign w:val="bottom"/>
            <w:hideMark/>
          </w:tcPr>
          <w:p w14:paraId="4F328AA1" w14:textId="7BB44A5C" w:rsidR="00BF3960" w:rsidRPr="00AD3AAF" w:rsidRDefault="00BF3960" w:rsidP="00BF3960">
            <w:pPr>
              <w:spacing w:after="0" w:line="240" w:lineRule="auto"/>
              <w:jc w:val="right"/>
              <w:rPr>
                <w:rFonts w:ascii="Garamond" w:eastAsia="Times New Roman" w:hAnsi="Garamond" w:cs="Calibri"/>
                <w:color w:val="FFFFFF"/>
                <w:sz w:val="18"/>
                <w:szCs w:val="18"/>
                <w:lang w:eastAsia="es-ES_tradnl"/>
              </w:rPr>
            </w:pPr>
            <w:r w:rsidRPr="00AD3AAF">
              <w:rPr>
                <w:rFonts w:ascii="Garamond" w:hAnsi="Garamond" w:cs="Calibri"/>
                <w:color w:val="000000"/>
                <w:sz w:val="18"/>
                <w:szCs w:val="18"/>
              </w:rPr>
              <w:t>38,73%</w:t>
            </w:r>
          </w:p>
        </w:tc>
        <w:tc>
          <w:tcPr>
            <w:tcW w:w="1418" w:type="dxa"/>
            <w:tcBorders>
              <w:top w:val="nil"/>
              <w:left w:val="nil"/>
              <w:bottom w:val="single" w:sz="4" w:space="0" w:color="auto"/>
              <w:right w:val="single" w:sz="4" w:space="0" w:color="auto"/>
            </w:tcBorders>
            <w:shd w:val="clear" w:color="000000" w:fill="A6A6A6"/>
            <w:noWrap/>
            <w:vAlign w:val="bottom"/>
            <w:hideMark/>
          </w:tcPr>
          <w:p w14:paraId="60FD2218" w14:textId="5D8A1A98"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10,96%</w:t>
            </w:r>
          </w:p>
        </w:tc>
        <w:tc>
          <w:tcPr>
            <w:tcW w:w="1417" w:type="dxa"/>
            <w:tcBorders>
              <w:top w:val="nil"/>
              <w:left w:val="nil"/>
              <w:bottom w:val="single" w:sz="4" w:space="0" w:color="auto"/>
              <w:right w:val="single" w:sz="4" w:space="0" w:color="auto"/>
            </w:tcBorders>
            <w:shd w:val="clear" w:color="000000" w:fill="FFC000"/>
            <w:noWrap/>
            <w:vAlign w:val="bottom"/>
            <w:hideMark/>
          </w:tcPr>
          <w:p w14:paraId="6A11EA3A" w14:textId="0F8980FA"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17,26%</w:t>
            </w:r>
          </w:p>
        </w:tc>
        <w:tc>
          <w:tcPr>
            <w:tcW w:w="1418" w:type="dxa"/>
            <w:tcBorders>
              <w:top w:val="nil"/>
              <w:left w:val="nil"/>
              <w:bottom w:val="single" w:sz="4" w:space="0" w:color="auto"/>
              <w:right w:val="single" w:sz="4" w:space="0" w:color="auto"/>
            </w:tcBorders>
            <w:shd w:val="clear" w:color="000000" w:fill="FFE699"/>
            <w:noWrap/>
            <w:vAlign w:val="bottom"/>
            <w:hideMark/>
          </w:tcPr>
          <w:p w14:paraId="4C53A868" w14:textId="23A16731"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15,04%</w:t>
            </w:r>
          </w:p>
        </w:tc>
        <w:tc>
          <w:tcPr>
            <w:tcW w:w="1275" w:type="dxa"/>
            <w:tcBorders>
              <w:top w:val="nil"/>
              <w:left w:val="nil"/>
              <w:bottom w:val="single" w:sz="4" w:space="0" w:color="auto"/>
              <w:right w:val="single" w:sz="4" w:space="0" w:color="auto"/>
            </w:tcBorders>
            <w:shd w:val="clear" w:color="000000" w:fill="5B9BD5"/>
            <w:noWrap/>
            <w:vAlign w:val="bottom"/>
            <w:hideMark/>
          </w:tcPr>
          <w:p w14:paraId="407088DB" w14:textId="67EE6624"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10,10%</w:t>
            </w:r>
          </w:p>
        </w:tc>
        <w:tc>
          <w:tcPr>
            <w:tcW w:w="1418" w:type="dxa"/>
            <w:tcBorders>
              <w:top w:val="nil"/>
              <w:left w:val="nil"/>
              <w:bottom w:val="single" w:sz="4" w:space="0" w:color="auto"/>
              <w:right w:val="single" w:sz="4" w:space="0" w:color="auto"/>
            </w:tcBorders>
            <w:shd w:val="clear" w:color="000000" w:fill="BDD7EE"/>
            <w:noWrap/>
            <w:vAlign w:val="bottom"/>
            <w:hideMark/>
          </w:tcPr>
          <w:p w14:paraId="383F02B0" w14:textId="60D05EE0"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4,54%</w:t>
            </w:r>
          </w:p>
        </w:tc>
        <w:tc>
          <w:tcPr>
            <w:tcW w:w="1417" w:type="dxa"/>
            <w:tcBorders>
              <w:top w:val="nil"/>
              <w:left w:val="nil"/>
              <w:bottom w:val="single" w:sz="4" w:space="0" w:color="auto"/>
              <w:right w:val="single" w:sz="4" w:space="0" w:color="auto"/>
            </w:tcBorders>
            <w:shd w:val="clear" w:color="000000" w:fill="EDEDED"/>
            <w:noWrap/>
            <w:vAlign w:val="bottom"/>
            <w:hideMark/>
          </w:tcPr>
          <w:p w14:paraId="6456FE90" w14:textId="597D8088"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2,19%</w:t>
            </w:r>
          </w:p>
        </w:tc>
        <w:tc>
          <w:tcPr>
            <w:tcW w:w="1418" w:type="dxa"/>
            <w:tcBorders>
              <w:top w:val="nil"/>
              <w:left w:val="nil"/>
              <w:bottom w:val="single" w:sz="4" w:space="0" w:color="auto"/>
              <w:right w:val="single" w:sz="4" w:space="0" w:color="auto"/>
            </w:tcBorders>
            <w:shd w:val="clear" w:color="000000" w:fill="FCE4D6"/>
            <w:noWrap/>
            <w:vAlign w:val="bottom"/>
            <w:hideMark/>
          </w:tcPr>
          <w:p w14:paraId="7870D857" w14:textId="512AA397"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1,18%</w:t>
            </w:r>
          </w:p>
        </w:tc>
      </w:tr>
      <w:tr w:rsidR="00BF3960" w:rsidRPr="00AC2ED3" w14:paraId="784F30BC" w14:textId="77777777" w:rsidTr="002F014E">
        <w:trPr>
          <w:trHeight w:val="31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64593C2" w14:textId="77777777" w:rsidR="00BF3960" w:rsidRPr="00AC2ED3" w:rsidRDefault="00BF3960" w:rsidP="00BF3960">
            <w:pPr>
              <w:spacing w:after="0" w:line="240" w:lineRule="auto"/>
              <w:rPr>
                <w:rFonts w:ascii="Garamond" w:eastAsia="Times New Roman" w:hAnsi="Garamond" w:cs="Calibri"/>
                <w:color w:val="000000"/>
                <w:sz w:val="18"/>
                <w:szCs w:val="16"/>
                <w:lang w:eastAsia="es-ES_tradnl"/>
              </w:rPr>
            </w:pPr>
            <w:r w:rsidRPr="00AC2ED3">
              <w:rPr>
                <w:rFonts w:ascii="Garamond" w:eastAsia="Times New Roman" w:hAnsi="Garamond" w:cs="Calibri"/>
                <w:color w:val="000000"/>
                <w:sz w:val="18"/>
                <w:szCs w:val="16"/>
                <w:lang w:eastAsia="es-ES_tradnl"/>
              </w:rPr>
              <w:t>Tunjuelito</w:t>
            </w:r>
          </w:p>
        </w:tc>
        <w:tc>
          <w:tcPr>
            <w:tcW w:w="1276" w:type="dxa"/>
            <w:tcBorders>
              <w:top w:val="nil"/>
              <w:left w:val="nil"/>
              <w:bottom w:val="single" w:sz="4" w:space="0" w:color="auto"/>
              <w:right w:val="single" w:sz="4" w:space="0" w:color="auto"/>
            </w:tcBorders>
            <w:shd w:val="clear" w:color="000000" w:fill="70AD47"/>
            <w:noWrap/>
            <w:vAlign w:val="bottom"/>
            <w:hideMark/>
          </w:tcPr>
          <w:p w14:paraId="46426A2B" w14:textId="0F30F1BC" w:rsidR="00BF3960" w:rsidRPr="00AD3AAF" w:rsidRDefault="00BF3960" w:rsidP="00BF3960">
            <w:pPr>
              <w:spacing w:after="0" w:line="240" w:lineRule="auto"/>
              <w:jc w:val="right"/>
              <w:rPr>
                <w:rFonts w:ascii="Garamond" w:eastAsia="Times New Roman" w:hAnsi="Garamond" w:cs="Calibri"/>
                <w:color w:val="FFFFFF"/>
                <w:sz w:val="18"/>
                <w:szCs w:val="18"/>
                <w:lang w:eastAsia="es-ES_tradnl"/>
              </w:rPr>
            </w:pPr>
            <w:r w:rsidRPr="00AD3AAF">
              <w:rPr>
                <w:rFonts w:ascii="Garamond" w:hAnsi="Garamond" w:cs="Calibri"/>
                <w:color w:val="000000"/>
                <w:sz w:val="18"/>
                <w:szCs w:val="18"/>
              </w:rPr>
              <w:t>35,80%</w:t>
            </w:r>
          </w:p>
        </w:tc>
        <w:tc>
          <w:tcPr>
            <w:tcW w:w="1418" w:type="dxa"/>
            <w:tcBorders>
              <w:top w:val="nil"/>
              <w:left w:val="nil"/>
              <w:bottom w:val="single" w:sz="4" w:space="0" w:color="auto"/>
              <w:right w:val="single" w:sz="4" w:space="0" w:color="auto"/>
            </w:tcBorders>
            <w:shd w:val="clear" w:color="000000" w:fill="FFC000"/>
            <w:noWrap/>
            <w:vAlign w:val="bottom"/>
            <w:hideMark/>
          </w:tcPr>
          <w:p w14:paraId="7CEFD4A6" w14:textId="66D9CC39"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17,81%</w:t>
            </w:r>
          </w:p>
        </w:tc>
        <w:tc>
          <w:tcPr>
            <w:tcW w:w="1417" w:type="dxa"/>
            <w:tcBorders>
              <w:top w:val="nil"/>
              <w:left w:val="nil"/>
              <w:bottom w:val="single" w:sz="4" w:space="0" w:color="auto"/>
              <w:right w:val="single" w:sz="4" w:space="0" w:color="auto"/>
            </w:tcBorders>
            <w:shd w:val="clear" w:color="000000" w:fill="A6A6A6"/>
            <w:noWrap/>
            <w:vAlign w:val="bottom"/>
            <w:hideMark/>
          </w:tcPr>
          <w:p w14:paraId="17BDED20" w14:textId="61FCEE44"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14,44%</w:t>
            </w:r>
          </w:p>
        </w:tc>
        <w:tc>
          <w:tcPr>
            <w:tcW w:w="1418" w:type="dxa"/>
            <w:tcBorders>
              <w:top w:val="nil"/>
              <w:left w:val="nil"/>
              <w:bottom w:val="single" w:sz="4" w:space="0" w:color="auto"/>
              <w:right w:val="single" w:sz="4" w:space="0" w:color="auto"/>
            </w:tcBorders>
            <w:shd w:val="clear" w:color="000000" w:fill="FFE699"/>
            <w:noWrap/>
            <w:vAlign w:val="bottom"/>
            <w:hideMark/>
          </w:tcPr>
          <w:p w14:paraId="6C3EB22C" w14:textId="202E6DC9"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16,55%</w:t>
            </w:r>
          </w:p>
        </w:tc>
        <w:tc>
          <w:tcPr>
            <w:tcW w:w="1275" w:type="dxa"/>
            <w:tcBorders>
              <w:top w:val="nil"/>
              <w:left w:val="nil"/>
              <w:bottom w:val="single" w:sz="4" w:space="0" w:color="auto"/>
              <w:right w:val="single" w:sz="4" w:space="0" w:color="auto"/>
            </w:tcBorders>
            <w:shd w:val="clear" w:color="000000" w:fill="5B9BD5"/>
            <w:noWrap/>
            <w:vAlign w:val="bottom"/>
            <w:hideMark/>
          </w:tcPr>
          <w:p w14:paraId="3C46421D" w14:textId="33A6EEB9"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11,27%</w:t>
            </w:r>
          </w:p>
        </w:tc>
        <w:tc>
          <w:tcPr>
            <w:tcW w:w="1418" w:type="dxa"/>
            <w:tcBorders>
              <w:top w:val="nil"/>
              <w:left w:val="nil"/>
              <w:bottom w:val="single" w:sz="4" w:space="0" w:color="auto"/>
              <w:right w:val="single" w:sz="4" w:space="0" w:color="auto"/>
            </w:tcBorders>
            <w:shd w:val="clear" w:color="000000" w:fill="BDD7EE"/>
            <w:noWrap/>
            <w:vAlign w:val="bottom"/>
            <w:hideMark/>
          </w:tcPr>
          <w:p w14:paraId="6E631D63" w14:textId="5A25FCE5"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3,15%</w:t>
            </w:r>
          </w:p>
        </w:tc>
        <w:tc>
          <w:tcPr>
            <w:tcW w:w="1417" w:type="dxa"/>
            <w:tcBorders>
              <w:top w:val="nil"/>
              <w:left w:val="nil"/>
              <w:bottom w:val="single" w:sz="4" w:space="0" w:color="auto"/>
              <w:right w:val="single" w:sz="4" w:space="0" w:color="auto"/>
            </w:tcBorders>
            <w:shd w:val="clear" w:color="000000" w:fill="FCE4D6"/>
            <w:noWrap/>
            <w:vAlign w:val="bottom"/>
            <w:hideMark/>
          </w:tcPr>
          <w:p w14:paraId="6B6B4A69" w14:textId="55292048"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0,39%</w:t>
            </w:r>
          </w:p>
        </w:tc>
        <w:tc>
          <w:tcPr>
            <w:tcW w:w="1418" w:type="dxa"/>
            <w:tcBorders>
              <w:top w:val="nil"/>
              <w:left w:val="nil"/>
              <w:bottom w:val="single" w:sz="4" w:space="0" w:color="auto"/>
              <w:right w:val="single" w:sz="4" w:space="0" w:color="auto"/>
            </w:tcBorders>
            <w:shd w:val="clear" w:color="000000" w:fill="EDEDED"/>
            <w:noWrap/>
            <w:vAlign w:val="bottom"/>
            <w:hideMark/>
          </w:tcPr>
          <w:p w14:paraId="0E128A45" w14:textId="0ED9DFD4"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0,59%</w:t>
            </w:r>
          </w:p>
        </w:tc>
      </w:tr>
      <w:tr w:rsidR="00BF3960" w:rsidRPr="00AC2ED3" w14:paraId="384807B2" w14:textId="77777777" w:rsidTr="002F014E">
        <w:trPr>
          <w:trHeight w:val="31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10D9AEE" w14:textId="77777777" w:rsidR="00BF3960" w:rsidRPr="00AC2ED3" w:rsidRDefault="00BF3960" w:rsidP="00BF3960">
            <w:pPr>
              <w:spacing w:after="0" w:line="240" w:lineRule="auto"/>
              <w:rPr>
                <w:rFonts w:ascii="Garamond" w:eastAsia="Times New Roman" w:hAnsi="Garamond" w:cs="Calibri"/>
                <w:color w:val="000000"/>
                <w:sz w:val="18"/>
                <w:szCs w:val="16"/>
                <w:lang w:eastAsia="es-ES_tradnl"/>
              </w:rPr>
            </w:pPr>
            <w:r w:rsidRPr="00AC2ED3">
              <w:rPr>
                <w:rFonts w:ascii="Garamond" w:eastAsia="Times New Roman" w:hAnsi="Garamond" w:cs="Calibri"/>
                <w:color w:val="000000"/>
                <w:sz w:val="18"/>
                <w:szCs w:val="16"/>
                <w:lang w:eastAsia="es-ES_tradnl"/>
              </w:rPr>
              <w:t>Puente Aranda</w:t>
            </w:r>
          </w:p>
        </w:tc>
        <w:tc>
          <w:tcPr>
            <w:tcW w:w="1276" w:type="dxa"/>
            <w:tcBorders>
              <w:top w:val="nil"/>
              <w:left w:val="nil"/>
              <w:bottom w:val="single" w:sz="4" w:space="0" w:color="auto"/>
              <w:right w:val="single" w:sz="4" w:space="0" w:color="auto"/>
            </w:tcBorders>
            <w:shd w:val="clear" w:color="000000" w:fill="70AD47"/>
            <w:noWrap/>
            <w:vAlign w:val="bottom"/>
            <w:hideMark/>
          </w:tcPr>
          <w:p w14:paraId="51FD4F09" w14:textId="7A3186C4" w:rsidR="00BF3960" w:rsidRPr="00AD3AAF" w:rsidRDefault="00BF3960" w:rsidP="00BF3960">
            <w:pPr>
              <w:spacing w:after="0" w:line="240" w:lineRule="auto"/>
              <w:jc w:val="right"/>
              <w:rPr>
                <w:rFonts w:ascii="Garamond" w:eastAsia="Times New Roman" w:hAnsi="Garamond" w:cs="Calibri"/>
                <w:color w:val="FFFFFF"/>
                <w:sz w:val="18"/>
                <w:szCs w:val="18"/>
                <w:lang w:eastAsia="es-ES_tradnl"/>
              </w:rPr>
            </w:pPr>
            <w:r w:rsidRPr="00AD3AAF">
              <w:rPr>
                <w:rFonts w:ascii="Garamond" w:hAnsi="Garamond" w:cs="Calibri"/>
                <w:color w:val="000000"/>
                <w:sz w:val="18"/>
                <w:szCs w:val="18"/>
              </w:rPr>
              <w:t>34,42%</w:t>
            </w:r>
          </w:p>
        </w:tc>
        <w:tc>
          <w:tcPr>
            <w:tcW w:w="1418" w:type="dxa"/>
            <w:tcBorders>
              <w:top w:val="nil"/>
              <w:left w:val="nil"/>
              <w:bottom w:val="single" w:sz="4" w:space="0" w:color="auto"/>
              <w:right w:val="single" w:sz="4" w:space="0" w:color="auto"/>
            </w:tcBorders>
            <w:shd w:val="clear" w:color="000000" w:fill="FFC000"/>
            <w:noWrap/>
            <w:vAlign w:val="bottom"/>
            <w:hideMark/>
          </w:tcPr>
          <w:p w14:paraId="7DCDFD68" w14:textId="3E6B2087"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16,09%</w:t>
            </w:r>
          </w:p>
        </w:tc>
        <w:tc>
          <w:tcPr>
            <w:tcW w:w="1417" w:type="dxa"/>
            <w:tcBorders>
              <w:top w:val="nil"/>
              <w:left w:val="nil"/>
              <w:bottom w:val="single" w:sz="4" w:space="0" w:color="auto"/>
              <w:right w:val="single" w:sz="4" w:space="0" w:color="auto"/>
            </w:tcBorders>
            <w:shd w:val="clear" w:color="000000" w:fill="FFE699"/>
            <w:noWrap/>
            <w:vAlign w:val="bottom"/>
            <w:hideMark/>
          </w:tcPr>
          <w:p w14:paraId="627F899F" w14:textId="58E12885"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15,08%</w:t>
            </w:r>
          </w:p>
        </w:tc>
        <w:tc>
          <w:tcPr>
            <w:tcW w:w="1418" w:type="dxa"/>
            <w:tcBorders>
              <w:top w:val="nil"/>
              <w:left w:val="nil"/>
              <w:bottom w:val="single" w:sz="4" w:space="0" w:color="auto"/>
              <w:right w:val="single" w:sz="4" w:space="0" w:color="auto"/>
            </w:tcBorders>
            <w:shd w:val="clear" w:color="000000" w:fill="A6A6A6"/>
            <w:noWrap/>
            <w:vAlign w:val="bottom"/>
            <w:hideMark/>
          </w:tcPr>
          <w:p w14:paraId="51CF88EE" w14:textId="32AD95A8"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14,53%</w:t>
            </w:r>
          </w:p>
        </w:tc>
        <w:tc>
          <w:tcPr>
            <w:tcW w:w="1275" w:type="dxa"/>
            <w:tcBorders>
              <w:top w:val="nil"/>
              <w:left w:val="nil"/>
              <w:bottom w:val="single" w:sz="4" w:space="0" w:color="auto"/>
              <w:right w:val="single" w:sz="4" w:space="0" w:color="auto"/>
            </w:tcBorders>
            <w:shd w:val="clear" w:color="000000" w:fill="5B9BD5"/>
            <w:noWrap/>
            <w:vAlign w:val="bottom"/>
            <w:hideMark/>
          </w:tcPr>
          <w:p w14:paraId="21C4E915" w14:textId="37251F18"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12,42%</w:t>
            </w:r>
          </w:p>
        </w:tc>
        <w:tc>
          <w:tcPr>
            <w:tcW w:w="1418" w:type="dxa"/>
            <w:tcBorders>
              <w:top w:val="nil"/>
              <w:left w:val="nil"/>
              <w:bottom w:val="single" w:sz="4" w:space="0" w:color="auto"/>
              <w:right w:val="single" w:sz="4" w:space="0" w:color="auto"/>
            </w:tcBorders>
            <w:shd w:val="clear" w:color="000000" w:fill="BDD7EE"/>
            <w:noWrap/>
            <w:vAlign w:val="bottom"/>
            <w:hideMark/>
          </w:tcPr>
          <w:p w14:paraId="1A2E7D35" w14:textId="32CB8642"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5,18%</w:t>
            </w:r>
          </w:p>
        </w:tc>
        <w:tc>
          <w:tcPr>
            <w:tcW w:w="1417" w:type="dxa"/>
            <w:tcBorders>
              <w:top w:val="nil"/>
              <w:left w:val="nil"/>
              <w:bottom w:val="single" w:sz="4" w:space="0" w:color="auto"/>
              <w:right w:val="single" w:sz="4" w:space="0" w:color="auto"/>
            </w:tcBorders>
            <w:shd w:val="clear" w:color="000000" w:fill="EDEDED"/>
            <w:noWrap/>
            <w:vAlign w:val="bottom"/>
            <w:hideMark/>
          </w:tcPr>
          <w:p w14:paraId="04862509" w14:textId="6BE45463"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1,47%</w:t>
            </w:r>
          </w:p>
        </w:tc>
        <w:tc>
          <w:tcPr>
            <w:tcW w:w="1418" w:type="dxa"/>
            <w:tcBorders>
              <w:top w:val="nil"/>
              <w:left w:val="nil"/>
              <w:bottom w:val="single" w:sz="4" w:space="0" w:color="auto"/>
              <w:right w:val="single" w:sz="4" w:space="0" w:color="auto"/>
            </w:tcBorders>
            <w:shd w:val="clear" w:color="000000" w:fill="FCE4D6"/>
            <w:noWrap/>
            <w:vAlign w:val="bottom"/>
            <w:hideMark/>
          </w:tcPr>
          <w:p w14:paraId="29478863" w14:textId="067B009F"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0,81%</w:t>
            </w:r>
          </w:p>
        </w:tc>
      </w:tr>
      <w:tr w:rsidR="00BF3960" w:rsidRPr="00AC2ED3" w14:paraId="54129829" w14:textId="77777777" w:rsidTr="002F014E">
        <w:trPr>
          <w:trHeight w:val="31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E5C0750" w14:textId="77777777" w:rsidR="00BF3960" w:rsidRPr="00AC2ED3" w:rsidRDefault="00BF3960" w:rsidP="00BF3960">
            <w:pPr>
              <w:spacing w:after="0" w:line="240" w:lineRule="auto"/>
              <w:rPr>
                <w:rFonts w:ascii="Garamond" w:eastAsia="Times New Roman" w:hAnsi="Garamond" w:cs="Calibri"/>
                <w:color w:val="000000"/>
                <w:sz w:val="18"/>
                <w:szCs w:val="16"/>
                <w:lang w:eastAsia="es-ES_tradnl"/>
              </w:rPr>
            </w:pPr>
            <w:r w:rsidRPr="00AC2ED3">
              <w:rPr>
                <w:rFonts w:ascii="Garamond" w:eastAsia="Times New Roman" w:hAnsi="Garamond" w:cs="Calibri"/>
                <w:color w:val="000000"/>
                <w:sz w:val="18"/>
                <w:szCs w:val="16"/>
                <w:lang w:eastAsia="es-ES_tradnl"/>
              </w:rPr>
              <w:t>Los Mártires</w:t>
            </w:r>
          </w:p>
        </w:tc>
        <w:tc>
          <w:tcPr>
            <w:tcW w:w="1276" w:type="dxa"/>
            <w:tcBorders>
              <w:top w:val="nil"/>
              <w:left w:val="nil"/>
              <w:bottom w:val="single" w:sz="4" w:space="0" w:color="auto"/>
              <w:right w:val="single" w:sz="4" w:space="0" w:color="auto"/>
            </w:tcBorders>
            <w:shd w:val="clear" w:color="000000" w:fill="70AD47"/>
            <w:noWrap/>
            <w:vAlign w:val="bottom"/>
            <w:hideMark/>
          </w:tcPr>
          <w:p w14:paraId="6B91651F" w14:textId="48D2A283" w:rsidR="00BF3960" w:rsidRPr="00AD3AAF" w:rsidRDefault="00BF3960" w:rsidP="00BF3960">
            <w:pPr>
              <w:spacing w:after="0" w:line="240" w:lineRule="auto"/>
              <w:jc w:val="right"/>
              <w:rPr>
                <w:rFonts w:ascii="Garamond" w:eastAsia="Times New Roman" w:hAnsi="Garamond" w:cs="Calibri"/>
                <w:color w:val="FFFFFF"/>
                <w:sz w:val="18"/>
                <w:szCs w:val="18"/>
                <w:lang w:eastAsia="es-ES_tradnl"/>
              </w:rPr>
            </w:pPr>
            <w:r w:rsidRPr="00AD3AAF">
              <w:rPr>
                <w:rFonts w:ascii="Garamond" w:hAnsi="Garamond" w:cs="Calibri"/>
                <w:color w:val="000000"/>
                <w:sz w:val="18"/>
                <w:szCs w:val="18"/>
              </w:rPr>
              <w:t>31,43%</w:t>
            </w:r>
          </w:p>
        </w:tc>
        <w:tc>
          <w:tcPr>
            <w:tcW w:w="1418" w:type="dxa"/>
            <w:tcBorders>
              <w:top w:val="nil"/>
              <w:left w:val="nil"/>
              <w:bottom w:val="single" w:sz="4" w:space="0" w:color="auto"/>
              <w:right w:val="single" w:sz="4" w:space="0" w:color="auto"/>
            </w:tcBorders>
            <w:shd w:val="clear" w:color="000000" w:fill="FFC000"/>
            <w:noWrap/>
            <w:vAlign w:val="bottom"/>
            <w:hideMark/>
          </w:tcPr>
          <w:p w14:paraId="43E14707" w14:textId="575D7528"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22,65%</w:t>
            </w:r>
          </w:p>
        </w:tc>
        <w:tc>
          <w:tcPr>
            <w:tcW w:w="1417" w:type="dxa"/>
            <w:tcBorders>
              <w:top w:val="nil"/>
              <w:left w:val="nil"/>
              <w:bottom w:val="single" w:sz="4" w:space="0" w:color="auto"/>
              <w:right w:val="single" w:sz="4" w:space="0" w:color="auto"/>
            </w:tcBorders>
            <w:shd w:val="clear" w:color="000000" w:fill="5B9BD5"/>
            <w:noWrap/>
            <w:vAlign w:val="bottom"/>
            <w:hideMark/>
          </w:tcPr>
          <w:p w14:paraId="346EBF9F" w14:textId="1EC58EB2"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10,75%</w:t>
            </w:r>
          </w:p>
        </w:tc>
        <w:tc>
          <w:tcPr>
            <w:tcW w:w="1418" w:type="dxa"/>
            <w:tcBorders>
              <w:top w:val="nil"/>
              <w:left w:val="nil"/>
              <w:bottom w:val="single" w:sz="4" w:space="0" w:color="auto"/>
              <w:right w:val="single" w:sz="4" w:space="0" w:color="auto"/>
            </w:tcBorders>
            <w:shd w:val="clear" w:color="000000" w:fill="FFE699"/>
            <w:noWrap/>
            <w:vAlign w:val="bottom"/>
            <w:hideMark/>
          </w:tcPr>
          <w:p w14:paraId="17B9F5B4" w14:textId="48BA5069"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16,15%</w:t>
            </w:r>
          </w:p>
        </w:tc>
        <w:tc>
          <w:tcPr>
            <w:tcW w:w="1275" w:type="dxa"/>
            <w:tcBorders>
              <w:top w:val="nil"/>
              <w:left w:val="nil"/>
              <w:bottom w:val="single" w:sz="4" w:space="0" w:color="auto"/>
              <w:right w:val="single" w:sz="4" w:space="0" w:color="auto"/>
            </w:tcBorders>
            <w:shd w:val="clear" w:color="000000" w:fill="A6A6A6"/>
            <w:noWrap/>
            <w:vAlign w:val="bottom"/>
            <w:hideMark/>
          </w:tcPr>
          <w:p w14:paraId="5413C40B" w14:textId="08E93349"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11,84%</w:t>
            </w:r>
          </w:p>
        </w:tc>
        <w:tc>
          <w:tcPr>
            <w:tcW w:w="1418" w:type="dxa"/>
            <w:tcBorders>
              <w:top w:val="nil"/>
              <w:left w:val="nil"/>
              <w:bottom w:val="single" w:sz="4" w:space="0" w:color="auto"/>
              <w:right w:val="single" w:sz="4" w:space="0" w:color="auto"/>
            </w:tcBorders>
            <w:shd w:val="clear" w:color="000000" w:fill="BDD7EE"/>
            <w:noWrap/>
            <w:vAlign w:val="bottom"/>
            <w:hideMark/>
          </w:tcPr>
          <w:p w14:paraId="1554C90B" w14:textId="2ACCB50B"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4,97%</w:t>
            </w:r>
          </w:p>
        </w:tc>
        <w:tc>
          <w:tcPr>
            <w:tcW w:w="1417" w:type="dxa"/>
            <w:tcBorders>
              <w:top w:val="nil"/>
              <w:left w:val="nil"/>
              <w:bottom w:val="single" w:sz="4" w:space="0" w:color="auto"/>
              <w:right w:val="single" w:sz="4" w:space="0" w:color="auto"/>
            </w:tcBorders>
            <w:shd w:val="clear" w:color="000000" w:fill="EDEDED"/>
            <w:noWrap/>
            <w:vAlign w:val="bottom"/>
            <w:hideMark/>
          </w:tcPr>
          <w:p w14:paraId="70B165D0" w14:textId="5D1C299F"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1,26%</w:t>
            </w:r>
          </w:p>
        </w:tc>
        <w:tc>
          <w:tcPr>
            <w:tcW w:w="1418" w:type="dxa"/>
            <w:tcBorders>
              <w:top w:val="nil"/>
              <w:left w:val="nil"/>
              <w:bottom w:val="single" w:sz="4" w:space="0" w:color="auto"/>
              <w:right w:val="single" w:sz="4" w:space="0" w:color="auto"/>
            </w:tcBorders>
            <w:shd w:val="clear" w:color="000000" w:fill="FCE4D6"/>
            <w:noWrap/>
            <w:vAlign w:val="bottom"/>
            <w:hideMark/>
          </w:tcPr>
          <w:p w14:paraId="609BCCF4" w14:textId="665AA60C"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0,96%</w:t>
            </w:r>
          </w:p>
        </w:tc>
      </w:tr>
      <w:tr w:rsidR="00BF3960" w:rsidRPr="00AC2ED3" w14:paraId="574141BC" w14:textId="77777777" w:rsidTr="002F014E">
        <w:trPr>
          <w:trHeight w:val="31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8644FD5" w14:textId="77777777" w:rsidR="00BF3960" w:rsidRPr="00AC2ED3" w:rsidRDefault="00BF3960" w:rsidP="00BF3960">
            <w:pPr>
              <w:spacing w:after="0" w:line="240" w:lineRule="auto"/>
              <w:rPr>
                <w:rFonts w:ascii="Garamond" w:eastAsia="Times New Roman" w:hAnsi="Garamond" w:cs="Calibri"/>
                <w:color w:val="000000"/>
                <w:sz w:val="18"/>
                <w:szCs w:val="16"/>
                <w:lang w:eastAsia="es-ES_tradnl"/>
              </w:rPr>
            </w:pPr>
            <w:r w:rsidRPr="00AC2ED3">
              <w:rPr>
                <w:rFonts w:ascii="Garamond" w:eastAsia="Times New Roman" w:hAnsi="Garamond" w:cs="Calibri"/>
                <w:color w:val="000000"/>
                <w:sz w:val="18"/>
                <w:szCs w:val="16"/>
                <w:lang w:eastAsia="es-ES_tradnl"/>
              </w:rPr>
              <w:t>Usaquén</w:t>
            </w:r>
          </w:p>
        </w:tc>
        <w:tc>
          <w:tcPr>
            <w:tcW w:w="1276" w:type="dxa"/>
            <w:tcBorders>
              <w:top w:val="nil"/>
              <w:left w:val="nil"/>
              <w:bottom w:val="single" w:sz="4" w:space="0" w:color="auto"/>
              <w:right w:val="single" w:sz="4" w:space="0" w:color="auto"/>
            </w:tcBorders>
            <w:shd w:val="clear" w:color="000000" w:fill="70AD47"/>
            <w:noWrap/>
            <w:vAlign w:val="bottom"/>
            <w:hideMark/>
          </w:tcPr>
          <w:p w14:paraId="6B5790A4" w14:textId="3FFE979D" w:rsidR="00BF3960" w:rsidRPr="00AD3AAF" w:rsidRDefault="00BF3960" w:rsidP="00BF3960">
            <w:pPr>
              <w:spacing w:after="0" w:line="240" w:lineRule="auto"/>
              <w:jc w:val="right"/>
              <w:rPr>
                <w:rFonts w:ascii="Garamond" w:eastAsia="Times New Roman" w:hAnsi="Garamond" w:cs="Calibri"/>
                <w:color w:val="FFFFFF"/>
                <w:sz w:val="18"/>
                <w:szCs w:val="18"/>
                <w:lang w:eastAsia="es-ES_tradnl"/>
              </w:rPr>
            </w:pPr>
            <w:r w:rsidRPr="00AD3AAF">
              <w:rPr>
                <w:rFonts w:ascii="Garamond" w:hAnsi="Garamond" w:cs="Calibri"/>
                <w:color w:val="000000"/>
                <w:sz w:val="18"/>
                <w:szCs w:val="18"/>
              </w:rPr>
              <w:t>31,22%</w:t>
            </w:r>
          </w:p>
        </w:tc>
        <w:tc>
          <w:tcPr>
            <w:tcW w:w="1418" w:type="dxa"/>
            <w:tcBorders>
              <w:top w:val="nil"/>
              <w:left w:val="nil"/>
              <w:bottom w:val="single" w:sz="4" w:space="0" w:color="auto"/>
              <w:right w:val="single" w:sz="4" w:space="0" w:color="auto"/>
            </w:tcBorders>
            <w:shd w:val="clear" w:color="000000" w:fill="FFC000"/>
            <w:noWrap/>
            <w:vAlign w:val="bottom"/>
            <w:hideMark/>
          </w:tcPr>
          <w:p w14:paraId="1954E3DC" w14:textId="3A191CA7"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25,83%</w:t>
            </w:r>
          </w:p>
        </w:tc>
        <w:tc>
          <w:tcPr>
            <w:tcW w:w="1417" w:type="dxa"/>
            <w:tcBorders>
              <w:top w:val="nil"/>
              <w:left w:val="nil"/>
              <w:bottom w:val="single" w:sz="4" w:space="0" w:color="auto"/>
              <w:right w:val="single" w:sz="4" w:space="0" w:color="auto"/>
            </w:tcBorders>
            <w:shd w:val="clear" w:color="000000" w:fill="5B9BD5"/>
            <w:noWrap/>
            <w:vAlign w:val="bottom"/>
            <w:hideMark/>
          </w:tcPr>
          <w:p w14:paraId="68B62132" w14:textId="215AB65A"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7,15%</w:t>
            </w:r>
          </w:p>
        </w:tc>
        <w:tc>
          <w:tcPr>
            <w:tcW w:w="1418" w:type="dxa"/>
            <w:tcBorders>
              <w:top w:val="nil"/>
              <w:left w:val="nil"/>
              <w:bottom w:val="single" w:sz="4" w:space="0" w:color="auto"/>
              <w:right w:val="single" w:sz="4" w:space="0" w:color="auto"/>
            </w:tcBorders>
            <w:shd w:val="clear" w:color="000000" w:fill="A6A6A6"/>
            <w:noWrap/>
            <w:vAlign w:val="bottom"/>
            <w:hideMark/>
          </w:tcPr>
          <w:p w14:paraId="2E2476CC" w14:textId="4A3F34CB"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11,91%</w:t>
            </w:r>
          </w:p>
        </w:tc>
        <w:tc>
          <w:tcPr>
            <w:tcW w:w="1275" w:type="dxa"/>
            <w:tcBorders>
              <w:top w:val="nil"/>
              <w:left w:val="nil"/>
              <w:bottom w:val="single" w:sz="4" w:space="0" w:color="auto"/>
              <w:right w:val="single" w:sz="4" w:space="0" w:color="auto"/>
            </w:tcBorders>
            <w:shd w:val="clear" w:color="000000" w:fill="FFE699"/>
            <w:noWrap/>
            <w:vAlign w:val="bottom"/>
            <w:hideMark/>
          </w:tcPr>
          <w:p w14:paraId="47EE3EB6" w14:textId="26E9737E"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15,65%</w:t>
            </w:r>
          </w:p>
        </w:tc>
        <w:tc>
          <w:tcPr>
            <w:tcW w:w="1418" w:type="dxa"/>
            <w:tcBorders>
              <w:top w:val="nil"/>
              <w:left w:val="nil"/>
              <w:bottom w:val="single" w:sz="4" w:space="0" w:color="auto"/>
              <w:right w:val="single" w:sz="4" w:space="0" w:color="auto"/>
            </w:tcBorders>
            <w:shd w:val="clear" w:color="000000" w:fill="BDD7EE"/>
            <w:noWrap/>
            <w:vAlign w:val="bottom"/>
            <w:hideMark/>
          </w:tcPr>
          <w:p w14:paraId="19E8945A" w14:textId="5F2C97E1"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4,40%</w:t>
            </w:r>
          </w:p>
        </w:tc>
        <w:tc>
          <w:tcPr>
            <w:tcW w:w="1417" w:type="dxa"/>
            <w:tcBorders>
              <w:top w:val="nil"/>
              <w:left w:val="nil"/>
              <w:bottom w:val="single" w:sz="4" w:space="0" w:color="auto"/>
              <w:right w:val="single" w:sz="4" w:space="0" w:color="auto"/>
            </w:tcBorders>
            <w:shd w:val="clear" w:color="000000" w:fill="EDEDED"/>
            <w:noWrap/>
            <w:vAlign w:val="bottom"/>
            <w:hideMark/>
          </w:tcPr>
          <w:p w14:paraId="0A8FF812" w14:textId="34B4E88F"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2,15%</w:t>
            </w:r>
          </w:p>
        </w:tc>
        <w:tc>
          <w:tcPr>
            <w:tcW w:w="1418" w:type="dxa"/>
            <w:tcBorders>
              <w:top w:val="nil"/>
              <w:left w:val="nil"/>
              <w:bottom w:val="single" w:sz="4" w:space="0" w:color="auto"/>
              <w:right w:val="single" w:sz="4" w:space="0" w:color="auto"/>
            </w:tcBorders>
            <w:shd w:val="clear" w:color="000000" w:fill="FCE4D6"/>
            <w:noWrap/>
            <w:vAlign w:val="bottom"/>
            <w:hideMark/>
          </w:tcPr>
          <w:p w14:paraId="502C86EE" w14:textId="127BB819"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1,70%</w:t>
            </w:r>
          </w:p>
        </w:tc>
      </w:tr>
      <w:tr w:rsidR="00BF3960" w:rsidRPr="00AC2ED3" w14:paraId="48394F9B" w14:textId="77777777" w:rsidTr="00E84B0C">
        <w:trPr>
          <w:trHeight w:val="31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D83AB00" w14:textId="77777777" w:rsidR="00BF3960" w:rsidRPr="00AC2ED3" w:rsidRDefault="00BF3960" w:rsidP="00BF3960">
            <w:pPr>
              <w:spacing w:after="0" w:line="240" w:lineRule="auto"/>
              <w:rPr>
                <w:rFonts w:ascii="Garamond" w:eastAsia="Times New Roman" w:hAnsi="Garamond" w:cs="Calibri"/>
                <w:color w:val="000000"/>
                <w:sz w:val="18"/>
                <w:szCs w:val="16"/>
                <w:lang w:eastAsia="es-ES_tradnl"/>
              </w:rPr>
            </w:pPr>
            <w:r w:rsidRPr="00AC2ED3">
              <w:rPr>
                <w:rFonts w:ascii="Garamond" w:eastAsia="Times New Roman" w:hAnsi="Garamond" w:cs="Calibri"/>
                <w:color w:val="000000"/>
                <w:sz w:val="18"/>
                <w:szCs w:val="16"/>
                <w:lang w:eastAsia="es-ES_tradnl"/>
              </w:rPr>
              <w:t>Teusaquillo</w:t>
            </w:r>
          </w:p>
        </w:tc>
        <w:tc>
          <w:tcPr>
            <w:tcW w:w="1276" w:type="dxa"/>
            <w:tcBorders>
              <w:top w:val="nil"/>
              <w:left w:val="nil"/>
              <w:bottom w:val="single" w:sz="4" w:space="0" w:color="auto"/>
              <w:right w:val="single" w:sz="4" w:space="0" w:color="auto"/>
            </w:tcBorders>
            <w:shd w:val="clear" w:color="000000" w:fill="70AD47"/>
            <w:noWrap/>
            <w:vAlign w:val="bottom"/>
            <w:hideMark/>
          </w:tcPr>
          <w:p w14:paraId="3F4419CF" w14:textId="0456525D" w:rsidR="00BF3960" w:rsidRPr="00AD3AAF" w:rsidRDefault="00BF3960" w:rsidP="00BF3960">
            <w:pPr>
              <w:spacing w:after="0" w:line="240" w:lineRule="auto"/>
              <w:jc w:val="right"/>
              <w:rPr>
                <w:rFonts w:ascii="Garamond" w:eastAsia="Times New Roman" w:hAnsi="Garamond" w:cs="Calibri"/>
                <w:color w:val="FFFFFF"/>
                <w:sz w:val="18"/>
                <w:szCs w:val="18"/>
                <w:lang w:eastAsia="es-ES_tradnl"/>
              </w:rPr>
            </w:pPr>
            <w:r w:rsidRPr="00AD3AAF">
              <w:rPr>
                <w:rFonts w:ascii="Garamond" w:hAnsi="Garamond" w:cs="Calibri"/>
                <w:color w:val="000000"/>
                <w:sz w:val="18"/>
                <w:szCs w:val="18"/>
              </w:rPr>
              <w:t>30,41%</w:t>
            </w:r>
          </w:p>
        </w:tc>
        <w:tc>
          <w:tcPr>
            <w:tcW w:w="1418" w:type="dxa"/>
            <w:tcBorders>
              <w:top w:val="nil"/>
              <w:left w:val="nil"/>
              <w:bottom w:val="single" w:sz="4" w:space="0" w:color="auto"/>
              <w:right w:val="single" w:sz="4" w:space="0" w:color="auto"/>
            </w:tcBorders>
            <w:shd w:val="clear" w:color="000000" w:fill="FFC000"/>
            <w:noWrap/>
            <w:vAlign w:val="bottom"/>
            <w:hideMark/>
          </w:tcPr>
          <w:p w14:paraId="329EE8F3" w14:textId="3A126052"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28,48%</w:t>
            </w:r>
          </w:p>
        </w:tc>
        <w:tc>
          <w:tcPr>
            <w:tcW w:w="1417" w:type="dxa"/>
            <w:tcBorders>
              <w:top w:val="nil"/>
              <w:left w:val="nil"/>
              <w:bottom w:val="single" w:sz="4" w:space="0" w:color="auto"/>
              <w:right w:val="single" w:sz="4" w:space="0" w:color="auto"/>
            </w:tcBorders>
            <w:shd w:val="clear" w:color="000000" w:fill="5B9BD5"/>
            <w:noWrap/>
            <w:vAlign w:val="bottom"/>
            <w:hideMark/>
          </w:tcPr>
          <w:p w14:paraId="155B8873" w14:textId="76A69617"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7,20%</w:t>
            </w:r>
          </w:p>
        </w:tc>
        <w:tc>
          <w:tcPr>
            <w:tcW w:w="1418" w:type="dxa"/>
            <w:tcBorders>
              <w:top w:val="nil"/>
              <w:left w:val="nil"/>
              <w:bottom w:val="single" w:sz="4" w:space="0" w:color="auto"/>
              <w:right w:val="single" w:sz="4" w:space="0" w:color="auto"/>
            </w:tcBorders>
            <w:shd w:val="clear" w:color="000000" w:fill="A6A6A6"/>
            <w:noWrap/>
            <w:vAlign w:val="bottom"/>
            <w:hideMark/>
          </w:tcPr>
          <w:p w14:paraId="738E52E8" w14:textId="6F0A8148"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9,89%</w:t>
            </w:r>
          </w:p>
        </w:tc>
        <w:tc>
          <w:tcPr>
            <w:tcW w:w="1275" w:type="dxa"/>
            <w:tcBorders>
              <w:top w:val="nil"/>
              <w:left w:val="nil"/>
              <w:bottom w:val="single" w:sz="4" w:space="0" w:color="auto"/>
              <w:right w:val="single" w:sz="4" w:space="0" w:color="auto"/>
            </w:tcBorders>
            <w:shd w:val="clear" w:color="000000" w:fill="FFE699"/>
            <w:noWrap/>
            <w:vAlign w:val="bottom"/>
            <w:hideMark/>
          </w:tcPr>
          <w:p w14:paraId="360F71C9" w14:textId="28F554A8"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15,89%</w:t>
            </w:r>
          </w:p>
        </w:tc>
        <w:tc>
          <w:tcPr>
            <w:tcW w:w="1418" w:type="dxa"/>
            <w:tcBorders>
              <w:top w:val="nil"/>
              <w:left w:val="nil"/>
              <w:bottom w:val="single" w:sz="4" w:space="0" w:color="auto"/>
              <w:right w:val="single" w:sz="4" w:space="0" w:color="auto"/>
            </w:tcBorders>
            <w:shd w:val="clear" w:color="000000" w:fill="BDD7EE"/>
            <w:noWrap/>
            <w:vAlign w:val="bottom"/>
            <w:hideMark/>
          </w:tcPr>
          <w:p w14:paraId="098D0E41" w14:textId="0BEDBF15"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5,25%</w:t>
            </w:r>
          </w:p>
        </w:tc>
        <w:tc>
          <w:tcPr>
            <w:tcW w:w="1417" w:type="dxa"/>
            <w:tcBorders>
              <w:top w:val="nil"/>
              <w:left w:val="nil"/>
              <w:bottom w:val="single" w:sz="4" w:space="0" w:color="auto"/>
              <w:right w:val="single" w:sz="4" w:space="0" w:color="auto"/>
            </w:tcBorders>
            <w:shd w:val="clear" w:color="auto" w:fill="FDE9D9" w:themeFill="accent6" w:themeFillTint="33"/>
            <w:noWrap/>
            <w:vAlign w:val="bottom"/>
            <w:hideMark/>
          </w:tcPr>
          <w:p w14:paraId="03688C1D" w14:textId="3079F52D"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1,18%</w:t>
            </w:r>
          </w:p>
        </w:tc>
        <w:tc>
          <w:tcPr>
            <w:tcW w:w="1418" w:type="dxa"/>
            <w:tcBorders>
              <w:top w:val="nil"/>
              <w:left w:val="nil"/>
              <w:bottom w:val="single" w:sz="4" w:space="0" w:color="auto"/>
              <w:right w:val="single" w:sz="4" w:space="0" w:color="auto"/>
            </w:tcBorders>
            <w:shd w:val="clear" w:color="auto" w:fill="F2F2F2" w:themeFill="background1" w:themeFillShade="F2"/>
            <w:noWrap/>
            <w:vAlign w:val="bottom"/>
            <w:hideMark/>
          </w:tcPr>
          <w:p w14:paraId="5CD3E65C" w14:textId="3F19AFF6"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1,71%</w:t>
            </w:r>
          </w:p>
        </w:tc>
      </w:tr>
      <w:tr w:rsidR="00BF3960" w:rsidRPr="00AC2ED3" w14:paraId="6EDEE7CD" w14:textId="77777777" w:rsidTr="002F014E">
        <w:trPr>
          <w:trHeight w:val="31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9AFD4A2" w14:textId="77777777" w:rsidR="00BF3960" w:rsidRPr="00AC2ED3" w:rsidRDefault="00BF3960" w:rsidP="00BF3960">
            <w:pPr>
              <w:spacing w:after="0" w:line="240" w:lineRule="auto"/>
              <w:rPr>
                <w:rFonts w:ascii="Garamond" w:eastAsia="Times New Roman" w:hAnsi="Garamond" w:cs="Calibri"/>
                <w:color w:val="000000"/>
                <w:sz w:val="18"/>
                <w:szCs w:val="16"/>
                <w:lang w:eastAsia="es-ES_tradnl"/>
              </w:rPr>
            </w:pPr>
            <w:r w:rsidRPr="00AC2ED3">
              <w:rPr>
                <w:rFonts w:ascii="Garamond" w:eastAsia="Times New Roman" w:hAnsi="Garamond" w:cs="Calibri"/>
                <w:color w:val="000000"/>
                <w:sz w:val="18"/>
                <w:szCs w:val="16"/>
                <w:lang w:eastAsia="es-ES_tradnl"/>
              </w:rPr>
              <w:t>Barrios Unidos</w:t>
            </w:r>
          </w:p>
        </w:tc>
        <w:tc>
          <w:tcPr>
            <w:tcW w:w="1276" w:type="dxa"/>
            <w:tcBorders>
              <w:top w:val="nil"/>
              <w:left w:val="nil"/>
              <w:bottom w:val="single" w:sz="4" w:space="0" w:color="auto"/>
              <w:right w:val="single" w:sz="4" w:space="0" w:color="auto"/>
            </w:tcBorders>
            <w:shd w:val="clear" w:color="000000" w:fill="70AD47"/>
            <w:noWrap/>
            <w:vAlign w:val="bottom"/>
            <w:hideMark/>
          </w:tcPr>
          <w:p w14:paraId="497D3733" w14:textId="70F0764F" w:rsidR="00BF3960" w:rsidRPr="00AD3AAF" w:rsidRDefault="00BF3960" w:rsidP="00BF3960">
            <w:pPr>
              <w:spacing w:after="0" w:line="240" w:lineRule="auto"/>
              <w:jc w:val="right"/>
              <w:rPr>
                <w:rFonts w:ascii="Garamond" w:eastAsia="Times New Roman" w:hAnsi="Garamond" w:cs="Calibri"/>
                <w:color w:val="FFFFFF"/>
                <w:sz w:val="18"/>
                <w:szCs w:val="18"/>
                <w:lang w:eastAsia="es-ES_tradnl"/>
              </w:rPr>
            </w:pPr>
            <w:r w:rsidRPr="00AD3AAF">
              <w:rPr>
                <w:rFonts w:ascii="Garamond" w:hAnsi="Garamond" w:cs="Calibri"/>
                <w:color w:val="000000"/>
                <w:sz w:val="18"/>
                <w:szCs w:val="18"/>
              </w:rPr>
              <w:t>29,88%</w:t>
            </w:r>
          </w:p>
        </w:tc>
        <w:tc>
          <w:tcPr>
            <w:tcW w:w="1418" w:type="dxa"/>
            <w:tcBorders>
              <w:top w:val="nil"/>
              <w:left w:val="nil"/>
              <w:bottom w:val="single" w:sz="4" w:space="0" w:color="auto"/>
              <w:right w:val="single" w:sz="4" w:space="0" w:color="auto"/>
            </w:tcBorders>
            <w:shd w:val="clear" w:color="000000" w:fill="FFC000"/>
            <w:noWrap/>
            <w:vAlign w:val="bottom"/>
            <w:hideMark/>
          </w:tcPr>
          <w:p w14:paraId="63BB6C07" w14:textId="60067DB2"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21,39%</w:t>
            </w:r>
          </w:p>
        </w:tc>
        <w:tc>
          <w:tcPr>
            <w:tcW w:w="1417" w:type="dxa"/>
            <w:tcBorders>
              <w:top w:val="nil"/>
              <w:left w:val="nil"/>
              <w:bottom w:val="single" w:sz="4" w:space="0" w:color="auto"/>
              <w:right w:val="single" w:sz="4" w:space="0" w:color="auto"/>
            </w:tcBorders>
            <w:shd w:val="clear" w:color="000000" w:fill="A6A6A6"/>
            <w:noWrap/>
            <w:vAlign w:val="bottom"/>
            <w:hideMark/>
          </w:tcPr>
          <w:p w14:paraId="282C33D8" w14:textId="4C55F048"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12,72%</w:t>
            </w:r>
          </w:p>
        </w:tc>
        <w:tc>
          <w:tcPr>
            <w:tcW w:w="1418" w:type="dxa"/>
            <w:tcBorders>
              <w:top w:val="nil"/>
              <w:left w:val="nil"/>
              <w:bottom w:val="single" w:sz="4" w:space="0" w:color="auto"/>
              <w:right w:val="single" w:sz="4" w:space="0" w:color="auto"/>
            </w:tcBorders>
            <w:shd w:val="clear" w:color="000000" w:fill="5B9BD5"/>
            <w:noWrap/>
            <w:vAlign w:val="bottom"/>
            <w:hideMark/>
          </w:tcPr>
          <w:p w14:paraId="42CD9D24" w14:textId="650C81AC"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11,18%</w:t>
            </w:r>
          </w:p>
        </w:tc>
        <w:tc>
          <w:tcPr>
            <w:tcW w:w="1275" w:type="dxa"/>
            <w:tcBorders>
              <w:top w:val="nil"/>
              <w:left w:val="nil"/>
              <w:bottom w:val="single" w:sz="4" w:space="0" w:color="auto"/>
              <w:right w:val="single" w:sz="4" w:space="0" w:color="auto"/>
            </w:tcBorders>
            <w:shd w:val="clear" w:color="000000" w:fill="FFE699"/>
            <w:noWrap/>
            <w:vAlign w:val="bottom"/>
            <w:hideMark/>
          </w:tcPr>
          <w:p w14:paraId="65124657" w14:textId="06541ACB"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15,80%</w:t>
            </w:r>
          </w:p>
        </w:tc>
        <w:tc>
          <w:tcPr>
            <w:tcW w:w="1418" w:type="dxa"/>
            <w:tcBorders>
              <w:top w:val="nil"/>
              <w:left w:val="nil"/>
              <w:bottom w:val="single" w:sz="4" w:space="0" w:color="auto"/>
              <w:right w:val="single" w:sz="4" w:space="0" w:color="auto"/>
            </w:tcBorders>
            <w:shd w:val="clear" w:color="000000" w:fill="BDD7EE"/>
            <w:noWrap/>
            <w:vAlign w:val="bottom"/>
            <w:hideMark/>
          </w:tcPr>
          <w:p w14:paraId="092176C3" w14:textId="53AB5F5D"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6,10%</w:t>
            </w:r>
          </w:p>
        </w:tc>
        <w:tc>
          <w:tcPr>
            <w:tcW w:w="1417" w:type="dxa"/>
            <w:tcBorders>
              <w:top w:val="nil"/>
              <w:left w:val="nil"/>
              <w:bottom w:val="single" w:sz="4" w:space="0" w:color="auto"/>
              <w:right w:val="single" w:sz="4" w:space="0" w:color="auto"/>
            </w:tcBorders>
            <w:shd w:val="clear" w:color="000000" w:fill="EDEDED"/>
            <w:noWrap/>
            <w:vAlign w:val="bottom"/>
            <w:hideMark/>
          </w:tcPr>
          <w:p w14:paraId="63D5D3AE" w14:textId="06D6573F"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1,85%</w:t>
            </w:r>
          </w:p>
        </w:tc>
        <w:tc>
          <w:tcPr>
            <w:tcW w:w="1418" w:type="dxa"/>
            <w:tcBorders>
              <w:top w:val="nil"/>
              <w:left w:val="nil"/>
              <w:bottom w:val="single" w:sz="4" w:space="0" w:color="auto"/>
              <w:right w:val="single" w:sz="4" w:space="0" w:color="auto"/>
            </w:tcBorders>
            <w:shd w:val="clear" w:color="000000" w:fill="FCE4D6"/>
            <w:noWrap/>
            <w:vAlign w:val="bottom"/>
            <w:hideMark/>
          </w:tcPr>
          <w:p w14:paraId="1D26A6EF" w14:textId="4267946C"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1,07%</w:t>
            </w:r>
          </w:p>
        </w:tc>
      </w:tr>
      <w:tr w:rsidR="00BF3960" w:rsidRPr="00AC2ED3" w14:paraId="1170BF0F" w14:textId="77777777" w:rsidTr="002F014E">
        <w:trPr>
          <w:trHeight w:val="31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86FA086" w14:textId="77777777" w:rsidR="00BF3960" w:rsidRPr="00AC2ED3" w:rsidRDefault="00BF3960" w:rsidP="00BF3960">
            <w:pPr>
              <w:spacing w:after="0" w:line="240" w:lineRule="auto"/>
              <w:rPr>
                <w:rFonts w:ascii="Garamond" w:eastAsia="Times New Roman" w:hAnsi="Garamond" w:cs="Calibri"/>
                <w:color w:val="000000"/>
                <w:sz w:val="18"/>
                <w:szCs w:val="16"/>
                <w:lang w:eastAsia="es-ES_tradnl"/>
              </w:rPr>
            </w:pPr>
            <w:r w:rsidRPr="00AC2ED3">
              <w:rPr>
                <w:rFonts w:ascii="Garamond" w:eastAsia="Times New Roman" w:hAnsi="Garamond" w:cs="Calibri"/>
                <w:color w:val="000000"/>
                <w:sz w:val="18"/>
                <w:szCs w:val="16"/>
                <w:lang w:eastAsia="es-ES_tradnl"/>
              </w:rPr>
              <w:t>Santa Fe</w:t>
            </w:r>
          </w:p>
        </w:tc>
        <w:tc>
          <w:tcPr>
            <w:tcW w:w="1276" w:type="dxa"/>
            <w:tcBorders>
              <w:top w:val="nil"/>
              <w:left w:val="nil"/>
              <w:bottom w:val="single" w:sz="4" w:space="0" w:color="auto"/>
              <w:right w:val="single" w:sz="4" w:space="0" w:color="auto"/>
            </w:tcBorders>
            <w:shd w:val="clear" w:color="000000" w:fill="FFC000"/>
            <w:noWrap/>
            <w:vAlign w:val="bottom"/>
            <w:hideMark/>
          </w:tcPr>
          <w:p w14:paraId="6D6E3B06" w14:textId="49A0798F"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24,99%</w:t>
            </w:r>
          </w:p>
        </w:tc>
        <w:tc>
          <w:tcPr>
            <w:tcW w:w="1418" w:type="dxa"/>
            <w:tcBorders>
              <w:top w:val="nil"/>
              <w:left w:val="nil"/>
              <w:bottom w:val="single" w:sz="4" w:space="0" w:color="auto"/>
              <w:right w:val="single" w:sz="4" w:space="0" w:color="auto"/>
            </w:tcBorders>
            <w:shd w:val="clear" w:color="000000" w:fill="70AD47"/>
            <w:noWrap/>
            <w:vAlign w:val="bottom"/>
            <w:hideMark/>
          </w:tcPr>
          <w:p w14:paraId="38DB493F" w14:textId="1DECD281" w:rsidR="00BF3960" w:rsidRPr="00AD3AAF" w:rsidRDefault="00BF3960" w:rsidP="00BF3960">
            <w:pPr>
              <w:spacing w:after="0" w:line="240" w:lineRule="auto"/>
              <w:jc w:val="right"/>
              <w:rPr>
                <w:rFonts w:ascii="Garamond" w:eastAsia="Times New Roman" w:hAnsi="Garamond" w:cs="Calibri"/>
                <w:color w:val="FFFFFF"/>
                <w:sz w:val="18"/>
                <w:szCs w:val="18"/>
                <w:lang w:eastAsia="es-ES_tradnl"/>
              </w:rPr>
            </w:pPr>
            <w:r w:rsidRPr="00AD3AAF">
              <w:rPr>
                <w:rFonts w:ascii="Garamond" w:hAnsi="Garamond" w:cs="Calibri"/>
                <w:color w:val="000000"/>
                <w:sz w:val="18"/>
                <w:szCs w:val="18"/>
              </w:rPr>
              <w:t>32,72%</w:t>
            </w:r>
          </w:p>
        </w:tc>
        <w:tc>
          <w:tcPr>
            <w:tcW w:w="1417" w:type="dxa"/>
            <w:tcBorders>
              <w:top w:val="nil"/>
              <w:left w:val="nil"/>
              <w:bottom w:val="single" w:sz="4" w:space="0" w:color="auto"/>
              <w:right w:val="single" w:sz="4" w:space="0" w:color="auto"/>
            </w:tcBorders>
            <w:shd w:val="clear" w:color="000000" w:fill="FFE699"/>
            <w:noWrap/>
            <w:vAlign w:val="bottom"/>
            <w:hideMark/>
          </w:tcPr>
          <w:p w14:paraId="4F95B74C" w14:textId="3C465580"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12,72%</w:t>
            </w:r>
          </w:p>
        </w:tc>
        <w:tc>
          <w:tcPr>
            <w:tcW w:w="1418" w:type="dxa"/>
            <w:tcBorders>
              <w:top w:val="nil"/>
              <w:left w:val="nil"/>
              <w:bottom w:val="single" w:sz="4" w:space="0" w:color="auto"/>
              <w:right w:val="single" w:sz="4" w:space="0" w:color="auto"/>
            </w:tcBorders>
            <w:shd w:val="clear" w:color="000000" w:fill="A6A6A6"/>
            <w:noWrap/>
            <w:vAlign w:val="bottom"/>
            <w:hideMark/>
          </w:tcPr>
          <w:p w14:paraId="3DA5CE67" w14:textId="613A0809"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12,20%</w:t>
            </w:r>
          </w:p>
        </w:tc>
        <w:tc>
          <w:tcPr>
            <w:tcW w:w="1275" w:type="dxa"/>
            <w:tcBorders>
              <w:top w:val="nil"/>
              <w:left w:val="nil"/>
              <w:bottom w:val="single" w:sz="4" w:space="0" w:color="auto"/>
              <w:right w:val="single" w:sz="4" w:space="0" w:color="auto"/>
            </w:tcBorders>
            <w:shd w:val="clear" w:color="000000" w:fill="5B9BD5"/>
            <w:noWrap/>
            <w:vAlign w:val="bottom"/>
            <w:hideMark/>
          </w:tcPr>
          <w:p w14:paraId="1CEC1F8F" w14:textId="33C7B5E0"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11,39%</w:t>
            </w:r>
          </w:p>
        </w:tc>
        <w:tc>
          <w:tcPr>
            <w:tcW w:w="1418" w:type="dxa"/>
            <w:tcBorders>
              <w:top w:val="nil"/>
              <w:left w:val="nil"/>
              <w:bottom w:val="single" w:sz="4" w:space="0" w:color="auto"/>
              <w:right w:val="single" w:sz="4" w:space="0" w:color="auto"/>
            </w:tcBorders>
            <w:shd w:val="clear" w:color="000000" w:fill="BDD7EE"/>
            <w:noWrap/>
            <w:vAlign w:val="bottom"/>
            <w:hideMark/>
          </w:tcPr>
          <w:p w14:paraId="29837822" w14:textId="01D4D092"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4,07%</w:t>
            </w:r>
          </w:p>
        </w:tc>
        <w:tc>
          <w:tcPr>
            <w:tcW w:w="1417" w:type="dxa"/>
            <w:tcBorders>
              <w:top w:val="nil"/>
              <w:left w:val="nil"/>
              <w:bottom w:val="single" w:sz="4" w:space="0" w:color="auto"/>
              <w:right w:val="single" w:sz="4" w:space="0" w:color="auto"/>
            </w:tcBorders>
            <w:shd w:val="clear" w:color="000000" w:fill="FCE4D6"/>
            <w:noWrap/>
            <w:vAlign w:val="bottom"/>
            <w:hideMark/>
          </w:tcPr>
          <w:p w14:paraId="33A47942" w14:textId="56B728F8"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0,72%</w:t>
            </w:r>
          </w:p>
        </w:tc>
        <w:tc>
          <w:tcPr>
            <w:tcW w:w="1418" w:type="dxa"/>
            <w:tcBorders>
              <w:top w:val="nil"/>
              <w:left w:val="nil"/>
              <w:bottom w:val="single" w:sz="4" w:space="0" w:color="auto"/>
              <w:right w:val="single" w:sz="4" w:space="0" w:color="auto"/>
            </w:tcBorders>
            <w:shd w:val="clear" w:color="000000" w:fill="EDEDED"/>
            <w:noWrap/>
            <w:vAlign w:val="bottom"/>
            <w:hideMark/>
          </w:tcPr>
          <w:p w14:paraId="47CCA8B3" w14:textId="1348D1C7"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1,18%</w:t>
            </w:r>
          </w:p>
        </w:tc>
      </w:tr>
      <w:tr w:rsidR="00BF3960" w:rsidRPr="00AC2ED3" w14:paraId="3109BFA2" w14:textId="77777777" w:rsidTr="002F014E">
        <w:trPr>
          <w:trHeight w:val="31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D5E68BC" w14:textId="77777777" w:rsidR="00BF3960" w:rsidRPr="00AC2ED3" w:rsidRDefault="00BF3960" w:rsidP="00BF3960">
            <w:pPr>
              <w:spacing w:after="0" w:line="240" w:lineRule="auto"/>
              <w:rPr>
                <w:rFonts w:ascii="Garamond" w:eastAsia="Times New Roman" w:hAnsi="Garamond" w:cs="Calibri"/>
                <w:color w:val="000000"/>
                <w:sz w:val="18"/>
                <w:szCs w:val="16"/>
                <w:lang w:eastAsia="es-ES_tradnl"/>
              </w:rPr>
            </w:pPr>
            <w:r w:rsidRPr="00AC2ED3">
              <w:rPr>
                <w:rFonts w:ascii="Garamond" w:eastAsia="Times New Roman" w:hAnsi="Garamond" w:cs="Calibri"/>
                <w:color w:val="000000"/>
                <w:sz w:val="18"/>
                <w:szCs w:val="16"/>
                <w:lang w:eastAsia="es-ES_tradnl"/>
              </w:rPr>
              <w:t>La Candelaria</w:t>
            </w:r>
          </w:p>
        </w:tc>
        <w:tc>
          <w:tcPr>
            <w:tcW w:w="1276" w:type="dxa"/>
            <w:tcBorders>
              <w:top w:val="nil"/>
              <w:left w:val="nil"/>
              <w:bottom w:val="single" w:sz="4" w:space="0" w:color="auto"/>
              <w:right w:val="single" w:sz="4" w:space="0" w:color="auto"/>
            </w:tcBorders>
            <w:shd w:val="clear" w:color="000000" w:fill="FFC000"/>
            <w:noWrap/>
            <w:vAlign w:val="bottom"/>
            <w:hideMark/>
          </w:tcPr>
          <w:p w14:paraId="19E4B650" w14:textId="20D64A17"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22,02%</w:t>
            </w:r>
          </w:p>
        </w:tc>
        <w:tc>
          <w:tcPr>
            <w:tcW w:w="1418" w:type="dxa"/>
            <w:tcBorders>
              <w:top w:val="nil"/>
              <w:left w:val="nil"/>
              <w:bottom w:val="single" w:sz="4" w:space="0" w:color="auto"/>
              <w:right w:val="single" w:sz="4" w:space="0" w:color="auto"/>
            </w:tcBorders>
            <w:shd w:val="clear" w:color="000000" w:fill="70AD47"/>
            <w:noWrap/>
            <w:vAlign w:val="bottom"/>
            <w:hideMark/>
          </w:tcPr>
          <w:p w14:paraId="7632CF82" w14:textId="0CCB559E" w:rsidR="00BF3960" w:rsidRPr="00AD3AAF" w:rsidRDefault="00BF3960" w:rsidP="00BF3960">
            <w:pPr>
              <w:spacing w:after="0" w:line="240" w:lineRule="auto"/>
              <w:jc w:val="right"/>
              <w:rPr>
                <w:rFonts w:ascii="Garamond" w:eastAsia="Times New Roman" w:hAnsi="Garamond" w:cs="Calibri"/>
                <w:color w:val="FFFFFF"/>
                <w:sz w:val="18"/>
                <w:szCs w:val="18"/>
                <w:lang w:eastAsia="es-ES_tradnl"/>
              </w:rPr>
            </w:pPr>
            <w:r w:rsidRPr="00AD3AAF">
              <w:rPr>
                <w:rFonts w:ascii="Garamond" w:hAnsi="Garamond" w:cs="Calibri"/>
                <w:color w:val="000000"/>
                <w:sz w:val="18"/>
                <w:szCs w:val="18"/>
              </w:rPr>
              <w:t>39,58%</w:t>
            </w:r>
          </w:p>
        </w:tc>
        <w:tc>
          <w:tcPr>
            <w:tcW w:w="1417" w:type="dxa"/>
            <w:tcBorders>
              <w:top w:val="nil"/>
              <w:left w:val="nil"/>
              <w:bottom w:val="single" w:sz="4" w:space="0" w:color="auto"/>
              <w:right w:val="single" w:sz="4" w:space="0" w:color="auto"/>
            </w:tcBorders>
            <w:shd w:val="clear" w:color="000000" w:fill="5B9BD5"/>
            <w:noWrap/>
            <w:vAlign w:val="bottom"/>
            <w:hideMark/>
          </w:tcPr>
          <w:p w14:paraId="164FB420" w14:textId="7295F9D6"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8,09%</w:t>
            </w:r>
          </w:p>
        </w:tc>
        <w:tc>
          <w:tcPr>
            <w:tcW w:w="1418" w:type="dxa"/>
            <w:tcBorders>
              <w:top w:val="nil"/>
              <w:left w:val="nil"/>
              <w:bottom w:val="single" w:sz="4" w:space="0" w:color="auto"/>
              <w:right w:val="single" w:sz="4" w:space="0" w:color="auto"/>
            </w:tcBorders>
            <w:shd w:val="clear" w:color="000000" w:fill="FFE699"/>
            <w:noWrap/>
            <w:vAlign w:val="bottom"/>
            <w:hideMark/>
          </w:tcPr>
          <w:p w14:paraId="0ABDF9E2" w14:textId="21BA4E87"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12,58%</w:t>
            </w:r>
          </w:p>
        </w:tc>
        <w:tc>
          <w:tcPr>
            <w:tcW w:w="1275" w:type="dxa"/>
            <w:tcBorders>
              <w:top w:val="nil"/>
              <w:left w:val="nil"/>
              <w:bottom w:val="single" w:sz="4" w:space="0" w:color="auto"/>
              <w:right w:val="single" w:sz="4" w:space="0" w:color="auto"/>
            </w:tcBorders>
            <w:shd w:val="clear" w:color="000000" w:fill="A6A6A6"/>
            <w:noWrap/>
            <w:vAlign w:val="bottom"/>
            <w:hideMark/>
          </w:tcPr>
          <w:p w14:paraId="352806CE" w14:textId="1367E70F"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11,70%</w:t>
            </w:r>
          </w:p>
        </w:tc>
        <w:tc>
          <w:tcPr>
            <w:tcW w:w="1418" w:type="dxa"/>
            <w:tcBorders>
              <w:top w:val="nil"/>
              <w:left w:val="nil"/>
              <w:bottom w:val="single" w:sz="4" w:space="0" w:color="auto"/>
              <w:right w:val="single" w:sz="4" w:space="0" w:color="auto"/>
            </w:tcBorders>
            <w:shd w:val="clear" w:color="000000" w:fill="BDD7EE"/>
            <w:noWrap/>
            <w:vAlign w:val="bottom"/>
            <w:hideMark/>
          </w:tcPr>
          <w:p w14:paraId="5B99CD0C" w14:textId="7413CE79"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3,37%</w:t>
            </w:r>
          </w:p>
        </w:tc>
        <w:tc>
          <w:tcPr>
            <w:tcW w:w="1417" w:type="dxa"/>
            <w:tcBorders>
              <w:top w:val="nil"/>
              <w:left w:val="nil"/>
              <w:bottom w:val="single" w:sz="4" w:space="0" w:color="auto"/>
              <w:right w:val="single" w:sz="4" w:space="0" w:color="auto"/>
            </w:tcBorders>
            <w:shd w:val="clear" w:color="000000" w:fill="FCE4D6"/>
            <w:noWrap/>
            <w:vAlign w:val="bottom"/>
            <w:hideMark/>
          </w:tcPr>
          <w:p w14:paraId="365C38C0" w14:textId="05EC32DB"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0,62%</w:t>
            </w:r>
          </w:p>
        </w:tc>
        <w:tc>
          <w:tcPr>
            <w:tcW w:w="1418" w:type="dxa"/>
            <w:tcBorders>
              <w:top w:val="nil"/>
              <w:left w:val="nil"/>
              <w:bottom w:val="single" w:sz="4" w:space="0" w:color="auto"/>
              <w:right w:val="single" w:sz="4" w:space="0" w:color="auto"/>
            </w:tcBorders>
            <w:shd w:val="clear" w:color="000000" w:fill="EDEDED"/>
            <w:noWrap/>
            <w:vAlign w:val="bottom"/>
            <w:hideMark/>
          </w:tcPr>
          <w:p w14:paraId="0AF9ED1A" w14:textId="131FCD85"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2,05%</w:t>
            </w:r>
          </w:p>
        </w:tc>
      </w:tr>
      <w:tr w:rsidR="00BF3960" w:rsidRPr="00AC2ED3" w14:paraId="22BA0EFA" w14:textId="77777777" w:rsidTr="002F014E">
        <w:trPr>
          <w:trHeight w:val="31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E0984BD" w14:textId="77777777" w:rsidR="00BF3960" w:rsidRPr="00AC2ED3" w:rsidRDefault="00BF3960" w:rsidP="00BF3960">
            <w:pPr>
              <w:spacing w:after="0" w:line="240" w:lineRule="auto"/>
              <w:rPr>
                <w:rFonts w:ascii="Garamond" w:eastAsia="Times New Roman" w:hAnsi="Garamond" w:cs="Calibri"/>
                <w:color w:val="000000"/>
                <w:sz w:val="18"/>
                <w:szCs w:val="16"/>
                <w:lang w:eastAsia="es-ES_tradnl"/>
              </w:rPr>
            </w:pPr>
            <w:r w:rsidRPr="00AC2ED3">
              <w:rPr>
                <w:rFonts w:ascii="Garamond" w:eastAsia="Times New Roman" w:hAnsi="Garamond" w:cs="Calibri"/>
                <w:color w:val="000000"/>
                <w:sz w:val="18"/>
                <w:szCs w:val="16"/>
                <w:lang w:eastAsia="es-ES_tradnl"/>
              </w:rPr>
              <w:t>Chapinero</w:t>
            </w:r>
          </w:p>
        </w:tc>
        <w:tc>
          <w:tcPr>
            <w:tcW w:w="1276" w:type="dxa"/>
            <w:tcBorders>
              <w:top w:val="nil"/>
              <w:left w:val="nil"/>
              <w:bottom w:val="single" w:sz="4" w:space="0" w:color="auto"/>
              <w:right w:val="single" w:sz="4" w:space="0" w:color="auto"/>
            </w:tcBorders>
            <w:shd w:val="clear" w:color="000000" w:fill="FFC000"/>
            <w:noWrap/>
            <w:vAlign w:val="bottom"/>
            <w:hideMark/>
          </w:tcPr>
          <w:p w14:paraId="2E362D2A" w14:textId="41397887"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20,57%</w:t>
            </w:r>
          </w:p>
        </w:tc>
        <w:tc>
          <w:tcPr>
            <w:tcW w:w="1418" w:type="dxa"/>
            <w:tcBorders>
              <w:top w:val="nil"/>
              <w:left w:val="nil"/>
              <w:bottom w:val="single" w:sz="4" w:space="0" w:color="auto"/>
              <w:right w:val="single" w:sz="4" w:space="0" w:color="auto"/>
            </w:tcBorders>
            <w:shd w:val="clear" w:color="000000" w:fill="70AD47"/>
            <w:noWrap/>
            <w:vAlign w:val="bottom"/>
            <w:hideMark/>
          </w:tcPr>
          <w:p w14:paraId="6F6F6A50" w14:textId="0ABCCD75" w:rsidR="00BF3960" w:rsidRPr="00AD3AAF" w:rsidRDefault="00BF3960" w:rsidP="00BF3960">
            <w:pPr>
              <w:spacing w:after="0" w:line="240" w:lineRule="auto"/>
              <w:jc w:val="right"/>
              <w:rPr>
                <w:rFonts w:ascii="Garamond" w:eastAsia="Times New Roman" w:hAnsi="Garamond" w:cs="Calibri"/>
                <w:color w:val="FFFFFF"/>
                <w:sz w:val="18"/>
                <w:szCs w:val="18"/>
                <w:lang w:eastAsia="es-ES_tradnl"/>
              </w:rPr>
            </w:pPr>
            <w:r w:rsidRPr="00AD3AAF">
              <w:rPr>
                <w:rFonts w:ascii="Garamond" w:hAnsi="Garamond" w:cs="Calibri"/>
                <w:color w:val="000000"/>
                <w:sz w:val="18"/>
                <w:szCs w:val="18"/>
              </w:rPr>
              <w:t>41,62%</w:t>
            </w:r>
          </w:p>
        </w:tc>
        <w:tc>
          <w:tcPr>
            <w:tcW w:w="1417" w:type="dxa"/>
            <w:tcBorders>
              <w:top w:val="nil"/>
              <w:left w:val="nil"/>
              <w:bottom w:val="single" w:sz="4" w:space="0" w:color="auto"/>
              <w:right w:val="single" w:sz="4" w:space="0" w:color="auto"/>
            </w:tcBorders>
            <w:shd w:val="clear" w:color="000000" w:fill="5B9BD5"/>
            <w:noWrap/>
            <w:vAlign w:val="bottom"/>
            <w:hideMark/>
          </w:tcPr>
          <w:p w14:paraId="204E78E6" w14:textId="38BC1961"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4,70%</w:t>
            </w:r>
          </w:p>
        </w:tc>
        <w:tc>
          <w:tcPr>
            <w:tcW w:w="1418" w:type="dxa"/>
            <w:tcBorders>
              <w:top w:val="nil"/>
              <w:left w:val="nil"/>
              <w:bottom w:val="single" w:sz="4" w:space="0" w:color="auto"/>
              <w:right w:val="single" w:sz="4" w:space="0" w:color="auto"/>
            </w:tcBorders>
            <w:shd w:val="clear" w:color="000000" w:fill="A6A6A6"/>
            <w:noWrap/>
            <w:vAlign w:val="bottom"/>
            <w:hideMark/>
          </w:tcPr>
          <w:p w14:paraId="7D80D084" w14:textId="14D99473"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8,73%</w:t>
            </w:r>
          </w:p>
        </w:tc>
        <w:tc>
          <w:tcPr>
            <w:tcW w:w="1275" w:type="dxa"/>
            <w:tcBorders>
              <w:top w:val="nil"/>
              <w:left w:val="nil"/>
              <w:bottom w:val="single" w:sz="4" w:space="0" w:color="auto"/>
              <w:right w:val="single" w:sz="4" w:space="0" w:color="auto"/>
            </w:tcBorders>
            <w:shd w:val="clear" w:color="000000" w:fill="FFE699"/>
            <w:noWrap/>
            <w:vAlign w:val="bottom"/>
            <w:hideMark/>
          </w:tcPr>
          <w:p w14:paraId="51CC444C" w14:textId="56B151F2"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15,02%</w:t>
            </w:r>
          </w:p>
        </w:tc>
        <w:tc>
          <w:tcPr>
            <w:tcW w:w="1418" w:type="dxa"/>
            <w:tcBorders>
              <w:top w:val="nil"/>
              <w:left w:val="nil"/>
              <w:bottom w:val="single" w:sz="4" w:space="0" w:color="auto"/>
              <w:right w:val="single" w:sz="4" w:space="0" w:color="auto"/>
            </w:tcBorders>
            <w:shd w:val="clear" w:color="000000" w:fill="BDD7EE"/>
            <w:noWrap/>
            <w:vAlign w:val="bottom"/>
            <w:hideMark/>
          </w:tcPr>
          <w:p w14:paraId="24650AA0" w14:textId="2E356CB8"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5,38%</w:t>
            </w:r>
          </w:p>
        </w:tc>
        <w:tc>
          <w:tcPr>
            <w:tcW w:w="1417" w:type="dxa"/>
            <w:tcBorders>
              <w:top w:val="nil"/>
              <w:left w:val="nil"/>
              <w:bottom w:val="single" w:sz="4" w:space="0" w:color="auto"/>
              <w:right w:val="single" w:sz="4" w:space="0" w:color="auto"/>
            </w:tcBorders>
            <w:shd w:val="clear" w:color="000000" w:fill="FCE4D6"/>
            <w:noWrap/>
            <w:vAlign w:val="bottom"/>
            <w:hideMark/>
          </w:tcPr>
          <w:p w14:paraId="53556EFF" w14:textId="440524D6"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1,84%</w:t>
            </w:r>
          </w:p>
        </w:tc>
        <w:tc>
          <w:tcPr>
            <w:tcW w:w="1418" w:type="dxa"/>
            <w:tcBorders>
              <w:top w:val="nil"/>
              <w:left w:val="nil"/>
              <w:bottom w:val="single" w:sz="4" w:space="0" w:color="auto"/>
              <w:right w:val="single" w:sz="4" w:space="0" w:color="auto"/>
            </w:tcBorders>
            <w:shd w:val="clear" w:color="000000" w:fill="EDEDED"/>
            <w:noWrap/>
            <w:vAlign w:val="bottom"/>
            <w:hideMark/>
          </w:tcPr>
          <w:p w14:paraId="0F90026F" w14:textId="32A3A371" w:rsidR="00BF3960" w:rsidRPr="00AD3AAF" w:rsidRDefault="00BF3960" w:rsidP="00BF3960">
            <w:pPr>
              <w:spacing w:after="0" w:line="240" w:lineRule="auto"/>
              <w:jc w:val="right"/>
              <w:rPr>
                <w:rFonts w:ascii="Garamond" w:eastAsia="Times New Roman" w:hAnsi="Garamond" w:cs="Calibri"/>
                <w:color w:val="000000"/>
                <w:sz w:val="18"/>
                <w:szCs w:val="18"/>
                <w:lang w:eastAsia="es-ES_tradnl"/>
              </w:rPr>
            </w:pPr>
            <w:r w:rsidRPr="00AD3AAF">
              <w:rPr>
                <w:rFonts w:ascii="Garamond" w:hAnsi="Garamond" w:cs="Calibri"/>
                <w:color w:val="000000"/>
                <w:sz w:val="18"/>
                <w:szCs w:val="18"/>
              </w:rPr>
              <w:t>2,14%</w:t>
            </w:r>
          </w:p>
        </w:tc>
      </w:tr>
    </w:tbl>
    <w:p w14:paraId="255BC28F" w14:textId="14AD98E0" w:rsidR="00AC2ED3" w:rsidRDefault="00AC2ED3" w:rsidP="00AC2ED3">
      <w:pPr>
        <w:spacing w:after="0" w:line="360" w:lineRule="auto"/>
        <w:jc w:val="right"/>
        <w:rPr>
          <w:rFonts w:ascii="Garamond" w:hAnsi="Garamond"/>
          <w:b/>
          <w:sz w:val="20"/>
          <w:lang w:val="es-MX"/>
        </w:rPr>
      </w:pPr>
    </w:p>
    <w:p w14:paraId="48B8F9CD" w14:textId="30EDE498" w:rsidR="00417256" w:rsidRDefault="00417256" w:rsidP="00AF1118">
      <w:pPr>
        <w:spacing w:after="0" w:line="360" w:lineRule="auto"/>
        <w:rPr>
          <w:rFonts w:ascii="Garamond" w:hAnsi="Garamond"/>
          <w:b/>
          <w:sz w:val="20"/>
          <w:lang w:val="es-MX"/>
        </w:rPr>
      </w:pPr>
    </w:p>
    <w:p w14:paraId="1012547B" w14:textId="01B6A031" w:rsidR="00134382" w:rsidRDefault="00134382" w:rsidP="00862E91">
      <w:pPr>
        <w:spacing w:after="0" w:line="360" w:lineRule="auto"/>
        <w:jc w:val="both"/>
        <w:rPr>
          <w:rFonts w:ascii="Garamond" w:hAnsi="Garamond"/>
          <w:sz w:val="20"/>
          <w:szCs w:val="20"/>
          <w:lang w:val="es-MX"/>
        </w:rPr>
      </w:pPr>
    </w:p>
    <w:p w14:paraId="63254C83" w14:textId="77777777" w:rsidR="00862E91" w:rsidRDefault="00862E91" w:rsidP="00862E91">
      <w:pPr>
        <w:spacing w:after="0" w:line="360" w:lineRule="auto"/>
        <w:jc w:val="both"/>
        <w:rPr>
          <w:rFonts w:ascii="Garamond" w:hAnsi="Garamond"/>
          <w:sz w:val="20"/>
          <w:szCs w:val="20"/>
          <w:lang w:val="es-MX"/>
        </w:rPr>
        <w:sectPr w:rsidR="00862E91" w:rsidSect="00A909BC">
          <w:pgSz w:w="15840" w:h="12240" w:orient="landscape"/>
          <w:pgMar w:top="1701" w:right="1417" w:bottom="1701" w:left="1417" w:header="708" w:footer="708" w:gutter="0"/>
          <w:cols w:space="708"/>
          <w:docGrid w:linePitch="360"/>
        </w:sectPr>
      </w:pPr>
    </w:p>
    <w:p w14:paraId="27A77A34" w14:textId="4F8EB8DE" w:rsidR="00C7793B" w:rsidRDefault="005013D0" w:rsidP="000951F6">
      <w:pPr>
        <w:pStyle w:val="Ttulo2"/>
        <w:spacing w:after="120"/>
        <w:rPr>
          <w:lang w:val="es-MX"/>
        </w:rPr>
      </w:pPr>
      <w:r>
        <w:rPr>
          <w:lang w:val="es-MX"/>
        </w:rPr>
        <w:lastRenderedPageBreak/>
        <w:t>¿Qué pasa en cada localidad?</w:t>
      </w:r>
    </w:p>
    <w:p w14:paraId="46E68AC4" w14:textId="358342B0" w:rsidR="00C7793B" w:rsidRPr="00B21B0F" w:rsidRDefault="00C7793B" w:rsidP="00C7793B">
      <w:pPr>
        <w:spacing w:after="0" w:line="360" w:lineRule="auto"/>
        <w:jc w:val="both"/>
        <w:rPr>
          <w:rFonts w:ascii="Garamond" w:hAnsi="Garamond"/>
          <w:sz w:val="20"/>
          <w:szCs w:val="20"/>
          <w:lang w:val="es-MX"/>
        </w:rPr>
      </w:pPr>
      <w:r w:rsidRPr="00B21B0F">
        <w:rPr>
          <w:rFonts w:ascii="Garamond" w:hAnsi="Garamond"/>
          <w:sz w:val="20"/>
          <w:szCs w:val="20"/>
          <w:lang w:val="es-MX"/>
        </w:rPr>
        <w:t>A continuaci</w:t>
      </w:r>
      <w:r w:rsidR="000951F6" w:rsidRPr="00B21B0F">
        <w:rPr>
          <w:rFonts w:ascii="Garamond" w:hAnsi="Garamond"/>
          <w:sz w:val="20"/>
          <w:szCs w:val="20"/>
          <w:lang w:val="es-MX"/>
        </w:rPr>
        <w:t>ó</w:t>
      </w:r>
      <w:r w:rsidRPr="00B21B0F">
        <w:rPr>
          <w:rFonts w:ascii="Garamond" w:hAnsi="Garamond"/>
          <w:sz w:val="20"/>
          <w:szCs w:val="20"/>
          <w:lang w:val="es-MX"/>
        </w:rPr>
        <w:t>n se presentan las cifras de tipología familiar para cada localidad de Bogotá:</w:t>
      </w:r>
    </w:p>
    <w:p w14:paraId="4E4D60A3" w14:textId="77777777" w:rsidR="00C7793B" w:rsidRPr="00B21B0F" w:rsidRDefault="00C7793B" w:rsidP="00C7793B">
      <w:pPr>
        <w:spacing w:after="0" w:line="360" w:lineRule="auto"/>
        <w:jc w:val="both"/>
        <w:rPr>
          <w:rFonts w:ascii="Garamond" w:hAnsi="Garamond"/>
          <w:sz w:val="20"/>
          <w:szCs w:val="20"/>
          <w:lang w:val="es-MX"/>
        </w:rPr>
      </w:pPr>
    </w:p>
    <w:p w14:paraId="5BDF1F7B" w14:textId="14B034CE" w:rsidR="00AF1118" w:rsidRPr="00B21B0F" w:rsidRDefault="00AF1118" w:rsidP="00AF1118">
      <w:pPr>
        <w:pStyle w:val="Ttulo3"/>
        <w:rPr>
          <w:lang w:val="es-MX"/>
        </w:rPr>
      </w:pPr>
      <w:r w:rsidRPr="00B21B0F">
        <w:rPr>
          <w:lang w:val="es-MX"/>
        </w:rPr>
        <w:t>Suba</w:t>
      </w:r>
    </w:p>
    <w:p w14:paraId="0271DC3F" w14:textId="2E2420AC" w:rsidR="00AF1118" w:rsidRPr="00B21B0F" w:rsidRDefault="00AF1118" w:rsidP="00AF1118">
      <w:pPr>
        <w:spacing w:after="0" w:line="360" w:lineRule="auto"/>
        <w:jc w:val="both"/>
        <w:rPr>
          <w:rFonts w:ascii="Garamond" w:hAnsi="Garamond"/>
          <w:sz w:val="20"/>
          <w:szCs w:val="20"/>
          <w:lang w:val="es-MX"/>
        </w:rPr>
      </w:pPr>
      <w:r w:rsidRPr="00B21B0F">
        <w:rPr>
          <w:rFonts w:ascii="Garamond" w:hAnsi="Garamond"/>
          <w:sz w:val="20"/>
          <w:szCs w:val="20"/>
          <w:lang w:val="es-MX"/>
        </w:rPr>
        <w:t xml:space="preserve">Suba es la localidad más grande de Bogotá en términos del número de hogares que tiene (441.449), los cuales equivalen al 16,4% de los hogares representados en esta encuesta. El 63% de los hogares son nucleares, el 19% son unipersonales el 14% son familiares amplios, el 3% son familiares sin núcleo y el 1% </w:t>
      </w:r>
      <w:r w:rsidR="004C4715" w:rsidRPr="00B21B0F">
        <w:rPr>
          <w:rFonts w:ascii="Garamond" w:hAnsi="Garamond"/>
          <w:sz w:val="20"/>
          <w:szCs w:val="20"/>
          <w:lang w:val="es-MX"/>
        </w:rPr>
        <w:t xml:space="preserve">son hogares </w:t>
      </w:r>
      <w:r w:rsidR="00DD53BC" w:rsidRPr="00B21B0F">
        <w:rPr>
          <w:rFonts w:ascii="Garamond" w:hAnsi="Garamond"/>
          <w:sz w:val="20"/>
          <w:szCs w:val="20"/>
          <w:lang w:val="es-MX"/>
        </w:rPr>
        <w:t>N</w:t>
      </w:r>
      <w:r w:rsidR="004C4715" w:rsidRPr="00B21B0F">
        <w:rPr>
          <w:rFonts w:ascii="Garamond" w:hAnsi="Garamond"/>
          <w:sz w:val="20"/>
          <w:szCs w:val="20"/>
          <w:lang w:val="es-MX"/>
        </w:rPr>
        <w:t>o familiares sin núcleo.</w:t>
      </w:r>
    </w:p>
    <w:p w14:paraId="4789F4C4" w14:textId="7FCD2A0A" w:rsidR="00AF1118" w:rsidRPr="00B21B0F" w:rsidRDefault="00E84B0C" w:rsidP="00852E35">
      <w:pPr>
        <w:spacing w:after="0" w:line="360" w:lineRule="auto"/>
        <w:jc w:val="both"/>
        <w:rPr>
          <w:rFonts w:ascii="Garamond" w:hAnsi="Garamond"/>
          <w:sz w:val="20"/>
          <w:szCs w:val="20"/>
          <w:lang w:val="es-MX"/>
        </w:rPr>
      </w:pPr>
      <w:r w:rsidRPr="00B21B0F">
        <w:rPr>
          <w:noProof/>
        </w:rPr>
        <w:drawing>
          <wp:inline distT="0" distB="0" distL="0" distR="0" wp14:anchorId="74BC5D93" wp14:editId="38B2EE9B">
            <wp:extent cx="2581275" cy="1972945"/>
            <wp:effectExtent l="0" t="0" r="0" b="0"/>
            <wp:docPr id="40" name="Gráfico 40">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5F1828D" w14:textId="7E92268F" w:rsidR="00C7793B" w:rsidRPr="00B21B0F" w:rsidRDefault="00C7793B" w:rsidP="00C7793B">
      <w:pPr>
        <w:pStyle w:val="Ttulo3"/>
        <w:rPr>
          <w:lang w:val="es-MX"/>
        </w:rPr>
      </w:pPr>
      <w:r w:rsidRPr="00B21B0F">
        <w:rPr>
          <w:lang w:val="es-MX"/>
        </w:rPr>
        <w:t>Kennedy</w:t>
      </w:r>
    </w:p>
    <w:p w14:paraId="21CC169D" w14:textId="0311CDA6" w:rsidR="00C7793B" w:rsidRPr="00B21B0F" w:rsidRDefault="00C7793B" w:rsidP="00C7793B">
      <w:pPr>
        <w:spacing w:after="0" w:line="360" w:lineRule="auto"/>
        <w:jc w:val="both"/>
        <w:rPr>
          <w:rFonts w:ascii="Garamond" w:hAnsi="Garamond"/>
          <w:sz w:val="20"/>
          <w:szCs w:val="20"/>
          <w:lang w:val="es-MX"/>
        </w:rPr>
      </w:pPr>
      <w:r w:rsidRPr="00B21B0F">
        <w:rPr>
          <w:rFonts w:ascii="Garamond" w:hAnsi="Garamond"/>
          <w:sz w:val="20"/>
          <w:szCs w:val="20"/>
          <w:lang w:val="es-MX"/>
        </w:rPr>
        <w:t>Es la segunda localidad más grande de la ciudad ya que tiene 389.299 hogares que equivalen al 14,4% de los hogares de la capital. El 6</w:t>
      </w:r>
      <w:r w:rsidR="00852E35" w:rsidRPr="00B21B0F">
        <w:rPr>
          <w:rFonts w:ascii="Garamond" w:hAnsi="Garamond"/>
          <w:sz w:val="20"/>
          <w:szCs w:val="20"/>
          <w:lang w:val="es-MX"/>
        </w:rPr>
        <w:t>7</w:t>
      </w:r>
      <w:r w:rsidRPr="00B21B0F">
        <w:rPr>
          <w:rFonts w:ascii="Garamond" w:hAnsi="Garamond"/>
          <w:sz w:val="20"/>
          <w:szCs w:val="20"/>
          <w:lang w:val="es-MX"/>
        </w:rPr>
        <w:t xml:space="preserve">% de los hogares son nucleares, el 17% son familiares amplios, el 12% son unipersonales, el </w:t>
      </w:r>
      <w:r w:rsidR="00852E35" w:rsidRPr="00B21B0F">
        <w:rPr>
          <w:rFonts w:ascii="Garamond" w:hAnsi="Garamond"/>
          <w:sz w:val="20"/>
          <w:szCs w:val="20"/>
          <w:lang w:val="es-MX"/>
        </w:rPr>
        <w:t>3</w:t>
      </w:r>
      <w:r w:rsidRPr="00B21B0F">
        <w:rPr>
          <w:rFonts w:ascii="Garamond" w:hAnsi="Garamond"/>
          <w:sz w:val="20"/>
          <w:szCs w:val="20"/>
          <w:lang w:val="es-MX"/>
        </w:rPr>
        <w:t xml:space="preserve">% son familiares sin núcleo y el 1% son hogares </w:t>
      </w:r>
      <w:r w:rsidR="00DD53BC" w:rsidRPr="00B21B0F">
        <w:rPr>
          <w:rFonts w:ascii="Garamond" w:hAnsi="Garamond"/>
          <w:sz w:val="20"/>
          <w:szCs w:val="20"/>
          <w:lang w:val="es-MX"/>
        </w:rPr>
        <w:t>N</w:t>
      </w:r>
      <w:r w:rsidRPr="00B21B0F">
        <w:rPr>
          <w:rFonts w:ascii="Garamond" w:hAnsi="Garamond"/>
          <w:sz w:val="20"/>
          <w:szCs w:val="20"/>
          <w:lang w:val="es-MX"/>
        </w:rPr>
        <w:t>o familiares sin núcleo.</w:t>
      </w:r>
    </w:p>
    <w:p w14:paraId="47DE32A3" w14:textId="64FDA37D" w:rsidR="00C7793B" w:rsidRPr="00B21B0F" w:rsidRDefault="00852E35" w:rsidP="00C7793B">
      <w:pPr>
        <w:rPr>
          <w:lang w:val="es-MX"/>
        </w:rPr>
      </w:pPr>
      <w:r w:rsidRPr="00B21B0F">
        <w:rPr>
          <w:noProof/>
        </w:rPr>
        <w:drawing>
          <wp:inline distT="0" distB="0" distL="0" distR="0" wp14:anchorId="7175E81F" wp14:editId="43787B9D">
            <wp:extent cx="2581275" cy="1970405"/>
            <wp:effectExtent l="0" t="0" r="0" b="0"/>
            <wp:docPr id="44" name="Gráfico 44">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B86361F" w14:textId="781985E7" w:rsidR="000951F6" w:rsidRDefault="000951F6" w:rsidP="000951F6">
      <w:pPr>
        <w:pStyle w:val="Ttulo3"/>
        <w:rPr>
          <w:lang w:val="es-MX"/>
        </w:rPr>
      </w:pPr>
      <w:r w:rsidRPr="00B21B0F">
        <w:rPr>
          <w:lang w:val="es-MX"/>
        </w:rPr>
        <w:t>Engativá</w:t>
      </w:r>
    </w:p>
    <w:p w14:paraId="52B17CE1" w14:textId="65C3545D" w:rsidR="000951F6" w:rsidRDefault="000951F6" w:rsidP="000951F6">
      <w:pPr>
        <w:spacing w:after="0" w:line="360" w:lineRule="auto"/>
        <w:jc w:val="both"/>
        <w:rPr>
          <w:rFonts w:ascii="Garamond" w:hAnsi="Garamond"/>
          <w:sz w:val="20"/>
          <w:szCs w:val="20"/>
          <w:lang w:val="es-MX"/>
        </w:rPr>
      </w:pPr>
      <w:r>
        <w:rPr>
          <w:rFonts w:ascii="Garamond" w:hAnsi="Garamond"/>
          <w:sz w:val="20"/>
          <w:szCs w:val="20"/>
          <w:lang w:val="es-MX"/>
        </w:rPr>
        <w:t xml:space="preserve">Al igual que Suba el 63% de los hogares son nucleares, seguido del 18% de los hogares que son familiar amplio, el 14% que son unipersonales, el 4% que son familiar sin núcleo y el 1% son No familiares sin núcleo. Engativá es la tercera localidad con el mayor número de hogares representados en la encuesta (10,6%). </w:t>
      </w:r>
    </w:p>
    <w:p w14:paraId="1664FE8D" w14:textId="76C17B88" w:rsidR="000951F6" w:rsidRPr="00B21B0F" w:rsidRDefault="00B21B0F" w:rsidP="00B21B0F">
      <w:pPr>
        <w:spacing w:after="0" w:line="360" w:lineRule="auto"/>
        <w:jc w:val="both"/>
        <w:rPr>
          <w:rFonts w:ascii="Garamond" w:hAnsi="Garamond"/>
          <w:sz w:val="20"/>
          <w:szCs w:val="20"/>
          <w:lang w:val="es-MX"/>
        </w:rPr>
      </w:pPr>
      <w:r>
        <w:rPr>
          <w:noProof/>
        </w:rPr>
        <w:drawing>
          <wp:inline distT="0" distB="0" distL="0" distR="0" wp14:anchorId="0B973361" wp14:editId="002AFE92">
            <wp:extent cx="2581275" cy="1961515"/>
            <wp:effectExtent l="0" t="0" r="0" b="0"/>
            <wp:docPr id="48" name="Gráfico 48">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FEB5FCC" w14:textId="45C582BF" w:rsidR="003E72EC" w:rsidRDefault="003E72EC" w:rsidP="003E72EC">
      <w:pPr>
        <w:pStyle w:val="Ttulo3"/>
        <w:rPr>
          <w:lang w:val="es-MX"/>
        </w:rPr>
      </w:pPr>
      <w:r>
        <w:rPr>
          <w:lang w:val="es-MX"/>
        </w:rPr>
        <w:t>Ciudad Bolívar</w:t>
      </w:r>
    </w:p>
    <w:p w14:paraId="3568D203" w14:textId="3AAF5C28" w:rsidR="00B12FEC" w:rsidRDefault="003E72EC" w:rsidP="003E72EC">
      <w:pPr>
        <w:spacing w:after="0" w:line="360" w:lineRule="auto"/>
        <w:jc w:val="both"/>
        <w:rPr>
          <w:rFonts w:ascii="Garamond" w:hAnsi="Garamond"/>
          <w:sz w:val="20"/>
          <w:szCs w:val="20"/>
          <w:lang w:val="es-MX"/>
        </w:rPr>
      </w:pPr>
      <w:r>
        <w:rPr>
          <w:rFonts w:ascii="Garamond" w:hAnsi="Garamond"/>
          <w:sz w:val="20"/>
          <w:szCs w:val="20"/>
          <w:lang w:val="es-MX"/>
        </w:rPr>
        <w:t>Esta localidad tiene el 8,4% de los hogares de Bogotá que equivalen a 228.049, de los cuales el 68% son hogares nucleares, el 16% hogar familiar amplio, el 13% unipersonales</w:t>
      </w:r>
      <w:r w:rsidR="00B21B0F">
        <w:rPr>
          <w:rFonts w:ascii="Garamond" w:hAnsi="Garamond"/>
          <w:sz w:val="20"/>
          <w:szCs w:val="20"/>
          <w:lang w:val="es-MX"/>
        </w:rPr>
        <w:t>, el 3% son familiares sin núcleo</w:t>
      </w:r>
      <w:r>
        <w:rPr>
          <w:rFonts w:ascii="Garamond" w:hAnsi="Garamond"/>
          <w:sz w:val="20"/>
          <w:szCs w:val="20"/>
          <w:lang w:val="es-MX"/>
        </w:rPr>
        <w:t xml:space="preserve"> y el 0,5% son </w:t>
      </w:r>
      <w:r w:rsidR="00DD53BC">
        <w:rPr>
          <w:rFonts w:ascii="Garamond" w:hAnsi="Garamond"/>
          <w:sz w:val="20"/>
          <w:szCs w:val="20"/>
          <w:lang w:val="es-MX"/>
        </w:rPr>
        <w:t>N</w:t>
      </w:r>
      <w:r>
        <w:rPr>
          <w:rFonts w:ascii="Garamond" w:hAnsi="Garamond"/>
          <w:sz w:val="20"/>
          <w:szCs w:val="20"/>
          <w:lang w:val="es-MX"/>
        </w:rPr>
        <w:t>o familiar sin núcleo.</w:t>
      </w:r>
    </w:p>
    <w:p w14:paraId="45C79DF8" w14:textId="69E849F0" w:rsidR="00B21B0F" w:rsidRPr="003E72EC" w:rsidRDefault="00B21B0F" w:rsidP="009C7D12">
      <w:pPr>
        <w:spacing w:after="0" w:line="360" w:lineRule="auto"/>
        <w:jc w:val="both"/>
        <w:rPr>
          <w:rFonts w:ascii="Garamond" w:hAnsi="Garamond"/>
          <w:sz w:val="20"/>
          <w:szCs w:val="20"/>
          <w:lang w:val="es-MX"/>
        </w:rPr>
      </w:pPr>
      <w:r>
        <w:rPr>
          <w:noProof/>
        </w:rPr>
        <w:drawing>
          <wp:inline distT="0" distB="0" distL="0" distR="0" wp14:anchorId="0F697B32" wp14:editId="0C74D3ED">
            <wp:extent cx="2581275" cy="1957705"/>
            <wp:effectExtent l="0" t="0" r="0" b="0"/>
            <wp:docPr id="52" name="Gráfico 52">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B587727" w14:textId="746F4FAE" w:rsidR="003E72EC" w:rsidRDefault="003E72EC" w:rsidP="00C7793B">
      <w:pPr>
        <w:rPr>
          <w:lang w:val="es-MX"/>
        </w:rPr>
      </w:pPr>
    </w:p>
    <w:p w14:paraId="400D583C" w14:textId="48C28CB1" w:rsidR="00E366F3" w:rsidRDefault="00E366F3" w:rsidP="00E366F3">
      <w:pPr>
        <w:pStyle w:val="Ttulo3"/>
        <w:rPr>
          <w:lang w:val="es-MX"/>
        </w:rPr>
      </w:pPr>
      <w:r>
        <w:rPr>
          <w:lang w:val="es-MX"/>
        </w:rPr>
        <w:t>Bosa</w:t>
      </w:r>
    </w:p>
    <w:p w14:paraId="109ECFDB" w14:textId="6D50CEA7" w:rsidR="003E72EC" w:rsidRDefault="00E366F3" w:rsidP="00E366F3">
      <w:pPr>
        <w:spacing w:after="0" w:line="360" w:lineRule="auto"/>
        <w:jc w:val="both"/>
        <w:rPr>
          <w:rFonts w:ascii="Garamond" w:hAnsi="Garamond"/>
          <w:sz w:val="20"/>
          <w:szCs w:val="20"/>
          <w:lang w:val="es-MX"/>
        </w:rPr>
      </w:pPr>
      <w:r w:rsidRPr="00E366F3">
        <w:rPr>
          <w:rFonts w:ascii="Garamond" w:hAnsi="Garamond"/>
          <w:sz w:val="20"/>
          <w:szCs w:val="20"/>
          <w:lang w:val="es-MX"/>
        </w:rPr>
        <w:t>Es</w:t>
      </w:r>
      <w:r>
        <w:rPr>
          <w:rFonts w:ascii="Garamond" w:hAnsi="Garamond"/>
          <w:sz w:val="20"/>
          <w:szCs w:val="20"/>
          <w:lang w:val="es-MX"/>
        </w:rPr>
        <w:t xml:space="preserve"> la quinta localidad en cuanto al número de hogares, con el 8,3% (223.256). Y es la localidad que tiene el mayor porcentaje de hogares nucleares </w:t>
      </w:r>
      <w:r>
        <w:rPr>
          <w:rFonts w:ascii="Garamond" w:hAnsi="Garamond"/>
          <w:sz w:val="20"/>
          <w:szCs w:val="20"/>
          <w:lang w:val="es-MX"/>
        </w:rPr>
        <w:lastRenderedPageBreak/>
        <w:t>(70%)</w:t>
      </w:r>
      <w:r w:rsidR="005A7D2E">
        <w:rPr>
          <w:rFonts w:ascii="Garamond" w:hAnsi="Garamond"/>
          <w:sz w:val="20"/>
          <w:szCs w:val="20"/>
          <w:lang w:val="es-MX"/>
        </w:rPr>
        <w:t xml:space="preserve">. Los hogares familiar amplio representan el 18%, los unipersonales el 9%, los familiares sin núcleo el 3% y el 0,6% son </w:t>
      </w:r>
      <w:r w:rsidR="00DD53BC">
        <w:rPr>
          <w:rFonts w:ascii="Garamond" w:hAnsi="Garamond"/>
          <w:sz w:val="20"/>
          <w:szCs w:val="20"/>
          <w:lang w:val="es-MX"/>
        </w:rPr>
        <w:t>N</w:t>
      </w:r>
      <w:r w:rsidR="005A7D2E">
        <w:rPr>
          <w:rFonts w:ascii="Garamond" w:hAnsi="Garamond"/>
          <w:sz w:val="20"/>
          <w:szCs w:val="20"/>
          <w:lang w:val="es-MX"/>
        </w:rPr>
        <w:t xml:space="preserve">o familiares sin núcleo. </w:t>
      </w:r>
    </w:p>
    <w:p w14:paraId="214F1660" w14:textId="1BC4C0D6" w:rsidR="003E72EC" w:rsidRPr="00B21B0F" w:rsidRDefault="00B21B0F" w:rsidP="00B21B0F">
      <w:pPr>
        <w:spacing w:after="0" w:line="360" w:lineRule="auto"/>
        <w:jc w:val="both"/>
        <w:rPr>
          <w:rFonts w:ascii="Garamond" w:hAnsi="Garamond"/>
          <w:sz w:val="20"/>
          <w:szCs w:val="20"/>
          <w:lang w:val="es-MX"/>
        </w:rPr>
      </w:pPr>
      <w:r>
        <w:rPr>
          <w:noProof/>
        </w:rPr>
        <w:drawing>
          <wp:inline distT="0" distB="0" distL="0" distR="0" wp14:anchorId="3D13C9B0" wp14:editId="78F2D701">
            <wp:extent cx="2581275" cy="1960880"/>
            <wp:effectExtent l="0" t="0" r="0" b="0"/>
            <wp:docPr id="55" name="Gráfico 55">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3520566" w14:textId="4F613DAC" w:rsidR="000879F1" w:rsidRDefault="000879F1" w:rsidP="000879F1">
      <w:pPr>
        <w:pStyle w:val="Ttulo3"/>
        <w:rPr>
          <w:lang w:val="es-MX"/>
        </w:rPr>
      </w:pPr>
      <w:r>
        <w:rPr>
          <w:lang w:val="es-MX"/>
        </w:rPr>
        <w:t>Usaquén</w:t>
      </w:r>
    </w:p>
    <w:p w14:paraId="7C346E62" w14:textId="54F9F9D8" w:rsidR="00AB263C" w:rsidRDefault="00C809C9" w:rsidP="00AB263C">
      <w:pPr>
        <w:spacing w:after="0" w:line="360" w:lineRule="auto"/>
        <w:jc w:val="both"/>
        <w:rPr>
          <w:rFonts w:ascii="Garamond" w:hAnsi="Garamond"/>
          <w:sz w:val="20"/>
          <w:szCs w:val="20"/>
          <w:lang w:val="es-MX"/>
        </w:rPr>
      </w:pPr>
      <w:r>
        <w:rPr>
          <w:rFonts w:ascii="Garamond" w:hAnsi="Garamond"/>
          <w:sz w:val="20"/>
          <w:szCs w:val="20"/>
          <w:lang w:val="es-MX"/>
        </w:rPr>
        <w:t xml:space="preserve">Concentra el 6,8% de los hogares de Bogotá (183.607), de los cuales la mayoría (59%) son nucleares, el 26% son unipersonales, el 9% familiar amplio, el 4% familiares sin núcleo y el 2% </w:t>
      </w:r>
      <w:r w:rsidR="00DD53BC">
        <w:rPr>
          <w:rFonts w:ascii="Garamond" w:hAnsi="Garamond"/>
          <w:sz w:val="20"/>
          <w:szCs w:val="20"/>
          <w:lang w:val="es-MX"/>
        </w:rPr>
        <w:t>N</w:t>
      </w:r>
      <w:r>
        <w:rPr>
          <w:rFonts w:ascii="Garamond" w:hAnsi="Garamond"/>
          <w:sz w:val="20"/>
          <w:szCs w:val="20"/>
          <w:lang w:val="es-MX"/>
        </w:rPr>
        <w:t>o familiares sin núcleo.</w:t>
      </w:r>
    </w:p>
    <w:p w14:paraId="491ED485" w14:textId="159679D8" w:rsidR="00BA2305" w:rsidRDefault="00B21B0F" w:rsidP="00AB263C">
      <w:pPr>
        <w:spacing w:after="0" w:line="360" w:lineRule="auto"/>
        <w:jc w:val="both"/>
        <w:rPr>
          <w:rFonts w:ascii="Garamond" w:hAnsi="Garamond"/>
          <w:sz w:val="20"/>
          <w:szCs w:val="20"/>
          <w:lang w:val="es-MX"/>
        </w:rPr>
      </w:pPr>
      <w:r>
        <w:rPr>
          <w:noProof/>
        </w:rPr>
        <w:drawing>
          <wp:inline distT="0" distB="0" distL="0" distR="0" wp14:anchorId="48CD1CF9" wp14:editId="172F3A84">
            <wp:extent cx="2581275" cy="1974850"/>
            <wp:effectExtent l="0" t="0" r="0" b="0"/>
            <wp:docPr id="57" name="Gráfico 57">
              <a:extLst xmlns:a="http://schemas.openxmlformats.org/drawingml/2006/main">
                <a:ext uri="{FF2B5EF4-FFF2-40B4-BE49-F238E27FC236}">
                  <a16:creationId xmlns:a16="http://schemas.microsoft.com/office/drawing/2014/main" id="{00000000-0008-0000-02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8432F4C" w14:textId="4EC75714" w:rsidR="00403C68" w:rsidRDefault="00403C68" w:rsidP="00403C68">
      <w:pPr>
        <w:pStyle w:val="Ttulo3"/>
        <w:rPr>
          <w:lang w:val="es-MX"/>
        </w:rPr>
      </w:pPr>
      <w:r>
        <w:rPr>
          <w:lang w:val="es-MX"/>
        </w:rPr>
        <w:t>Fontibón</w:t>
      </w:r>
    </w:p>
    <w:p w14:paraId="547A5C23" w14:textId="5637CCDA" w:rsidR="00403C68" w:rsidRDefault="00403C68" w:rsidP="00403C68">
      <w:pPr>
        <w:spacing w:after="0" w:line="360" w:lineRule="auto"/>
        <w:jc w:val="both"/>
        <w:rPr>
          <w:rFonts w:ascii="Garamond" w:hAnsi="Garamond"/>
          <w:sz w:val="20"/>
          <w:szCs w:val="20"/>
          <w:lang w:val="es-MX"/>
        </w:rPr>
      </w:pPr>
      <w:r>
        <w:rPr>
          <w:rFonts w:ascii="Garamond" w:hAnsi="Garamond"/>
          <w:sz w:val="20"/>
          <w:szCs w:val="20"/>
          <w:lang w:val="es-MX"/>
        </w:rPr>
        <w:t xml:space="preserve">Tiene 141.428 hogares que equivalen al 5,2% de los hogares capitalinos. Como en las localidades anteriores, la mayoría de los hogares son nucleares (64%), el 16% son unipersonales, el 15% familiar amplio, el 4% familiares sin núcleo y el 1% </w:t>
      </w:r>
      <w:r w:rsidR="00DD53BC">
        <w:rPr>
          <w:rFonts w:ascii="Garamond" w:hAnsi="Garamond"/>
          <w:sz w:val="20"/>
          <w:szCs w:val="20"/>
          <w:lang w:val="es-MX"/>
        </w:rPr>
        <w:t>N</w:t>
      </w:r>
      <w:r>
        <w:rPr>
          <w:rFonts w:ascii="Garamond" w:hAnsi="Garamond"/>
          <w:sz w:val="20"/>
          <w:szCs w:val="20"/>
          <w:lang w:val="es-MX"/>
        </w:rPr>
        <w:t>o familiares sin núcleo.</w:t>
      </w:r>
    </w:p>
    <w:p w14:paraId="5C892219" w14:textId="09E71051" w:rsidR="00AB263C" w:rsidRDefault="00B21B0F" w:rsidP="00AB263C">
      <w:pPr>
        <w:spacing w:after="0" w:line="360" w:lineRule="auto"/>
        <w:jc w:val="both"/>
        <w:rPr>
          <w:rFonts w:ascii="Garamond" w:hAnsi="Garamond"/>
          <w:sz w:val="20"/>
          <w:szCs w:val="20"/>
          <w:lang w:val="es-MX"/>
        </w:rPr>
      </w:pPr>
      <w:r>
        <w:rPr>
          <w:noProof/>
        </w:rPr>
        <w:drawing>
          <wp:inline distT="0" distB="0" distL="0" distR="0" wp14:anchorId="024C4058" wp14:editId="09E49992">
            <wp:extent cx="2581275" cy="1964055"/>
            <wp:effectExtent l="0" t="0" r="0" b="0"/>
            <wp:docPr id="59" name="Gráfico 59">
              <a:extLst xmlns:a="http://schemas.openxmlformats.org/drawingml/2006/main">
                <a:ext uri="{FF2B5EF4-FFF2-40B4-BE49-F238E27FC236}">
                  <a16:creationId xmlns:a16="http://schemas.microsoft.com/office/drawing/2014/main" id="{00000000-0008-0000-0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20E06E4" w14:textId="45109036" w:rsidR="00A12278" w:rsidRDefault="00A12278" w:rsidP="00A12278">
      <w:pPr>
        <w:pStyle w:val="Ttulo3"/>
        <w:rPr>
          <w:lang w:val="es-MX"/>
        </w:rPr>
      </w:pPr>
      <w:r>
        <w:rPr>
          <w:lang w:val="es-MX"/>
        </w:rPr>
        <w:t>San Cristóbal</w:t>
      </w:r>
    </w:p>
    <w:p w14:paraId="1F2B4075" w14:textId="411FBEA9" w:rsidR="00A12278" w:rsidRDefault="00A12278" w:rsidP="00A12278">
      <w:pPr>
        <w:spacing w:after="0" w:line="360" w:lineRule="auto"/>
        <w:jc w:val="both"/>
        <w:rPr>
          <w:rFonts w:ascii="Garamond" w:hAnsi="Garamond"/>
          <w:sz w:val="20"/>
          <w:szCs w:val="20"/>
          <w:lang w:val="es-MX"/>
        </w:rPr>
      </w:pPr>
      <w:r>
        <w:rPr>
          <w:rFonts w:ascii="Garamond" w:hAnsi="Garamond"/>
          <w:sz w:val="20"/>
          <w:szCs w:val="20"/>
          <w:lang w:val="es-MX"/>
        </w:rPr>
        <w:t>Esta localidad tiene 121.032 hogares, es decir 4,5% de los hogares de la ciudad, de los cuales el 6</w:t>
      </w:r>
      <w:r w:rsidR="00B21B0F">
        <w:rPr>
          <w:rFonts w:ascii="Garamond" w:hAnsi="Garamond"/>
          <w:sz w:val="20"/>
          <w:szCs w:val="20"/>
          <w:lang w:val="es-MX"/>
        </w:rPr>
        <w:t>7</w:t>
      </w:r>
      <w:r>
        <w:rPr>
          <w:rFonts w:ascii="Garamond" w:hAnsi="Garamond"/>
          <w:sz w:val="20"/>
          <w:szCs w:val="20"/>
          <w:lang w:val="es-MX"/>
        </w:rPr>
        <w:t>% son nucleares, el 1</w:t>
      </w:r>
      <w:r w:rsidR="00B21B0F">
        <w:rPr>
          <w:rFonts w:ascii="Garamond" w:hAnsi="Garamond"/>
          <w:sz w:val="20"/>
          <w:szCs w:val="20"/>
          <w:lang w:val="es-MX"/>
        </w:rPr>
        <w:t>7</w:t>
      </w:r>
      <w:r>
        <w:rPr>
          <w:rFonts w:ascii="Garamond" w:hAnsi="Garamond"/>
          <w:sz w:val="20"/>
          <w:szCs w:val="20"/>
          <w:lang w:val="es-MX"/>
        </w:rPr>
        <w:t xml:space="preserve">% son familiar amplio, el 13% unipersonales, el 3% familiares sin núcleo y el 0,4% </w:t>
      </w:r>
      <w:r w:rsidR="00DD53BC">
        <w:rPr>
          <w:rFonts w:ascii="Garamond" w:hAnsi="Garamond"/>
          <w:sz w:val="20"/>
          <w:szCs w:val="20"/>
          <w:lang w:val="es-MX"/>
        </w:rPr>
        <w:t>N</w:t>
      </w:r>
      <w:r>
        <w:rPr>
          <w:rFonts w:ascii="Garamond" w:hAnsi="Garamond"/>
          <w:sz w:val="20"/>
          <w:szCs w:val="20"/>
          <w:lang w:val="es-MX"/>
        </w:rPr>
        <w:t>o familiares sin núcleo.</w:t>
      </w:r>
    </w:p>
    <w:p w14:paraId="184FD4C3" w14:textId="49A1F08A" w:rsidR="003B77C3" w:rsidRDefault="003B77C3" w:rsidP="00AB263C">
      <w:pPr>
        <w:spacing w:after="0" w:line="360" w:lineRule="auto"/>
        <w:jc w:val="both"/>
        <w:rPr>
          <w:rFonts w:ascii="Garamond" w:hAnsi="Garamond"/>
          <w:sz w:val="20"/>
          <w:szCs w:val="20"/>
          <w:lang w:val="es-MX"/>
        </w:rPr>
      </w:pPr>
    </w:p>
    <w:p w14:paraId="6495C4B5" w14:textId="631F018C" w:rsidR="003B77C3" w:rsidRDefault="00B21B0F" w:rsidP="00AB263C">
      <w:pPr>
        <w:spacing w:after="0" w:line="360" w:lineRule="auto"/>
        <w:jc w:val="both"/>
        <w:rPr>
          <w:rFonts w:ascii="Garamond" w:hAnsi="Garamond"/>
          <w:sz w:val="20"/>
          <w:szCs w:val="20"/>
          <w:lang w:val="es-MX"/>
        </w:rPr>
      </w:pPr>
      <w:r>
        <w:rPr>
          <w:noProof/>
        </w:rPr>
        <w:drawing>
          <wp:inline distT="0" distB="0" distL="0" distR="0" wp14:anchorId="378B3FF0" wp14:editId="21E431AF">
            <wp:extent cx="2581275" cy="1958975"/>
            <wp:effectExtent l="0" t="0" r="0" b="0"/>
            <wp:docPr id="61" name="Gráfico 61">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9C2BC3F" w14:textId="4985C210" w:rsidR="009462B7" w:rsidRDefault="009462B7" w:rsidP="009462B7">
      <w:pPr>
        <w:pStyle w:val="Ttulo3"/>
        <w:rPr>
          <w:lang w:val="es-MX"/>
        </w:rPr>
      </w:pPr>
      <w:r>
        <w:rPr>
          <w:lang w:val="es-MX"/>
        </w:rPr>
        <w:t>Rafael Uribe Uribe</w:t>
      </w:r>
    </w:p>
    <w:p w14:paraId="4EBC9394" w14:textId="062ECBA5" w:rsidR="009462B7" w:rsidRDefault="009462B7" w:rsidP="009462B7">
      <w:pPr>
        <w:spacing w:after="0" w:line="360" w:lineRule="auto"/>
        <w:jc w:val="both"/>
        <w:rPr>
          <w:rFonts w:ascii="Garamond" w:hAnsi="Garamond"/>
          <w:sz w:val="20"/>
          <w:szCs w:val="20"/>
          <w:lang w:val="es-MX"/>
        </w:rPr>
      </w:pPr>
      <w:r>
        <w:rPr>
          <w:rFonts w:ascii="Garamond" w:hAnsi="Garamond"/>
          <w:sz w:val="20"/>
          <w:szCs w:val="20"/>
          <w:lang w:val="es-MX"/>
        </w:rPr>
        <w:t>Es la novena localidad en cuanto a las que más tienen hogares en Bogotá (4,3%), que equivalen a 114.962 hogares</w:t>
      </w:r>
      <w:r w:rsidR="00E74441">
        <w:rPr>
          <w:rFonts w:ascii="Garamond" w:hAnsi="Garamond"/>
          <w:sz w:val="20"/>
          <w:szCs w:val="20"/>
          <w:lang w:val="es-MX"/>
        </w:rPr>
        <w:t>.</w:t>
      </w:r>
      <w:r>
        <w:rPr>
          <w:rFonts w:ascii="Garamond" w:hAnsi="Garamond"/>
          <w:sz w:val="20"/>
          <w:szCs w:val="20"/>
          <w:lang w:val="es-MX"/>
        </w:rPr>
        <w:t xml:space="preserve"> </w:t>
      </w:r>
      <w:r w:rsidR="00E74441">
        <w:rPr>
          <w:rFonts w:ascii="Garamond" w:hAnsi="Garamond"/>
          <w:sz w:val="20"/>
          <w:szCs w:val="20"/>
          <w:lang w:val="es-MX"/>
        </w:rPr>
        <w:t xml:space="preserve">Cerca del </w:t>
      </w:r>
      <w:r>
        <w:rPr>
          <w:rFonts w:ascii="Garamond" w:hAnsi="Garamond"/>
          <w:sz w:val="20"/>
          <w:szCs w:val="20"/>
          <w:lang w:val="es-MX"/>
        </w:rPr>
        <w:t>6</w:t>
      </w:r>
      <w:r w:rsidR="00E74441">
        <w:rPr>
          <w:rFonts w:ascii="Garamond" w:hAnsi="Garamond"/>
          <w:sz w:val="20"/>
          <w:szCs w:val="20"/>
          <w:lang w:val="es-MX"/>
        </w:rPr>
        <w:t>8</w:t>
      </w:r>
      <w:r>
        <w:rPr>
          <w:rFonts w:ascii="Garamond" w:hAnsi="Garamond"/>
          <w:sz w:val="20"/>
          <w:szCs w:val="20"/>
          <w:lang w:val="es-MX"/>
        </w:rPr>
        <w:t>% son nucleares</w:t>
      </w:r>
      <w:r w:rsidR="00E74441">
        <w:rPr>
          <w:rFonts w:ascii="Garamond" w:hAnsi="Garamond"/>
          <w:sz w:val="20"/>
          <w:szCs w:val="20"/>
          <w:lang w:val="es-MX"/>
        </w:rPr>
        <w:t>;</w:t>
      </w:r>
      <w:r>
        <w:rPr>
          <w:rFonts w:ascii="Garamond" w:hAnsi="Garamond"/>
          <w:sz w:val="20"/>
          <w:szCs w:val="20"/>
          <w:lang w:val="es-MX"/>
        </w:rPr>
        <w:t xml:space="preserve"> el 1</w:t>
      </w:r>
      <w:r w:rsidR="00E74441">
        <w:rPr>
          <w:rFonts w:ascii="Garamond" w:hAnsi="Garamond"/>
          <w:sz w:val="20"/>
          <w:szCs w:val="20"/>
          <w:lang w:val="es-MX"/>
        </w:rPr>
        <w:t>6</w:t>
      </w:r>
      <w:r>
        <w:rPr>
          <w:rFonts w:ascii="Garamond" w:hAnsi="Garamond"/>
          <w:sz w:val="20"/>
          <w:szCs w:val="20"/>
          <w:lang w:val="es-MX"/>
        </w:rPr>
        <w:t>% son familiar amplio, el 13% unipersonales</w:t>
      </w:r>
      <w:r w:rsidR="00E74441">
        <w:rPr>
          <w:rFonts w:ascii="Garamond" w:hAnsi="Garamond"/>
          <w:sz w:val="20"/>
          <w:szCs w:val="20"/>
          <w:lang w:val="es-MX"/>
        </w:rPr>
        <w:t xml:space="preserve"> </w:t>
      </w:r>
      <w:r w:rsidR="00DD53BC">
        <w:rPr>
          <w:rFonts w:ascii="Garamond" w:hAnsi="Garamond"/>
          <w:sz w:val="20"/>
          <w:szCs w:val="20"/>
          <w:lang w:val="es-MX"/>
        </w:rPr>
        <w:t>(</w:t>
      </w:r>
      <w:r w:rsidR="00E74441">
        <w:rPr>
          <w:rFonts w:ascii="Garamond" w:hAnsi="Garamond"/>
          <w:sz w:val="20"/>
          <w:szCs w:val="20"/>
          <w:lang w:val="es-MX"/>
        </w:rPr>
        <w:t xml:space="preserve">similar </w:t>
      </w:r>
      <w:r w:rsidR="00DD53BC">
        <w:rPr>
          <w:rFonts w:ascii="Garamond" w:hAnsi="Garamond"/>
          <w:sz w:val="20"/>
          <w:szCs w:val="20"/>
          <w:lang w:val="es-MX"/>
        </w:rPr>
        <w:t>a</w:t>
      </w:r>
      <w:r w:rsidR="00E74441">
        <w:rPr>
          <w:rFonts w:ascii="Garamond" w:hAnsi="Garamond"/>
          <w:sz w:val="20"/>
          <w:szCs w:val="20"/>
          <w:lang w:val="es-MX"/>
        </w:rPr>
        <w:t xml:space="preserve"> San Cristóbal</w:t>
      </w:r>
      <w:r w:rsidR="00DD53BC">
        <w:rPr>
          <w:rFonts w:ascii="Garamond" w:hAnsi="Garamond"/>
          <w:sz w:val="20"/>
          <w:szCs w:val="20"/>
          <w:lang w:val="es-MX"/>
        </w:rPr>
        <w:t>)</w:t>
      </w:r>
      <w:r w:rsidR="00E74441">
        <w:rPr>
          <w:rFonts w:ascii="Garamond" w:hAnsi="Garamond"/>
          <w:sz w:val="20"/>
          <w:szCs w:val="20"/>
          <w:lang w:val="es-MX"/>
        </w:rPr>
        <w:t>;</w:t>
      </w:r>
      <w:r>
        <w:rPr>
          <w:rFonts w:ascii="Garamond" w:hAnsi="Garamond"/>
          <w:sz w:val="20"/>
          <w:szCs w:val="20"/>
          <w:lang w:val="es-MX"/>
        </w:rPr>
        <w:t xml:space="preserve"> el 3% familiares sin núcleo y el 0,</w:t>
      </w:r>
      <w:r w:rsidR="00E74441">
        <w:rPr>
          <w:rFonts w:ascii="Garamond" w:hAnsi="Garamond"/>
          <w:sz w:val="20"/>
          <w:szCs w:val="20"/>
          <w:lang w:val="es-MX"/>
        </w:rPr>
        <w:t>3</w:t>
      </w:r>
      <w:r>
        <w:rPr>
          <w:rFonts w:ascii="Garamond" w:hAnsi="Garamond"/>
          <w:sz w:val="20"/>
          <w:szCs w:val="20"/>
          <w:lang w:val="es-MX"/>
        </w:rPr>
        <w:t xml:space="preserve">% </w:t>
      </w:r>
      <w:r w:rsidR="00E74441">
        <w:rPr>
          <w:rFonts w:ascii="Garamond" w:hAnsi="Garamond"/>
          <w:sz w:val="20"/>
          <w:szCs w:val="20"/>
          <w:lang w:val="es-MX"/>
        </w:rPr>
        <w:t xml:space="preserve">son </w:t>
      </w:r>
      <w:r w:rsidR="00DD53BC">
        <w:rPr>
          <w:rFonts w:ascii="Garamond" w:hAnsi="Garamond"/>
          <w:sz w:val="20"/>
          <w:szCs w:val="20"/>
          <w:lang w:val="es-MX"/>
        </w:rPr>
        <w:t>N</w:t>
      </w:r>
      <w:r>
        <w:rPr>
          <w:rFonts w:ascii="Garamond" w:hAnsi="Garamond"/>
          <w:sz w:val="20"/>
          <w:szCs w:val="20"/>
          <w:lang w:val="es-MX"/>
        </w:rPr>
        <w:t>o familiares sin núcleo.</w:t>
      </w:r>
    </w:p>
    <w:p w14:paraId="32BE25CB" w14:textId="43BC9DEF" w:rsidR="003B77C3" w:rsidRDefault="003B77C3" w:rsidP="00AB263C">
      <w:pPr>
        <w:spacing w:after="0" w:line="360" w:lineRule="auto"/>
        <w:jc w:val="both"/>
        <w:rPr>
          <w:rFonts w:ascii="Garamond" w:hAnsi="Garamond"/>
          <w:sz w:val="20"/>
          <w:szCs w:val="20"/>
          <w:lang w:val="es-MX"/>
        </w:rPr>
      </w:pPr>
    </w:p>
    <w:p w14:paraId="3603B4B7" w14:textId="5947AD23" w:rsidR="003B77C3" w:rsidRDefault="00B21B0F" w:rsidP="00AB263C">
      <w:pPr>
        <w:spacing w:after="0" w:line="360" w:lineRule="auto"/>
        <w:jc w:val="both"/>
        <w:rPr>
          <w:rFonts w:ascii="Garamond" w:hAnsi="Garamond"/>
          <w:sz w:val="20"/>
          <w:szCs w:val="20"/>
          <w:lang w:val="es-MX"/>
        </w:rPr>
      </w:pPr>
      <w:r>
        <w:rPr>
          <w:noProof/>
        </w:rPr>
        <w:lastRenderedPageBreak/>
        <w:drawing>
          <wp:inline distT="0" distB="0" distL="0" distR="0" wp14:anchorId="2DCA082F" wp14:editId="4A52D087">
            <wp:extent cx="2581275" cy="1960245"/>
            <wp:effectExtent l="0" t="0" r="0" b="0"/>
            <wp:docPr id="63" name="Gráfico 63">
              <a:extLst xmlns:a="http://schemas.openxmlformats.org/drawingml/2006/main">
                <a:ext uri="{FF2B5EF4-FFF2-40B4-BE49-F238E27FC236}">
                  <a16:creationId xmlns:a16="http://schemas.microsoft.com/office/drawing/2014/main" id="{00000000-0008-0000-02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E916F65" w14:textId="118971BE" w:rsidR="006916FD" w:rsidRDefault="006916FD" w:rsidP="006916FD">
      <w:pPr>
        <w:pStyle w:val="Ttulo3"/>
        <w:rPr>
          <w:lang w:val="es-MX"/>
        </w:rPr>
      </w:pPr>
      <w:r>
        <w:rPr>
          <w:lang w:val="es-MX"/>
        </w:rPr>
        <w:t>Usme</w:t>
      </w:r>
    </w:p>
    <w:p w14:paraId="2E2E1B3E" w14:textId="1E4B8705" w:rsidR="003B77C3" w:rsidRDefault="006916FD" w:rsidP="00AB263C">
      <w:pPr>
        <w:spacing w:after="0" w:line="360" w:lineRule="auto"/>
        <w:jc w:val="both"/>
        <w:rPr>
          <w:rFonts w:ascii="Garamond" w:hAnsi="Garamond"/>
          <w:sz w:val="20"/>
          <w:szCs w:val="20"/>
          <w:lang w:val="es-MX"/>
        </w:rPr>
      </w:pPr>
      <w:r>
        <w:rPr>
          <w:rFonts w:ascii="Garamond" w:hAnsi="Garamond"/>
          <w:sz w:val="20"/>
          <w:szCs w:val="20"/>
          <w:lang w:val="es-MX"/>
        </w:rPr>
        <w:t xml:space="preserve">Continúa con la tendencia en la que la mayoría de sus hogares son nuclearees (68%.). Esta localidad </w:t>
      </w:r>
      <w:r w:rsidR="00DD53BC">
        <w:rPr>
          <w:rFonts w:ascii="Garamond" w:hAnsi="Garamond"/>
          <w:sz w:val="20"/>
          <w:szCs w:val="20"/>
          <w:lang w:val="es-MX"/>
        </w:rPr>
        <w:t>concentra el</w:t>
      </w:r>
      <w:r>
        <w:rPr>
          <w:rFonts w:ascii="Garamond" w:hAnsi="Garamond"/>
          <w:sz w:val="20"/>
          <w:szCs w:val="20"/>
          <w:lang w:val="es-MX"/>
        </w:rPr>
        <w:t xml:space="preserve"> 3,7% (100.117) de los hogares de Bogotá de la encuesta. El 19% son familiar amplio, el 10% unipersonales, el 3% familiares sin núcleo y el 0,4% son </w:t>
      </w:r>
      <w:r w:rsidR="00DD53BC">
        <w:rPr>
          <w:rFonts w:ascii="Garamond" w:hAnsi="Garamond"/>
          <w:sz w:val="20"/>
          <w:szCs w:val="20"/>
          <w:lang w:val="es-MX"/>
        </w:rPr>
        <w:t>N</w:t>
      </w:r>
      <w:r>
        <w:rPr>
          <w:rFonts w:ascii="Garamond" w:hAnsi="Garamond"/>
          <w:sz w:val="20"/>
          <w:szCs w:val="20"/>
          <w:lang w:val="es-MX"/>
        </w:rPr>
        <w:t>o familiares sin núcleo.</w:t>
      </w:r>
    </w:p>
    <w:p w14:paraId="2A80C0E7" w14:textId="4BFF4CA9" w:rsidR="003B77C3" w:rsidRDefault="00B21B0F" w:rsidP="00AB263C">
      <w:pPr>
        <w:spacing w:after="0" w:line="360" w:lineRule="auto"/>
        <w:jc w:val="both"/>
        <w:rPr>
          <w:rFonts w:ascii="Garamond" w:hAnsi="Garamond"/>
          <w:sz w:val="20"/>
          <w:szCs w:val="20"/>
          <w:lang w:val="es-MX"/>
        </w:rPr>
      </w:pPr>
      <w:r>
        <w:rPr>
          <w:noProof/>
        </w:rPr>
        <w:drawing>
          <wp:inline distT="0" distB="0" distL="0" distR="0" wp14:anchorId="1C2CDD8B" wp14:editId="6616AF98">
            <wp:extent cx="2581275" cy="1960245"/>
            <wp:effectExtent l="0" t="0" r="0" b="0"/>
            <wp:docPr id="65" name="Gráfico 65">
              <a:extLst xmlns:a="http://schemas.openxmlformats.org/drawingml/2006/main">
                <a:ext uri="{FF2B5EF4-FFF2-40B4-BE49-F238E27FC236}">
                  <a16:creationId xmlns:a16="http://schemas.microsoft.com/office/drawing/2014/main" id="{00000000-0008-0000-02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8AB92A8" w14:textId="382CC688" w:rsidR="009F5052" w:rsidRDefault="009F5052" w:rsidP="009F5052">
      <w:pPr>
        <w:pStyle w:val="Ttulo3"/>
        <w:rPr>
          <w:lang w:val="es-MX"/>
        </w:rPr>
      </w:pPr>
      <w:r>
        <w:rPr>
          <w:lang w:val="es-MX"/>
        </w:rPr>
        <w:t>Barrios Unidos</w:t>
      </w:r>
    </w:p>
    <w:p w14:paraId="3925DA66" w14:textId="57638CE0" w:rsidR="009F5052" w:rsidRDefault="009F5052" w:rsidP="009F5052">
      <w:pPr>
        <w:spacing w:after="0" w:line="360" w:lineRule="auto"/>
        <w:jc w:val="both"/>
        <w:rPr>
          <w:rFonts w:ascii="Garamond" w:hAnsi="Garamond"/>
          <w:sz w:val="20"/>
          <w:szCs w:val="20"/>
          <w:lang w:val="es-MX"/>
        </w:rPr>
      </w:pPr>
      <w:r>
        <w:rPr>
          <w:rFonts w:ascii="Garamond" w:hAnsi="Garamond"/>
          <w:sz w:val="20"/>
          <w:szCs w:val="20"/>
          <w:lang w:val="es-MX"/>
        </w:rPr>
        <w:t>Esta localidad tiene el 3,</w:t>
      </w:r>
      <w:r w:rsidR="007A427A">
        <w:rPr>
          <w:rFonts w:ascii="Garamond" w:hAnsi="Garamond"/>
          <w:sz w:val="20"/>
          <w:szCs w:val="20"/>
          <w:lang w:val="es-MX"/>
        </w:rPr>
        <w:t>6</w:t>
      </w:r>
      <w:r>
        <w:rPr>
          <w:rFonts w:ascii="Garamond" w:hAnsi="Garamond"/>
          <w:sz w:val="20"/>
          <w:szCs w:val="20"/>
          <w:lang w:val="es-MX"/>
        </w:rPr>
        <w:t>% (</w:t>
      </w:r>
      <w:r w:rsidR="009D09B9">
        <w:rPr>
          <w:rFonts w:ascii="Garamond" w:hAnsi="Garamond"/>
          <w:sz w:val="20"/>
          <w:szCs w:val="20"/>
          <w:lang w:val="es-MX"/>
        </w:rPr>
        <w:t>98.000</w:t>
      </w:r>
      <w:r>
        <w:rPr>
          <w:rFonts w:ascii="Garamond" w:hAnsi="Garamond"/>
          <w:sz w:val="20"/>
          <w:szCs w:val="20"/>
          <w:lang w:val="es-MX"/>
        </w:rPr>
        <w:t>) de los hogares de Bogotá de la encuesta</w:t>
      </w:r>
      <w:r w:rsidR="007A427A">
        <w:rPr>
          <w:rFonts w:ascii="Garamond" w:hAnsi="Garamond"/>
          <w:sz w:val="20"/>
          <w:szCs w:val="20"/>
          <w:lang w:val="es-MX"/>
        </w:rPr>
        <w:t>, de los cuales el 5</w:t>
      </w:r>
      <w:r w:rsidR="009C7D12">
        <w:rPr>
          <w:rFonts w:ascii="Garamond" w:hAnsi="Garamond"/>
          <w:sz w:val="20"/>
          <w:szCs w:val="20"/>
          <w:lang w:val="es-MX"/>
        </w:rPr>
        <w:t>7</w:t>
      </w:r>
      <w:r w:rsidR="007A427A">
        <w:rPr>
          <w:rFonts w:ascii="Garamond" w:hAnsi="Garamond"/>
          <w:sz w:val="20"/>
          <w:szCs w:val="20"/>
          <w:lang w:val="es-MX"/>
        </w:rPr>
        <w:t>% son familiar nuclear, seguido de</w:t>
      </w:r>
      <w:r>
        <w:rPr>
          <w:rFonts w:ascii="Garamond" w:hAnsi="Garamond"/>
          <w:sz w:val="20"/>
          <w:szCs w:val="20"/>
          <w:lang w:val="es-MX"/>
        </w:rPr>
        <w:t xml:space="preserve">l </w:t>
      </w:r>
      <w:r w:rsidR="007A427A">
        <w:rPr>
          <w:rFonts w:ascii="Garamond" w:hAnsi="Garamond"/>
          <w:sz w:val="20"/>
          <w:szCs w:val="20"/>
          <w:lang w:val="es-MX"/>
        </w:rPr>
        <w:t>2</w:t>
      </w:r>
      <w:r w:rsidR="009C7D12">
        <w:rPr>
          <w:rFonts w:ascii="Garamond" w:hAnsi="Garamond"/>
          <w:sz w:val="20"/>
          <w:szCs w:val="20"/>
          <w:lang w:val="es-MX"/>
        </w:rPr>
        <w:t>1</w:t>
      </w:r>
      <w:r>
        <w:rPr>
          <w:rFonts w:ascii="Garamond" w:hAnsi="Garamond"/>
          <w:sz w:val="20"/>
          <w:szCs w:val="20"/>
          <w:lang w:val="es-MX"/>
        </w:rPr>
        <w:t>%</w:t>
      </w:r>
      <w:r w:rsidR="00DD53BC">
        <w:rPr>
          <w:rFonts w:ascii="Garamond" w:hAnsi="Garamond"/>
          <w:sz w:val="20"/>
          <w:szCs w:val="20"/>
          <w:lang w:val="es-MX"/>
        </w:rPr>
        <w:t xml:space="preserve"> </w:t>
      </w:r>
      <w:r w:rsidR="007A427A">
        <w:rPr>
          <w:rFonts w:ascii="Garamond" w:hAnsi="Garamond"/>
          <w:sz w:val="20"/>
          <w:szCs w:val="20"/>
          <w:lang w:val="es-MX"/>
        </w:rPr>
        <w:t>que son</w:t>
      </w:r>
      <w:r>
        <w:rPr>
          <w:rFonts w:ascii="Garamond" w:hAnsi="Garamond"/>
          <w:sz w:val="20"/>
          <w:szCs w:val="20"/>
          <w:lang w:val="es-MX"/>
        </w:rPr>
        <w:t xml:space="preserve"> unipersonales, </w:t>
      </w:r>
      <w:r w:rsidR="007A427A">
        <w:rPr>
          <w:rFonts w:ascii="Garamond" w:hAnsi="Garamond"/>
          <w:sz w:val="20"/>
          <w:szCs w:val="20"/>
          <w:lang w:val="es-MX"/>
        </w:rPr>
        <w:t xml:space="preserve">el 15% son familiar amplio, </w:t>
      </w:r>
      <w:r>
        <w:rPr>
          <w:rFonts w:ascii="Garamond" w:hAnsi="Garamond"/>
          <w:sz w:val="20"/>
          <w:szCs w:val="20"/>
          <w:lang w:val="es-MX"/>
        </w:rPr>
        <w:t xml:space="preserve">el </w:t>
      </w:r>
      <w:r w:rsidR="007A427A">
        <w:rPr>
          <w:rFonts w:ascii="Garamond" w:hAnsi="Garamond"/>
          <w:sz w:val="20"/>
          <w:szCs w:val="20"/>
          <w:lang w:val="es-MX"/>
        </w:rPr>
        <w:t>6</w:t>
      </w:r>
      <w:r>
        <w:rPr>
          <w:rFonts w:ascii="Garamond" w:hAnsi="Garamond"/>
          <w:sz w:val="20"/>
          <w:szCs w:val="20"/>
          <w:lang w:val="es-MX"/>
        </w:rPr>
        <w:t xml:space="preserve">% familiares sin núcleo y </w:t>
      </w:r>
      <w:r w:rsidR="007A427A">
        <w:rPr>
          <w:rFonts w:ascii="Garamond" w:hAnsi="Garamond"/>
          <w:sz w:val="20"/>
          <w:szCs w:val="20"/>
          <w:lang w:val="es-MX"/>
        </w:rPr>
        <w:t>un poco más del</w:t>
      </w:r>
      <w:r>
        <w:rPr>
          <w:rFonts w:ascii="Garamond" w:hAnsi="Garamond"/>
          <w:sz w:val="20"/>
          <w:szCs w:val="20"/>
          <w:lang w:val="es-MX"/>
        </w:rPr>
        <w:t xml:space="preserve"> </w:t>
      </w:r>
      <w:r w:rsidR="007A427A">
        <w:rPr>
          <w:rFonts w:ascii="Garamond" w:hAnsi="Garamond"/>
          <w:sz w:val="20"/>
          <w:szCs w:val="20"/>
          <w:lang w:val="es-MX"/>
        </w:rPr>
        <w:t>1</w:t>
      </w:r>
      <w:r>
        <w:rPr>
          <w:rFonts w:ascii="Garamond" w:hAnsi="Garamond"/>
          <w:sz w:val="20"/>
          <w:szCs w:val="20"/>
          <w:lang w:val="es-MX"/>
        </w:rPr>
        <w:t xml:space="preserve">% son </w:t>
      </w:r>
      <w:r w:rsidR="00DD53BC">
        <w:rPr>
          <w:rFonts w:ascii="Garamond" w:hAnsi="Garamond"/>
          <w:sz w:val="20"/>
          <w:szCs w:val="20"/>
          <w:lang w:val="es-MX"/>
        </w:rPr>
        <w:t>N</w:t>
      </w:r>
      <w:r>
        <w:rPr>
          <w:rFonts w:ascii="Garamond" w:hAnsi="Garamond"/>
          <w:sz w:val="20"/>
          <w:szCs w:val="20"/>
          <w:lang w:val="es-MX"/>
        </w:rPr>
        <w:t>o familiares sin núcleo.</w:t>
      </w:r>
    </w:p>
    <w:p w14:paraId="2FD56E18" w14:textId="29ED67E3" w:rsidR="003B77C3" w:rsidRDefault="003B77C3" w:rsidP="00AB263C">
      <w:pPr>
        <w:spacing w:after="0" w:line="360" w:lineRule="auto"/>
        <w:jc w:val="both"/>
        <w:rPr>
          <w:rFonts w:ascii="Garamond" w:hAnsi="Garamond"/>
          <w:sz w:val="20"/>
          <w:szCs w:val="20"/>
          <w:lang w:val="es-MX"/>
        </w:rPr>
      </w:pPr>
    </w:p>
    <w:p w14:paraId="65AE2C91" w14:textId="09DBC0C4" w:rsidR="003B77C3" w:rsidRDefault="009C7D12" w:rsidP="00AB263C">
      <w:pPr>
        <w:spacing w:after="0" w:line="360" w:lineRule="auto"/>
        <w:jc w:val="both"/>
        <w:rPr>
          <w:rFonts w:ascii="Garamond" w:hAnsi="Garamond"/>
          <w:sz w:val="20"/>
          <w:szCs w:val="20"/>
          <w:lang w:val="es-MX"/>
        </w:rPr>
      </w:pPr>
      <w:r>
        <w:rPr>
          <w:noProof/>
        </w:rPr>
        <w:drawing>
          <wp:inline distT="0" distB="0" distL="0" distR="0" wp14:anchorId="4E7ED9CC" wp14:editId="0F5B5148">
            <wp:extent cx="2581275" cy="1972945"/>
            <wp:effectExtent l="0" t="0" r="0" b="0"/>
            <wp:docPr id="67" name="Gráfico 67">
              <a:extLst xmlns:a="http://schemas.openxmlformats.org/drawingml/2006/main">
                <a:ext uri="{FF2B5EF4-FFF2-40B4-BE49-F238E27FC236}">
                  <a16:creationId xmlns:a16="http://schemas.microsoft.com/office/drawing/2014/main" id="{00000000-0008-0000-02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EBE48" w14:textId="79D455DE" w:rsidR="00287329" w:rsidRDefault="00287329" w:rsidP="00287329">
      <w:pPr>
        <w:pStyle w:val="Ttulo3"/>
        <w:rPr>
          <w:lang w:val="es-MX"/>
        </w:rPr>
      </w:pPr>
      <w:r>
        <w:rPr>
          <w:lang w:val="es-MX"/>
        </w:rPr>
        <w:t>Puente Aranda</w:t>
      </w:r>
    </w:p>
    <w:p w14:paraId="5EA6CB43" w14:textId="2ACE42BF" w:rsidR="00287329" w:rsidRDefault="00F84F30" w:rsidP="00287329">
      <w:pPr>
        <w:spacing w:after="0" w:line="360" w:lineRule="auto"/>
        <w:jc w:val="both"/>
        <w:rPr>
          <w:rFonts w:ascii="Garamond" w:hAnsi="Garamond"/>
          <w:sz w:val="20"/>
          <w:szCs w:val="20"/>
          <w:lang w:val="es-MX"/>
        </w:rPr>
      </w:pPr>
      <w:r>
        <w:rPr>
          <w:rFonts w:ascii="Garamond" w:hAnsi="Garamond"/>
          <w:sz w:val="20"/>
          <w:szCs w:val="20"/>
          <w:lang w:val="es-MX"/>
        </w:rPr>
        <w:t xml:space="preserve">En la localidad de Puente Aranda hay </w:t>
      </w:r>
      <w:r w:rsidR="00287329">
        <w:rPr>
          <w:rFonts w:ascii="Garamond" w:hAnsi="Garamond"/>
          <w:sz w:val="20"/>
          <w:szCs w:val="20"/>
          <w:lang w:val="es-MX"/>
        </w:rPr>
        <w:t>98.000</w:t>
      </w:r>
      <w:r>
        <w:rPr>
          <w:rFonts w:ascii="Garamond" w:hAnsi="Garamond"/>
          <w:sz w:val="20"/>
          <w:szCs w:val="20"/>
          <w:lang w:val="es-MX"/>
        </w:rPr>
        <w:t xml:space="preserve"> hogares de la encuesta de Bogotá, que equivalen al 2,8%. De esos, </w:t>
      </w:r>
      <w:r w:rsidR="00287329">
        <w:rPr>
          <w:rFonts w:ascii="Garamond" w:hAnsi="Garamond"/>
          <w:sz w:val="20"/>
          <w:szCs w:val="20"/>
          <w:lang w:val="es-MX"/>
        </w:rPr>
        <w:t xml:space="preserve">el </w:t>
      </w:r>
      <w:r>
        <w:rPr>
          <w:rFonts w:ascii="Garamond" w:hAnsi="Garamond"/>
          <w:sz w:val="20"/>
          <w:szCs w:val="20"/>
          <w:lang w:val="es-MX"/>
        </w:rPr>
        <w:t>61</w:t>
      </w:r>
      <w:r w:rsidR="00287329">
        <w:rPr>
          <w:rFonts w:ascii="Garamond" w:hAnsi="Garamond"/>
          <w:sz w:val="20"/>
          <w:szCs w:val="20"/>
          <w:lang w:val="es-MX"/>
        </w:rPr>
        <w:t>% son familiar nuclear, el 1</w:t>
      </w:r>
      <w:r>
        <w:rPr>
          <w:rFonts w:ascii="Garamond" w:hAnsi="Garamond"/>
          <w:sz w:val="20"/>
          <w:szCs w:val="20"/>
          <w:lang w:val="es-MX"/>
        </w:rPr>
        <w:t>7</w:t>
      </w:r>
      <w:r w:rsidR="00287329">
        <w:rPr>
          <w:rFonts w:ascii="Garamond" w:hAnsi="Garamond"/>
          <w:sz w:val="20"/>
          <w:szCs w:val="20"/>
          <w:lang w:val="es-MX"/>
        </w:rPr>
        <w:t>% son familiar amplio,</w:t>
      </w:r>
      <w:r>
        <w:rPr>
          <w:rFonts w:ascii="Garamond" w:hAnsi="Garamond"/>
          <w:sz w:val="20"/>
          <w:szCs w:val="20"/>
          <w:lang w:val="es-MX"/>
        </w:rPr>
        <w:t xml:space="preserve"> el 16%  son unipersonales,</w:t>
      </w:r>
      <w:r w:rsidR="00287329">
        <w:rPr>
          <w:rFonts w:ascii="Garamond" w:hAnsi="Garamond"/>
          <w:sz w:val="20"/>
          <w:szCs w:val="20"/>
          <w:lang w:val="es-MX"/>
        </w:rPr>
        <w:t xml:space="preserve"> el </w:t>
      </w:r>
      <w:r>
        <w:rPr>
          <w:rFonts w:ascii="Garamond" w:hAnsi="Garamond"/>
          <w:sz w:val="20"/>
          <w:szCs w:val="20"/>
          <w:lang w:val="es-MX"/>
        </w:rPr>
        <w:t>5</w:t>
      </w:r>
      <w:r w:rsidR="00287329">
        <w:rPr>
          <w:rFonts w:ascii="Garamond" w:hAnsi="Garamond"/>
          <w:sz w:val="20"/>
          <w:szCs w:val="20"/>
          <w:lang w:val="es-MX"/>
        </w:rPr>
        <w:t xml:space="preserve">% familiares sin núcleo y </w:t>
      </w:r>
      <w:r>
        <w:rPr>
          <w:rFonts w:ascii="Garamond" w:hAnsi="Garamond"/>
          <w:sz w:val="20"/>
          <w:szCs w:val="20"/>
          <w:lang w:val="es-MX"/>
        </w:rPr>
        <w:t>cerca</w:t>
      </w:r>
      <w:r w:rsidR="00287329">
        <w:rPr>
          <w:rFonts w:ascii="Garamond" w:hAnsi="Garamond"/>
          <w:sz w:val="20"/>
          <w:szCs w:val="20"/>
          <w:lang w:val="es-MX"/>
        </w:rPr>
        <w:t xml:space="preserve"> del 1% son </w:t>
      </w:r>
      <w:r w:rsidR="005166AA">
        <w:rPr>
          <w:rFonts w:ascii="Garamond" w:hAnsi="Garamond"/>
          <w:sz w:val="20"/>
          <w:szCs w:val="20"/>
          <w:lang w:val="es-MX"/>
        </w:rPr>
        <w:t>N</w:t>
      </w:r>
      <w:r w:rsidR="00287329">
        <w:rPr>
          <w:rFonts w:ascii="Garamond" w:hAnsi="Garamond"/>
          <w:sz w:val="20"/>
          <w:szCs w:val="20"/>
          <w:lang w:val="es-MX"/>
        </w:rPr>
        <w:t>o familiares sin núcleo.</w:t>
      </w:r>
    </w:p>
    <w:p w14:paraId="045444FE" w14:textId="1817E61F" w:rsidR="002B2D75" w:rsidRDefault="009C7D12" w:rsidP="00AB263C">
      <w:pPr>
        <w:spacing w:after="0" w:line="360" w:lineRule="auto"/>
        <w:jc w:val="both"/>
        <w:rPr>
          <w:rFonts w:ascii="Garamond" w:hAnsi="Garamond"/>
          <w:sz w:val="20"/>
          <w:szCs w:val="20"/>
          <w:lang w:val="es-MX"/>
        </w:rPr>
      </w:pPr>
      <w:r>
        <w:rPr>
          <w:noProof/>
        </w:rPr>
        <w:drawing>
          <wp:inline distT="0" distB="0" distL="0" distR="0" wp14:anchorId="67E3F8A5" wp14:editId="3D4A02AF">
            <wp:extent cx="2581275" cy="1964055"/>
            <wp:effectExtent l="0" t="0" r="0" b="0"/>
            <wp:docPr id="69" name="Gráfico 69">
              <a:extLst xmlns:a="http://schemas.openxmlformats.org/drawingml/2006/main">
                <a:ext uri="{FF2B5EF4-FFF2-40B4-BE49-F238E27FC236}">
                  <a16:creationId xmlns:a16="http://schemas.microsoft.com/office/drawing/2014/main" id="{00000000-0008-0000-02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5581DEF" w14:textId="5EC602AB" w:rsidR="00287329" w:rsidRDefault="00287329" w:rsidP="00287329">
      <w:pPr>
        <w:pStyle w:val="Ttulo3"/>
        <w:rPr>
          <w:lang w:val="es-MX"/>
        </w:rPr>
      </w:pPr>
      <w:r>
        <w:rPr>
          <w:lang w:val="es-MX"/>
        </w:rPr>
        <w:t>Tunjuelito</w:t>
      </w:r>
    </w:p>
    <w:p w14:paraId="30812F78" w14:textId="28E8FDD3" w:rsidR="00287329" w:rsidRDefault="00C97056" w:rsidP="00287329">
      <w:pPr>
        <w:spacing w:after="0" w:line="360" w:lineRule="auto"/>
        <w:jc w:val="both"/>
        <w:rPr>
          <w:rFonts w:ascii="Garamond" w:hAnsi="Garamond"/>
          <w:sz w:val="20"/>
          <w:szCs w:val="20"/>
          <w:lang w:val="es-MX"/>
        </w:rPr>
      </w:pPr>
      <w:r>
        <w:rPr>
          <w:rFonts w:ascii="Garamond" w:hAnsi="Garamond"/>
          <w:sz w:val="20"/>
          <w:szCs w:val="20"/>
          <w:lang w:val="es-MX"/>
        </w:rPr>
        <w:t xml:space="preserve">Tiene 64.145 </w:t>
      </w:r>
      <w:r w:rsidR="007460BE">
        <w:rPr>
          <w:rFonts w:ascii="Garamond" w:hAnsi="Garamond"/>
          <w:sz w:val="20"/>
          <w:szCs w:val="20"/>
          <w:lang w:val="es-MX"/>
        </w:rPr>
        <w:t xml:space="preserve">(2,4%) </w:t>
      </w:r>
      <w:r>
        <w:rPr>
          <w:rFonts w:ascii="Garamond" w:hAnsi="Garamond"/>
          <w:sz w:val="20"/>
          <w:szCs w:val="20"/>
          <w:lang w:val="es-MX"/>
        </w:rPr>
        <w:t xml:space="preserve">hogares </w:t>
      </w:r>
      <w:r w:rsidR="007460BE">
        <w:rPr>
          <w:rFonts w:ascii="Garamond" w:hAnsi="Garamond"/>
          <w:sz w:val="20"/>
          <w:szCs w:val="20"/>
          <w:lang w:val="es-MX"/>
        </w:rPr>
        <w:t>representados en la encuesta para Bogotá.</w:t>
      </w:r>
      <w:r w:rsidR="00287329">
        <w:rPr>
          <w:rFonts w:ascii="Garamond" w:hAnsi="Garamond"/>
          <w:sz w:val="20"/>
          <w:szCs w:val="20"/>
          <w:lang w:val="es-MX"/>
        </w:rPr>
        <w:t xml:space="preserve"> </w:t>
      </w:r>
      <w:r w:rsidR="007460BE">
        <w:rPr>
          <w:rFonts w:ascii="Garamond" w:hAnsi="Garamond"/>
          <w:sz w:val="20"/>
          <w:szCs w:val="20"/>
          <w:lang w:val="es-MX"/>
        </w:rPr>
        <w:t>La gran mayoría (6</w:t>
      </w:r>
      <w:r w:rsidR="009C7D12">
        <w:rPr>
          <w:rFonts w:ascii="Garamond" w:hAnsi="Garamond"/>
          <w:sz w:val="20"/>
          <w:szCs w:val="20"/>
          <w:lang w:val="es-MX"/>
        </w:rPr>
        <w:t>4</w:t>
      </w:r>
      <w:r w:rsidR="007460BE">
        <w:rPr>
          <w:rFonts w:ascii="Garamond" w:hAnsi="Garamond"/>
          <w:sz w:val="20"/>
          <w:szCs w:val="20"/>
          <w:lang w:val="es-MX"/>
        </w:rPr>
        <w:t>%)</w:t>
      </w:r>
      <w:r w:rsidR="00287329">
        <w:rPr>
          <w:rFonts w:ascii="Garamond" w:hAnsi="Garamond"/>
          <w:sz w:val="20"/>
          <w:szCs w:val="20"/>
          <w:lang w:val="es-MX"/>
        </w:rPr>
        <w:t xml:space="preserve"> son familiar nuclear, seguido</w:t>
      </w:r>
      <w:r w:rsidR="007460BE">
        <w:rPr>
          <w:rFonts w:ascii="Garamond" w:hAnsi="Garamond"/>
          <w:sz w:val="20"/>
          <w:szCs w:val="20"/>
          <w:lang w:val="es-MX"/>
        </w:rPr>
        <w:t>s</w:t>
      </w:r>
      <w:r w:rsidR="00287329">
        <w:rPr>
          <w:rFonts w:ascii="Garamond" w:hAnsi="Garamond"/>
          <w:sz w:val="20"/>
          <w:szCs w:val="20"/>
          <w:lang w:val="es-MX"/>
        </w:rPr>
        <w:t xml:space="preserve"> del </w:t>
      </w:r>
      <w:r w:rsidR="007460BE">
        <w:rPr>
          <w:rFonts w:ascii="Garamond" w:hAnsi="Garamond"/>
          <w:sz w:val="20"/>
          <w:szCs w:val="20"/>
          <w:lang w:val="es-MX"/>
        </w:rPr>
        <w:t>18</w:t>
      </w:r>
      <w:r w:rsidR="00287329">
        <w:rPr>
          <w:rFonts w:ascii="Garamond" w:hAnsi="Garamond"/>
          <w:sz w:val="20"/>
          <w:szCs w:val="20"/>
          <w:lang w:val="es-MX"/>
        </w:rPr>
        <w:t>%</w:t>
      </w:r>
      <w:r w:rsidR="007460BE">
        <w:rPr>
          <w:rFonts w:ascii="Garamond" w:hAnsi="Garamond"/>
          <w:sz w:val="20"/>
          <w:szCs w:val="20"/>
          <w:lang w:val="es-MX"/>
        </w:rPr>
        <w:t xml:space="preserve"> </w:t>
      </w:r>
      <w:r w:rsidR="00287329">
        <w:rPr>
          <w:rFonts w:ascii="Garamond" w:hAnsi="Garamond"/>
          <w:sz w:val="20"/>
          <w:szCs w:val="20"/>
          <w:lang w:val="es-MX"/>
        </w:rPr>
        <w:t xml:space="preserve">que son unipersonales, el 15% son familiar amplio, el </w:t>
      </w:r>
      <w:r w:rsidR="007460BE">
        <w:rPr>
          <w:rFonts w:ascii="Garamond" w:hAnsi="Garamond"/>
          <w:sz w:val="20"/>
          <w:szCs w:val="20"/>
          <w:lang w:val="es-MX"/>
        </w:rPr>
        <w:t>3</w:t>
      </w:r>
      <w:r w:rsidR="00287329">
        <w:rPr>
          <w:rFonts w:ascii="Garamond" w:hAnsi="Garamond"/>
          <w:sz w:val="20"/>
          <w:szCs w:val="20"/>
          <w:lang w:val="es-MX"/>
        </w:rPr>
        <w:t xml:space="preserve">% familiares sin núcleo y </w:t>
      </w:r>
      <w:r w:rsidR="007460BE">
        <w:rPr>
          <w:rFonts w:ascii="Garamond" w:hAnsi="Garamond"/>
          <w:sz w:val="20"/>
          <w:szCs w:val="20"/>
          <w:lang w:val="es-MX"/>
        </w:rPr>
        <w:t>el 0,6</w:t>
      </w:r>
      <w:r w:rsidR="00287329">
        <w:rPr>
          <w:rFonts w:ascii="Garamond" w:hAnsi="Garamond"/>
          <w:sz w:val="20"/>
          <w:szCs w:val="20"/>
          <w:lang w:val="es-MX"/>
        </w:rPr>
        <w:t xml:space="preserve">% son </w:t>
      </w:r>
      <w:r w:rsidR="005166AA">
        <w:rPr>
          <w:rFonts w:ascii="Garamond" w:hAnsi="Garamond"/>
          <w:sz w:val="20"/>
          <w:szCs w:val="20"/>
          <w:lang w:val="es-MX"/>
        </w:rPr>
        <w:t>N</w:t>
      </w:r>
      <w:r w:rsidR="00287329">
        <w:rPr>
          <w:rFonts w:ascii="Garamond" w:hAnsi="Garamond"/>
          <w:sz w:val="20"/>
          <w:szCs w:val="20"/>
          <w:lang w:val="es-MX"/>
        </w:rPr>
        <w:t>o familiares sin núcleo.</w:t>
      </w:r>
    </w:p>
    <w:p w14:paraId="5CD01F18" w14:textId="4A4C5F68" w:rsidR="002B2D75" w:rsidRDefault="009C7D12" w:rsidP="00AB263C">
      <w:pPr>
        <w:spacing w:after="0" w:line="360" w:lineRule="auto"/>
        <w:jc w:val="both"/>
        <w:rPr>
          <w:rFonts w:ascii="Garamond" w:hAnsi="Garamond"/>
          <w:sz w:val="20"/>
          <w:szCs w:val="20"/>
          <w:lang w:val="es-MX"/>
        </w:rPr>
      </w:pPr>
      <w:r>
        <w:rPr>
          <w:noProof/>
        </w:rPr>
        <w:lastRenderedPageBreak/>
        <w:drawing>
          <wp:inline distT="0" distB="0" distL="0" distR="0" wp14:anchorId="6EF50607" wp14:editId="4EE51592">
            <wp:extent cx="2581275" cy="1962785"/>
            <wp:effectExtent l="0" t="0" r="0" b="0"/>
            <wp:docPr id="71" name="Gráfico 71">
              <a:extLst xmlns:a="http://schemas.openxmlformats.org/drawingml/2006/main">
                <a:ext uri="{FF2B5EF4-FFF2-40B4-BE49-F238E27FC236}">
                  <a16:creationId xmlns:a16="http://schemas.microsoft.com/office/drawing/2014/main" id="{00000000-0008-0000-02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C99DE38" w14:textId="5F1982F5" w:rsidR="00945E62" w:rsidRDefault="0073602E" w:rsidP="00945E62">
      <w:pPr>
        <w:pStyle w:val="Ttulo3"/>
        <w:rPr>
          <w:lang w:val="es-MX"/>
        </w:rPr>
      </w:pPr>
      <w:r>
        <w:rPr>
          <w:lang w:val="es-MX"/>
        </w:rPr>
        <w:t>Chapinero</w:t>
      </w:r>
    </w:p>
    <w:p w14:paraId="0B49DE7C" w14:textId="6D92819A" w:rsidR="002B2D75" w:rsidRDefault="0073602E" w:rsidP="00AB263C">
      <w:pPr>
        <w:spacing w:after="0" w:line="360" w:lineRule="auto"/>
        <w:jc w:val="both"/>
        <w:rPr>
          <w:rFonts w:ascii="Garamond" w:hAnsi="Garamond"/>
          <w:sz w:val="20"/>
          <w:szCs w:val="20"/>
          <w:lang w:val="es-MX"/>
        </w:rPr>
      </w:pPr>
      <w:r>
        <w:rPr>
          <w:rFonts w:ascii="Garamond" w:hAnsi="Garamond"/>
          <w:sz w:val="20"/>
          <w:szCs w:val="20"/>
          <w:lang w:val="es-MX"/>
        </w:rPr>
        <w:t>Es una localidad con 58.554 hogares representados en la encuesta para Bogotá, que equivalen al 2,2%. Es una localidad bien particular en la medida que los hogares nucleares son casi el mismo porcentaje que los hogares unipersonales, 44% y 42% respectivamente</w:t>
      </w:r>
      <w:r w:rsidR="003F5174">
        <w:rPr>
          <w:rFonts w:ascii="Garamond" w:hAnsi="Garamond"/>
          <w:sz w:val="20"/>
          <w:szCs w:val="20"/>
          <w:lang w:val="es-MX"/>
        </w:rPr>
        <w:t xml:space="preserve">, por lo que se </w:t>
      </w:r>
      <w:r w:rsidR="001558DF">
        <w:rPr>
          <w:rFonts w:ascii="Garamond" w:hAnsi="Garamond"/>
          <w:sz w:val="20"/>
          <w:szCs w:val="20"/>
          <w:lang w:val="es-MX"/>
        </w:rPr>
        <w:t>destaca como la localidad con el mayor porcentaje de hogares unipersonales de la ciudad.</w:t>
      </w:r>
      <w:r>
        <w:rPr>
          <w:rFonts w:ascii="Garamond" w:hAnsi="Garamond"/>
          <w:sz w:val="20"/>
          <w:szCs w:val="20"/>
          <w:lang w:val="es-MX"/>
        </w:rPr>
        <w:t xml:space="preserve"> Y los hogares familiar amplio son tan sólo el 7%. Por su parte los hogares familiares sin núcleo son el 5% y los No familiares sin núcleo el 2%.</w:t>
      </w:r>
    </w:p>
    <w:p w14:paraId="6010E9D1" w14:textId="433B344E" w:rsidR="003B77C3" w:rsidRDefault="009C7D12" w:rsidP="00AB263C">
      <w:pPr>
        <w:spacing w:after="0" w:line="360" w:lineRule="auto"/>
        <w:jc w:val="both"/>
        <w:rPr>
          <w:rFonts w:ascii="Garamond" w:hAnsi="Garamond"/>
          <w:sz w:val="20"/>
          <w:szCs w:val="20"/>
          <w:lang w:val="es-MX"/>
        </w:rPr>
      </w:pPr>
      <w:r>
        <w:rPr>
          <w:noProof/>
        </w:rPr>
        <w:drawing>
          <wp:inline distT="0" distB="0" distL="0" distR="0" wp14:anchorId="51527FB5" wp14:editId="45796A44">
            <wp:extent cx="2581275" cy="1958340"/>
            <wp:effectExtent l="0" t="0" r="0" b="0"/>
            <wp:docPr id="73" name="Gráfico 73">
              <a:extLst xmlns:a="http://schemas.openxmlformats.org/drawingml/2006/main">
                <a:ext uri="{FF2B5EF4-FFF2-40B4-BE49-F238E27FC236}">
                  <a16:creationId xmlns:a16="http://schemas.microsoft.com/office/drawing/2014/main" id="{00000000-0008-0000-02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45F22AA" w14:textId="4252E116" w:rsidR="00945E62" w:rsidRDefault="00945E62" w:rsidP="00945E62">
      <w:pPr>
        <w:pStyle w:val="Ttulo3"/>
        <w:rPr>
          <w:lang w:val="es-MX"/>
        </w:rPr>
      </w:pPr>
      <w:r>
        <w:rPr>
          <w:lang w:val="es-MX"/>
        </w:rPr>
        <w:t>T</w:t>
      </w:r>
      <w:r w:rsidR="00C32745">
        <w:rPr>
          <w:lang w:val="es-MX"/>
        </w:rPr>
        <w:t>eusaquillo</w:t>
      </w:r>
    </w:p>
    <w:p w14:paraId="60C1BEFB" w14:textId="2926997A" w:rsidR="00945E62" w:rsidRDefault="00C32745" w:rsidP="00945E62">
      <w:pPr>
        <w:spacing w:after="0" w:line="360" w:lineRule="auto"/>
        <w:jc w:val="both"/>
        <w:rPr>
          <w:rFonts w:ascii="Garamond" w:hAnsi="Garamond"/>
          <w:sz w:val="20"/>
          <w:szCs w:val="20"/>
          <w:lang w:val="es-MX"/>
        </w:rPr>
      </w:pPr>
      <w:r>
        <w:rPr>
          <w:rFonts w:ascii="Garamond" w:hAnsi="Garamond"/>
          <w:sz w:val="20"/>
          <w:szCs w:val="20"/>
          <w:lang w:val="es-MX"/>
        </w:rPr>
        <w:t>Por su parte Teusaquillo</w:t>
      </w:r>
      <w:r w:rsidR="00945E62">
        <w:rPr>
          <w:rFonts w:ascii="Garamond" w:hAnsi="Garamond"/>
          <w:sz w:val="20"/>
          <w:szCs w:val="20"/>
          <w:lang w:val="es-MX"/>
        </w:rPr>
        <w:t xml:space="preserve"> tiene el </w:t>
      </w:r>
      <w:r>
        <w:rPr>
          <w:rFonts w:ascii="Garamond" w:hAnsi="Garamond"/>
          <w:sz w:val="20"/>
          <w:szCs w:val="20"/>
          <w:lang w:val="es-MX"/>
        </w:rPr>
        <w:t>2</w:t>
      </w:r>
      <w:r w:rsidR="00945E62">
        <w:rPr>
          <w:rFonts w:ascii="Garamond" w:hAnsi="Garamond"/>
          <w:sz w:val="20"/>
          <w:szCs w:val="20"/>
          <w:lang w:val="es-MX"/>
        </w:rPr>
        <w:t>,</w:t>
      </w:r>
      <w:r>
        <w:rPr>
          <w:rFonts w:ascii="Garamond" w:hAnsi="Garamond"/>
          <w:sz w:val="20"/>
          <w:szCs w:val="20"/>
          <w:lang w:val="es-MX"/>
        </w:rPr>
        <w:t>1</w:t>
      </w:r>
      <w:r w:rsidR="00945E62">
        <w:rPr>
          <w:rFonts w:ascii="Garamond" w:hAnsi="Garamond"/>
          <w:sz w:val="20"/>
          <w:szCs w:val="20"/>
          <w:lang w:val="es-MX"/>
        </w:rPr>
        <w:t>% (</w:t>
      </w:r>
      <w:r>
        <w:rPr>
          <w:rFonts w:ascii="Garamond" w:hAnsi="Garamond"/>
          <w:sz w:val="20"/>
          <w:szCs w:val="20"/>
          <w:lang w:val="es-MX"/>
        </w:rPr>
        <w:t>57.789</w:t>
      </w:r>
      <w:r w:rsidR="00945E62">
        <w:rPr>
          <w:rFonts w:ascii="Garamond" w:hAnsi="Garamond"/>
          <w:sz w:val="20"/>
          <w:szCs w:val="20"/>
          <w:lang w:val="es-MX"/>
        </w:rPr>
        <w:t>) de los hogares de Bogotá de la encuesta, de los cuales el 56% son familiar nuclear, seguido del 2</w:t>
      </w:r>
      <w:r w:rsidR="009C7D12">
        <w:rPr>
          <w:rFonts w:ascii="Garamond" w:hAnsi="Garamond"/>
          <w:sz w:val="20"/>
          <w:szCs w:val="20"/>
          <w:lang w:val="es-MX"/>
        </w:rPr>
        <w:t>9</w:t>
      </w:r>
      <w:r w:rsidR="00945E62">
        <w:rPr>
          <w:rFonts w:ascii="Garamond" w:hAnsi="Garamond"/>
          <w:sz w:val="20"/>
          <w:szCs w:val="20"/>
          <w:lang w:val="es-MX"/>
        </w:rPr>
        <w:t>%que son unipersonales</w:t>
      </w:r>
      <w:r w:rsidR="00BC790C">
        <w:rPr>
          <w:rFonts w:ascii="Garamond" w:hAnsi="Garamond"/>
          <w:sz w:val="20"/>
          <w:szCs w:val="20"/>
          <w:lang w:val="es-MX"/>
        </w:rPr>
        <w:t xml:space="preserve"> (cuarta localidad con el mayor porcentaje de hogares unipersonales de la ciudad)</w:t>
      </w:r>
      <w:r w:rsidR="00945E62">
        <w:rPr>
          <w:rFonts w:ascii="Garamond" w:hAnsi="Garamond"/>
          <w:sz w:val="20"/>
          <w:szCs w:val="20"/>
          <w:lang w:val="es-MX"/>
        </w:rPr>
        <w:t xml:space="preserve">, el </w:t>
      </w:r>
      <w:r w:rsidR="009C7D12">
        <w:rPr>
          <w:rFonts w:ascii="Garamond" w:hAnsi="Garamond"/>
          <w:sz w:val="20"/>
          <w:szCs w:val="20"/>
          <w:lang w:val="es-MX"/>
        </w:rPr>
        <w:t>8</w:t>
      </w:r>
      <w:r w:rsidR="00945E62">
        <w:rPr>
          <w:rFonts w:ascii="Garamond" w:hAnsi="Garamond"/>
          <w:sz w:val="20"/>
          <w:szCs w:val="20"/>
          <w:lang w:val="es-MX"/>
        </w:rPr>
        <w:t xml:space="preserve">% son familiar amplio, el </w:t>
      </w:r>
      <w:r>
        <w:rPr>
          <w:rFonts w:ascii="Garamond" w:hAnsi="Garamond"/>
          <w:sz w:val="20"/>
          <w:szCs w:val="20"/>
          <w:lang w:val="es-MX"/>
        </w:rPr>
        <w:t>5</w:t>
      </w:r>
      <w:r w:rsidR="00945E62">
        <w:rPr>
          <w:rFonts w:ascii="Garamond" w:hAnsi="Garamond"/>
          <w:sz w:val="20"/>
          <w:szCs w:val="20"/>
          <w:lang w:val="es-MX"/>
        </w:rPr>
        <w:t xml:space="preserve">% familiares sin núcleo y </w:t>
      </w:r>
      <w:r>
        <w:rPr>
          <w:rFonts w:ascii="Garamond" w:hAnsi="Garamond"/>
          <w:sz w:val="20"/>
          <w:szCs w:val="20"/>
          <w:lang w:val="es-MX"/>
        </w:rPr>
        <w:t>cerca</w:t>
      </w:r>
      <w:r w:rsidR="00945E62">
        <w:rPr>
          <w:rFonts w:ascii="Garamond" w:hAnsi="Garamond"/>
          <w:sz w:val="20"/>
          <w:szCs w:val="20"/>
          <w:lang w:val="es-MX"/>
        </w:rPr>
        <w:t xml:space="preserve"> del  </w:t>
      </w:r>
      <w:r>
        <w:rPr>
          <w:rFonts w:ascii="Garamond" w:hAnsi="Garamond"/>
          <w:sz w:val="20"/>
          <w:szCs w:val="20"/>
          <w:lang w:val="es-MX"/>
        </w:rPr>
        <w:t>2</w:t>
      </w:r>
      <w:r w:rsidR="00945E62">
        <w:rPr>
          <w:rFonts w:ascii="Garamond" w:hAnsi="Garamond"/>
          <w:sz w:val="20"/>
          <w:szCs w:val="20"/>
          <w:lang w:val="es-MX"/>
        </w:rPr>
        <w:t xml:space="preserve">% son </w:t>
      </w:r>
      <w:r>
        <w:rPr>
          <w:rFonts w:ascii="Garamond" w:hAnsi="Garamond"/>
          <w:sz w:val="20"/>
          <w:szCs w:val="20"/>
          <w:lang w:val="es-MX"/>
        </w:rPr>
        <w:t>N</w:t>
      </w:r>
      <w:r w:rsidR="00945E62">
        <w:rPr>
          <w:rFonts w:ascii="Garamond" w:hAnsi="Garamond"/>
          <w:sz w:val="20"/>
          <w:szCs w:val="20"/>
          <w:lang w:val="es-MX"/>
        </w:rPr>
        <w:t>o familiar sin núcleo.</w:t>
      </w:r>
    </w:p>
    <w:p w14:paraId="39DC25D6" w14:textId="2F6D06B2" w:rsidR="00F90308" w:rsidRDefault="009C7D12" w:rsidP="00AB263C">
      <w:pPr>
        <w:spacing w:after="0" w:line="360" w:lineRule="auto"/>
        <w:jc w:val="both"/>
        <w:rPr>
          <w:rFonts w:ascii="Garamond" w:hAnsi="Garamond"/>
          <w:sz w:val="20"/>
          <w:szCs w:val="20"/>
          <w:lang w:val="es-MX"/>
        </w:rPr>
      </w:pPr>
      <w:r>
        <w:rPr>
          <w:noProof/>
        </w:rPr>
        <w:drawing>
          <wp:inline distT="0" distB="0" distL="0" distR="0" wp14:anchorId="04A6A55F" wp14:editId="5DEE7F94">
            <wp:extent cx="2581275" cy="1960245"/>
            <wp:effectExtent l="0" t="0" r="0" b="0"/>
            <wp:docPr id="75" name="Gráfico 75">
              <a:extLst xmlns:a="http://schemas.openxmlformats.org/drawingml/2006/main">
                <a:ext uri="{FF2B5EF4-FFF2-40B4-BE49-F238E27FC236}">
                  <a16:creationId xmlns:a16="http://schemas.microsoft.com/office/drawing/2014/main" id="{00000000-0008-0000-02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3CD1943" w14:textId="1F9ED6B4" w:rsidR="00D95860" w:rsidRDefault="00D95860" w:rsidP="00D95860">
      <w:pPr>
        <w:pStyle w:val="Ttulo3"/>
        <w:rPr>
          <w:lang w:val="es-MX"/>
        </w:rPr>
      </w:pPr>
      <w:r>
        <w:rPr>
          <w:lang w:val="es-MX"/>
        </w:rPr>
        <w:t>Santa Fe</w:t>
      </w:r>
    </w:p>
    <w:p w14:paraId="2E4EF01D" w14:textId="63674DFE" w:rsidR="00D95860" w:rsidRDefault="00D95860" w:rsidP="00D95860">
      <w:pPr>
        <w:spacing w:after="0" w:line="360" w:lineRule="auto"/>
        <w:jc w:val="both"/>
        <w:rPr>
          <w:rFonts w:ascii="Garamond" w:hAnsi="Garamond"/>
          <w:sz w:val="20"/>
          <w:szCs w:val="20"/>
          <w:lang w:val="es-MX"/>
        </w:rPr>
      </w:pPr>
      <w:r>
        <w:rPr>
          <w:rFonts w:ascii="Garamond" w:hAnsi="Garamond"/>
          <w:sz w:val="20"/>
          <w:szCs w:val="20"/>
          <w:lang w:val="es-MX"/>
        </w:rPr>
        <w:t>En esta localidad hay 35.512 hogares (1,3%) representados de Bogotá, y la mayoría (4</w:t>
      </w:r>
      <w:r w:rsidR="009C7D12">
        <w:rPr>
          <w:rFonts w:ascii="Garamond" w:hAnsi="Garamond"/>
          <w:sz w:val="20"/>
          <w:szCs w:val="20"/>
          <w:lang w:val="es-MX"/>
        </w:rPr>
        <w:t>9</w:t>
      </w:r>
      <w:r>
        <w:rPr>
          <w:rFonts w:ascii="Garamond" w:hAnsi="Garamond"/>
          <w:sz w:val="20"/>
          <w:szCs w:val="20"/>
          <w:lang w:val="es-MX"/>
        </w:rPr>
        <w:t>%) son familiar nuclear., pero se destaca que es la tercera localidad de la ciudad que tiene el mayor porcentaje de hogares unipersonalesl (33%). De otro lado, el 1</w:t>
      </w:r>
      <w:r w:rsidR="00A91E97">
        <w:rPr>
          <w:rFonts w:ascii="Garamond" w:hAnsi="Garamond"/>
          <w:sz w:val="20"/>
          <w:szCs w:val="20"/>
          <w:lang w:val="es-MX"/>
        </w:rPr>
        <w:t>3</w:t>
      </w:r>
      <w:r>
        <w:rPr>
          <w:rFonts w:ascii="Garamond" w:hAnsi="Garamond"/>
          <w:sz w:val="20"/>
          <w:szCs w:val="20"/>
          <w:lang w:val="es-MX"/>
        </w:rPr>
        <w:t>% son familiar amplio, un 4% son familiar sin núcleo y un poco más del 1% son No familiar sin núcleo.</w:t>
      </w:r>
    </w:p>
    <w:p w14:paraId="33BA383B" w14:textId="02367C1C" w:rsidR="00F90308" w:rsidRDefault="00A91E97" w:rsidP="00AB263C">
      <w:pPr>
        <w:spacing w:after="0" w:line="360" w:lineRule="auto"/>
        <w:jc w:val="both"/>
        <w:rPr>
          <w:rFonts w:ascii="Garamond" w:hAnsi="Garamond"/>
          <w:sz w:val="20"/>
          <w:szCs w:val="20"/>
          <w:lang w:val="es-MX"/>
        </w:rPr>
      </w:pPr>
      <w:r>
        <w:rPr>
          <w:noProof/>
        </w:rPr>
        <w:drawing>
          <wp:inline distT="0" distB="0" distL="0" distR="0" wp14:anchorId="7F43F82A" wp14:editId="21A1388B">
            <wp:extent cx="2581275" cy="1971040"/>
            <wp:effectExtent l="0" t="0" r="0" b="0"/>
            <wp:docPr id="79" name="Gráfico 79">
              <a:extLst xmlns:a="http://schemas.openxmlformats.org/drawingml/2006/main">
                <a:ext uri="{FF2B5EF4-FFF2-40B4-BE49-F238E27FC236}">
                  <a16:creationId xmlns:a16="http://schemas.microsoft.com/office/drawing/2014/main" id="{00000000-0008-0000-02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78AF99C" w14:textId="1593C2ED" w:rsidR="00F90308" w:rsidRDefault="00F90308" w:rsidP="00AB263C">
      <w:pPr>
        <w:spacing w:after="0" w:line="360" w:lineRule="auto"/>
        <w:jc w:val="both"/>
        <w:rPr>
          <w:rFonts w:ascii="Garamond" w:hAnsi="Garamond"/>
          <w:sz w:val="20"/>
          <w:szCs w:val="20"/>
          <w:lang w:val="es-MX"/>
        </w:rPr>
      </w:pPr>
    </w:p>
    <w:p w14:paraId="1A2760D6" w14:textId="25103F10" w:rsidR="00A40E7E" w:rsidRDefault="00A40E7E" w:rsidP="00A40E7E">
      <w:pPr>
        <w:pStyle w:val="Ttulo3"/>
        <w:rPr>
          <w:lang w:val="es-MX"/>
        </w:rPr>
      </w:pPr>
      <w:r>
        <w:rPr>
          <w:lang w:val="es-MX"/>
        </w:rPr>
        <w:t>Los Mártires</w:t>
      </w:r>
    </w:p>
    <w:p w14:paraId="73BAC150" w14:textId="0D2FF77E" w:rsidR="00A40E7E" w:rsidRDefault="0039651A" w:rsidP="00A40E7E">
      <w:pPr>
        <w:spacing w:after="0" w:line="360" w:lineRule="auto"/>
        <w:jc w:val="both"/>
        <w:rPr>
          <w:rFonts w:ascii="Garamond" w:hAnsi="Garamond"/>
          <w:sz w:val="20"/>
          <w:szCs w:val="20"/>
          <w:lang w:val="es-MX"/>
        </w:rPr>
      </w:pPr>
      <w:r>
        <w:rPr>
          <w:rFonts w:ascii="Garamond" w:hAnsi="Garamond"/>
          <w:sz w:val="20"/>
          <w:szCs w:val="20"/>
          <w:lang w:val="es-MX"/>
        </w:rPr>
        <w:t>Es una localidad con</w:t>
      </w:r>
      <w:r w:rsidR="00A40E7E">
        <w:rPr>
          <w:rFonts w:ascii="Garamond" w:hAnsi="Garamond"/>
          <w:sz w:val="20"/>
          <w:szCs w:val="20"/>
          <w:lang w:val="es-MX"/>
        </w:rPr>
        <w:t xml:space="preserve"> 35.</w:t>
      </w:r>
      <w:r>
        <w:rPr>
          <w:rFonts w:ascii="Garamond" w:hAnsi="Garamond"/>
          <w:sz w:val="20"/>
          <w:szCs w:val="20"/>
          <w:lang w:val="es-MX"/>
        </w:rPr>
        <w:t>220</w:t>
      </w:r>
      <w:r w:rsidR="00A40E7E">
        <w:rPr>
          <w:rFonts w:ascii="Garamond" w:hAnsi="Garamond"/>
          <w:sz w:val="20"/>
          <w:szCs w:val="20"/>
          <w:lang w:val="es-MX"/>
        </w:rPr>
        <w:t xml:space="preserve"> hogares (1,3%)</w:t>
      </w:r>
      <w:r>
        <w:rPr>
          <w:rFonts w:ascii="Garamond" w:hAnsi="Garamond"/>
          <w:sz w:val="20"/>
          <w:szCs w:val="20"/>
          <w:lang w:val="es-MX"/>
        </w:rPr>
        <w:t xml:space="preserve"> de la encuesta para Bogotá, de los que</w:t>
      </w:r>
      <w:r w:rsidR="00A40E7E">
        <w:rPr>
          <w:rFonts w:ascii="Garamond" w:hAnsi="Garamond"/>
          <w:sz w:val="20"/>
          <w:szCs w:val="20"/>
          <w:lang w:val="es-MX"/>
        </w:rPr>
        <w:t xml:space="preserve"> </w:t>
      </w:r>
      <w:r>
        <w:rPr>
          <w:rFonts w:ascii="Garamond" w:hAnsi="Garamond"/>
          <w:sz w:val="20"/>
          <w:szCs w:val="20"/>
          <w:lang w:val="es-MX"/>
        </w:rPr>
        <w:t xml:space="preserve">más de </w:t>
      </w:r>
      <w:r w:rsidR="00A40E7E">
        <w:rPr>
          <w:rFonts w:ascii="Garamond" w:hAnsi="Garamond"/>
          <w:sz w:val="20"/>
          <w:szCs w:val="20"/>
          <w:lang w:val="es-MX"/>
        </w:rPr>
        <w:t xml:space="preserve">la </w:t>
      </w:r>
      <w:r>
        <w:rPr>
          <w:rFonts w:ascii="Garamond" w:hAnsi="Garamond"/>
          <w:sz w:val="20"/>
          <w:szCs w:val="20"/>
          <w:lang w:val="es-MX"/>
        </w:rPr>
        <w:t>mitad</w:t>
      </w:r>
      <w:r w:rsidR="00A40E7E">
        <w:rPr>
          <w:rFonts w:ascii="Garamond" w:hAnsi="Garamond"/>
          <w:sz w:val="20"/>
          <w:szCs w:val="20"/>
          <w:lang w:val="es-MX"/>
        </w:rPr>
        <w:t xml:space="preserve"> (</w:t>
      </w:r>
      <w:r>
        <w:rPr>
          <w:rFonts w:ascii="Garamond" w:hAnsi="Garamond"/>
          <w:sz w:val="20"/>
          <w:szCs w:val="20"/>
          <w:lang w:val="es-MX"/>
        </w:rPr>
        <w:t>59</w:t>
      </w:r>
      <w:r w:rsidR="00A40E7E">
        <w:rPr>
          <w:rFonts w:ascii="Garamond" w:hAnsi="Garamond"/>
          <w:sz w:val="20"/>
          <w:szCs w:val="20"/>
          <w:lang w:val="es-MX"/>
        </w:rPr>
        <w:t xml:space="preserve">%) son familiar nuclear., </w:t>
      </w:r>
      <w:r>
        <w:rPr>
          <w:rFonts w:ascii="Garamond" w:hAnsi="Garamond"/>
          <w:sz w:val="20"/>
          <w:szCs w:val="20"/>
          <w:lang w:val="es-MX"/>
        </w:rPr>
        <w:t>un 2</w:t>
      </w:r>
      <w:r w:rsidR="00A40E7E">
        <w:rPr>
          <w:rFonts w:ascii="Garamond" w:hAnsi="Garamond"/>
          <w:sz w:val="20"/>
          <w:szCs w:val="20"/>
          <w:lang w:val="es-MX"/>
        </w:rPr>
        <w:t>3%</w:t>
      </w:r>
      <w:r>
        <w:rPr>
          <w:rFonts w:ascii="Garamond" w:hAnsi="Garamond"/>
          <w:sz w:val="20"/>
          <w:szCs w:val="20"/>
          <w:lang w:val="es-MX"/>
        </w:rPr>
        <w:t xml:space="preserve"> unipersonales, 12%</w:t>
      </w:r>
      <w:r w:rsidR="00A40E7E">
        <w:rPr>
          <w:rFonts w:ascii="Garamond" w:hAnsi="Garamond"/>
          <w:sz w:val="20"/>
          <w:szCs w:val="20"/>
          <w:lang w:val="es-MX"/>
        </w:rPr>
        <w:t xml:space="preserve"> familiar amplio, un </w:t>
      </w:r>
      <w:r>
        <w:rPr>
          <w:rFonts w:ascii="Garamond" w:hAnsi="Garamond"/>
          <w:sz w:val="20"/>
          <w:szCs w:val="20"/>
          <w:lang w:val="es-MX"/>
        </w:rPr>
        <w:t>5</w:t>
      </w:r>
      <w:r w:rsidR="00A40E7E">
        <w:rPr>
          <w:rFonts w:ascii="Garamond" w:hAnsi="Garamond"/>
          <w:sz w:val="20"/>
          <w:szCs w:val="20"/>
          <w:lang w:val="es-MX"/>
        </w:rPr>
        <w:t>% son familiar sin núcleo y un 1% son No familiar sin núcleo.</w:t>
      </w:r>
    </w:p>
    <w:p w14:paraId="1FE73F2B" w14:textId="4D8D8C34" w:rsidR="00F90308" w:rsidRDefault="00A91E97" w:rsidP="00AB263C">
      <w:pPr>
        <w:spacing w:after="0" w:line="360" w:lineRule="auto"/>
        <w:jc w:val="both"/>
        <w:rPr>
          <w:rFonts w:ascii="Garamond" w:hAnsi="Garamond"/>
          <w:sz w:val="20"/>
          <w:szCs w:val="20"/>
          <w:lang w:val="es-MX"/>
        </w:rPr>
      </w:pPr>
      <w:r>
        <w:rPr>
          <w:noProof/>
        </w:rPr>
        <w:lastRenderedPageBreak/>
        <w:drawing>
          <wp:inline distT="0" distB="0" distL="0" distR="0" wp14:anchorId="4A488E11" wp14:editId="4102F5ED">
            <wp:extent cx="2581275" cy="1964055"/>
            <wp:effectExtent l="0" t="0" r="0" b="0"/>
            <wp:docPr id="81" name="Gráfico 81">
              <a:extLst xmlns:a="http://schemas.openxmlformats.org/drawingml/2006/main">
                <a:ext uri="{FF2B5EF4-FFF2-40B4-BE49-F238E27FC236}">
                  <a16:creationId xmlns:a16="http://schemas.microsoft.com/office/drawing/2014/main" id="{00000000-0008-0000-02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1A03A7F" w14:textId="2C3B5FFB" w:rsidR="0088611E" w:rsidRDefault="0088611E" w:rsidP="0088611E">
      <w:pPr>
        <w:pStyle w:val="Ttulo3"/>
        <w:rPr>
          <w:lang w:val="es-MX"/>
        </w:rPr>
      </w:pPr>
      <w:r>
        <w:rPr>
          <w:lang w:val="es-MX"/>
        </w:rPr>
        <w:t>Antonio Nariño</w:t>
      </w:r>
    </w:p>
    <w:p w14:paraId="0AF10284" w14:textId="4013683B" w:rsidR="0088611E" w:rsidRDefault="0088611E" w:rsidP="0088611E">
      <w:pPr>
        <w:spacing w:after="0" w:line="360" w:lineRule="auto"/>
        <w:jc w:val="both"/>
        <w:rPr>
          <w:rFonts w:ascii="Garamond" w:hAnsi="Garamond"/>
          <w:sz w:val="20"/>
          <w:szCs w:val="20"/>
          <w:lang w:val="es-MX"/>
        </w:rPr>
      </w:pPr>
      <w:r>
        <w:rPr>
          <w:rFonts w:ascii="Garamond" w:hAnsi="Garamond"/>
          <w:sz w:val="20"/>
          <w:szCs w:val="20"/>
          <w:lang w:val="es-MX"/>
        </w:rPr>
        <w:t xml:space="preserve">Es la tercera localidad con el menor número de hogares (33.896) que equivalen al 1,3% de los hogares de Bogotá representados en la encuesta. En su mayoría los hogares son familiar nuclear (64%), en segunda medida son familiar amplio con el </w:t>
      </w:r>
      <w:r w:rsidR="00A91E97">
        <w:rPr>
          <w:rFonts w:ascii="Garamond" w:hAnsi="Garamond"/>
          <w:sz w:val="20"/>
          <w:szCs w:val="20"/>
          <w:lang w:val="es-MX"/>
        </w:rPr>
        <w:t>19</w:t>
      </w:r>
      <w:r>
        <w:rPr>
          <w:rFonts w:ascii="Garamond" w:hAnsi="Garamond"/>
          <w:sz w:val="20"/>
          <w:szCs w:val="20"/>
          <w:lang w:val="es-MX"/>
        </w:rPr>
        <w:t>%,</w:t>
      </w:r>
      <w:r w:rsidR="00457C88">
        <w:rPr>
          <w:rFonts w:ascii="Garamond" w:hAnsi="Garamond"/>
          <w:sz w:val="20"/>
          <w:szCs w:val="20"/>
          <w:lang w:val="es-MX"/>
        </w:rPr>
        <w:t xml:space="preserve"> 11% son Unipersonales, un </w:t>
      </w:r>
      <w:r w:rsidR="00A91E97">
        <w:rPr>
          <w:rFonts w:ascii="Garamond" w:hAnsi="Garamond"/>
          <w:sz w:val="20"/>
          <w:szCs w:val="20"/>
          <w:lang w:val="es-MX"/>
        </w:rPr>
        <w:t>5</w:t>
      </w:r>
      <w:r w:rsidR="00457C88">
        <w:rPr>
          <w:rFonts w:ascii="Garamond" w:hAnsi="Garamond"/>
          <w:sz w:val="20"/>
          <w:szCs w:val="20"/>
          <w:lang w:val="es-MX"/>
        </w:rPr>
        <w:t>%</w:t>
      </w:r>
      <w:r>
        <w:rPr>
          <w:rFonts w:ascii="Garamond" w:hAnsi="Garamond"/>
          <w:sz w:val="20"/>
          <w:szCs w:val="20"/>
          <w:lang w:val="es-MX"/>
        </w:rPr>
        <w:t xml:space="preserve"> son familiar sin núcleo y un </w:t>
      </w:r>
      <w:r w:rsidR="00457C88">
        <w:rPr>
          <w:rFonts w:ascii="Garamond" w:hAnsi="Garamond"/>
          <w:sz w:val="20"/>
          <w:szCs w:val="20"/>
          <w:lang w:val="es-MX"/>
        </w:rPr>
        <w:t xml:space="preserve">poco más del </w:t>
      </w:r>
      <w:r>
        <w:rPr>
          <w:rFonts w:ascii="Garamond" w:hAnsi="Garamond"/>
          <w:sz w:val="20"/>
          <w:szCs w:val="20"/>
          <w:lang w:val="es-MX"/>
        </w:rPr>
        <w:t>1% son No familiar sin núcleo.</w:t>
      </w:r>
    </w:p>
    <w:p w14:paraId="1111E7B0" w14:textId="6F05437A" w:rsidR="00F90308" w:rsidRDefault="00A91E97" w:rsidP="00AB263C">
      <w:pPr>
        <w:spacing w:after="0" w:line="360" w:lineRule="auto"/>
        <w:jc w:val="both"/>
        <w:rPr>
          <w:rFonts w:ascii="Garamond" w:hAnsi="Garamond"/>
          <w:sz w:val="20"/>
          <w:szCs w:val="20"/>
          <w:lang w:val="es-MX"/>
        </w:rPr>
      </w:pPr>
      <w:r>
        <w:rPr>
          <w:noProof/>
        </w:rPr>
        <w:drawing>
          <wp:inline distT="0" distB="0" distL="0" distR="0" wp14:anchorId="37FAA06C" wp14:editId="29A15F3D">
            <wp:extent cx="2581275" cy="1961515"/>
            <wp:effectExtent l="0" t="0" r="0" b="0"/>
            <wp:docPr id="83" name="Gráfico 83">
              <a:extLst xmlns:a="http://schemas.openxmlformats.org/drawingml/2006/main">
                <a:ext uri="{FF2B5EF4-FFF2-40B4-BE49-F238E27FC236}">
                  <a16:creationId xmlns:a16="http://schemas.microsoft.com/office/drawing/2014/main" id="{00000000-0008-0000-02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868C11F" w14:textId="3D1C4340" w:rsidR="006940CA" w:rsidRDefault="006940CA" w:rsidP="006940CA">
      <w:pPr>
        <w:pStyle w:val="Ttulo3"/>
        <w:rPr>
          <w:lang w:val="es-MX"/>
        </w:rPr>
      </w:pPr>
      <w:r>
        <w:rPr>
          <w:lang w:val="es-MX"/>
        </w:rPr>
        <w:t>La Candelaria</w:t>
      </w:r>
    </w:p>
    <w:p w14:paraId="35C56FD2" w14:textId="0FD20F40" w:rsidR="006940CA" w:rsidRDefault="006940CA" w:rsidP="006940CA">
      <w:pPr>
        <w:spacing w:after="0" w:line="360" w:lineRule="auto"/>
        <w:jc w:val="both"/>
        <w:rPr>
          <w:rFonts w:ascii="Garamond" w:hAnsi="Garamond"/>
          <w:sz w:val="20"/>
          <w:szCs w:val="20"/>
          <w:lang w:val="es-MX"/>
        </w:rPr>
      </w:pPr>
      <w:r>
        <w:rPr>
          <w:rFonts w:ascii="Garamond" w:hAnsi="Garamond"/>
          <w:sz w:val="20"/>
          <w:szCs w:val="20"/>
          <w:lang w:val="es-MX"/>
        </w:rPr>
        <w:t>Es la segunda localidad mas pequeña en término de número de hogares (10.231) que equivalen al 0,4% de los hogares de Bogotá representados en la encuesta. Sobresale por ser la segunda localidad con el mayor porcentaje de hogares Unipersonales (40%) luego de Chapinero. No obstante la mayoría de hogares son familiar nuclear (46%), un 9% son familiar amplio, un 3% son familiar sin núcleo y un 2% son No familiar sin núcleo.</w:t>
      </w:r>
    </w:p>
    <w:p w14:paraId="07695364" w14:textId="4F1DD974" w:rsidR="0088611E" w:rsidRDefault="00A91E97" w:rsidP="00AB263C">
      <w:pPr>
        <w:spacing w:after="0" w:line="360" w:lineRule="auto"/>
        <w:jc w:val="both"/>
        <w:rPr>
          <w:rFonts w:ascii="Garamond" w:hAnsi="Garamond"/>
          <w:sz w:val="20"/>
          <w:szCs w:val="20"/>
          <w:lang w:val="es-MX"/>
        </w:rPr>
      </w:pPr>
      <w:r>
        <w:rPr>
          <w:noProof/>
        </w:rPr>
        <w:drawing>
          <wp:inline distT="0" distB="0" distL="0" distR="0" wp14:anchorId="472C292E" wp14:editId="2ECF6E58">
            <wp:extent cx="2581275" cy="1960245"/>
            <wp:effectExtent l="0" t="0" r="0" b="0"/>
            <wp:docPr id="85" name="Gráfico 85">
              <a:extLst xmlns:a="http://schemas.openxmlformats.org/drawingml/2006/main">
                <a:ext uri="{FF2B5EF4-FFF2-40B4-BE49-F238E27FC236}">
                  <a16:creationId xmlns:a16="http://schemas.microsoft.com/office/drawing/2014/main" id="{00000000-0008-0000-02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6650AD0" w14:textId="23D3AB9E" w:rsidR="009B1C02" w:rsidRDefault="009B1C02" w:rsidP="009B1C02">
      <w:pPr>
        <w:pStyle w:val="Ttulo3"/>
        <w:rPr>
          <w:lang w:val="es-MX"/>
        </w:rPr>
      </w:pPr>
      <w:r>
        <w:rPr>
          <w:lang w:val="es-MX"/>
        </w:rPr>
        <w:t>Sumapaz</w:t>
      </w:r>
    </w:p>
    <w:p w14:paraId="2D5CA6E1" w14:textId="3779BD49" w:rsidR="009B1C02" w:rsidRDefault="009B1C02" w:rsidP="009B1C02">
      <w:pPr>
        <w:spacing w:after="0" w:line="360" w:lineRule="auto"/>
        <w:jc w:val="both"/>
        <w:rPr>
          <w:rFonts w:ascii="Garamond" w:hAnsi="Garamond"/>
          <w:sz w:val="20"/>
          <w:szCs w:val="20"/>
          <w:lang w:val="es-MX"/>
        </w:rPr>
      </w:pPr>
      <w:r>
        <w:rPr>
          <w:rFonts w:ascii="Garamond" w:hAnsi="Garamond"/>
          <w:sz w:val="20"/>
          <w:szCs w:val="20"/>
          <w:lang w:val="es-MX"/>
        </w:rPr>
        <w:t>Es la localidad que tiene el menor número de hogares en la encuesta, y esto es debido a que por ser una localidad 100% rural</w:t>
      </w:r>
      <w:r w:rsidR="003A5475">
        <w:rPr>
          <w:rFonts w:ascii="Garamond" w:hAnsi="Garamond"/>
          <w:sz w:val="20"/>
          <w:szCs w:val="20"/>
          <w:lang w:val="es-MX"/>
        </w:rPr>
        <w:t xml:space="preserve"> la información recogida se hizo a una muestra de hogares y que se analiza de manera censal. En ese sentido se aplicó la encuesta a 378 hogares rurales de la localidad que </w:t>
      </w:r>
      <w:r w:rsidR="00A91E97">
        <w:rPr>
          <w:rFonts w:ascii="Garamond" w:hAnsi="Garamond"/>
          <w:sz w:val="20"/>
          <w:szCs w:val="20"/>
          <w:lang w:val="es-MX"/>
        </w:rPr>
        <w:t>equivale</w:t>
      </w:r>
      <w:r w:rsidR="003A5475">
        <w:rPr>
          <w:rFonts w:ascii="Garamond" w:hAnsi="Garamond"/>
          <w:sz w:val="20"/>
          <w:szCs w:val="20"/>
          <w:lang w:val="es-MX"/>
        </w:rPr>
        <w:t>n tan sólo el 0,01% de los hogares de la encuesta en Bogotá. De estos hogares el 63% presentan una estructura de tipo familiar nuclear, seguido por el 18% que son familiar amplio, el 15% son unipersonales, un 3% familiar sin núcleo y menos del 1% son No familiar sin núcleo.</w:t>
      </w:r>
    </w:p>
    <w:p w14:paraId="142FCBDA" w14:textId="08AC2578" w:rsidR="0088611E" w:rsidRDefault="0088611E" w:rsidP="00AB263C">
      <w:pPr>
        <w:spacing w:after="0" w:line="360" w:lineRule="auto"/>
        <w:jc w:val="both"/>
        <w:rPr>
          <w:rFonts w:ascii="Garamond" w:hAnsi="Garamond"/>
          <w:sz w:val="20"/>
          <w:szCs w:val="20"/>
          <w:lang w:val="es-MX"/>
        </w:rPr>
      </w:pPr>
    </w:p>
    <w:p w14:paraId="4F2613B5" w14:textId="07380CF0" w:rsidR="0088611E" w:rsidRDefault="00A91E97" w:rsidP="00AB263C">
      <w:pPr>
        <w:spacing w:after="0" w:line="360" w:lineRule="auto"/>
        <w:jc w:val="both"/>
        <w:rPr>
          <w:rFonts w:ascii="Garamond" w:hAnsi="Garamond"/>
          <w:sz w:val="20"/>
          <w:szCs w:val="20"/>
          <w:lang w:val="es-MX"/>
        </w:rPr>
      </w:pPr>
      <w:r>
        <w:rPr>
          <w:noProof/>
        </w:rPr>
        <w:drawing>
          <wp:inline distT="0" distB="0" distL="0" distR="0" wp14:anchorId="0C551042" wp14:editId="66C8EEDF">
            <wp:extent cx="2581275" cy="1960245"/>
            <wp:effectExtent l="0" t="0" r="0" b="0"/>
            <wp:docPr id="87" name="Gráfico 87">
              <a:extLst xmlns:a="http://schemas.openxmlformats.org/drawingml/2006/main">
                <a:ext uri="{FF2B5EF4-FFF2-40B4-BE49-F238E27FC236}">
                  <a16:creationId xmlns:a16="http://schemas.microsoft.com/office/drawing/2014/main" id="{00000000-0008-0000-02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DAF29A7" w14:textId="77777777" w:rsidR="003B77C3" w:rsidRPr="00AB263C" w:rsidRDefault="003B77C3" w:rsidP="00AB263C">
      <w:pPr>
        <w:spacing w:after="0" w:line="360" w:lineRule="auto"/>
        <w:jc w:val="both"/>
        <w:rPr>
          <w:rFonts w:ascii="Garamond" w:hAnsi="Garamond"/>
          <w:sz w:val="20"/>
          <w:szCs w:val="20"/>
          <w:lang w:val="es-MX"/>
        </w:rPr>
      </w:pPr>
    </w:p>
    <w:p w14:paraId="166041CA" w14:textId="77777777" w:rsidR="004C4715" w:rsidRDefault="004C4715">
      <w:pPr>
        <w:rPr>
          <w:rFonts w:asciiTheme="majorHAnsi" w:eastAsiaTheme="majorEastAsia" w:hAnsiTheme="majorHAnsi" w:cstheme="majorBidi"/>
          <w:color w:val="365F91" w:themeColor="accent1" w:themeShade="BF"/>
          <w:sz w:val="32"/>
          <w:szCs w:val="32"/>
          <w:lang w:val="es-MX"/>
        </w:rPr>
      </w:pPr>
      <w:r>
        <w:rPr>
          <w:lang w:val="es-MX"/>
        </w:rPr>
        <w:br w:type="page"/>
      </w:r>
    </w:p>
    <w:p w14:paraId="4F95B852" w14:textId="50D21E88" w:rsidR="00CD6133" w:rsidRDefault="007E52B2" w:rsidP="00CD6133">
      <w:pPr>
        <w:pStyle w:val="Ttulo1"/>
        <w:rPr>
          <w:lang w:val="es-MX"/>
        </w:rPr>
      </w:pPr>
      <w:r>
        <w:rPr>
          <w:lang w:val="es-MX"/>
        </w:rPr>
        <w:lastRenderedPageBreak/>
        <w:t>CONCLUSIONES</w:t>
      </w:r>
    </w:p>
    <w:p w14:paraId="27EA237F" w14:textId="77777777" w:rsidR="00BD7943" w:rsidRPr="00BD7943" w:rsidRDefault="00BD7943" w:rsidP="00BD7943">
      <w:pPr>
        <w:rPr>
          <w:lang w:val="es-MX"/>
        </w:rPr>
      </w:pPr>
    </w:p>
    <w:p w14:paraId="6DDBFCD0" w14:textId="59FBA0CB" w:rsidR="00AE72EE" w:rsidRPr="00AE72EE" w:rsidRDefault="00D40CC2" w:rsidP="00AE72EE">
      <w:pPr>
        <w:pStyle w:val="Prrafodelista"/>
        <w:numPr>
          <w:ilvl w:val="0"/>
          <w:numId w:val="4"/>
        </w:numPr>
        <w:spacing w:after="0" w:line="360" w:lineRule="auto"/>
        <w:ind w:left="360"/>
        <w:jc w:val="both"/>
        <w:rPr>
          <w:rFonts w:ascii="Garamond" w:hAnsi="Garamond"/>
          <w:sz w:val="20"/>
          <w:szCs w:val="20"/>
          <w:lang w:val="es-MX"/>
        </w:rPr>
      </w:pPr>
      <w:r w:rsidRPr="00AE72EE">
        <w:rPr>
          <w:rFonts w:ascii="Garamond" w:hAnsi="Garamond"/>
          <w:sz w:val="20"/>
          <w:szCs w:val="20"/>
          <w:lang w:val="es-MX"/>
        </w:rPr>
        <w:t>En términos generales 2.23</w:t>
      </w:r>
      <w:r w:rsidR="00A91E97">
        <w:rPr>
          <w:rFonts w:ascii="Garamond" w:hAnsi="Garamond"/>
          <w:sz w:val="20"/>
          <w:szCs w:val="20"/>
          <w:lang w:val="es-MX"/>
        </w:rPr>
        <w:t>6.198</w:t>
      </w:r>
      <w:r w:rsidRPr="00AE72EE">
        <w:rPr>
          <w:rFonts w:ascii="Garamond" w:hAnsi="Garamond"/>
          <w:sz w:val="20"/>
          <w:szCs w:val="20"/>
          <w:lang w:val="es-MX"/>
        </w:rPr>
        <w:t xml:space="preserve"> hogares de la ciudad son de tipo familiar a partir de la relación de parentesco de los integrantes de cada hogar. Esto equivale al </w:t>
      </w:r>
      <w:r w:rsidR="00AE72EE" w:rsidRPr="00AE72EE">
        <w:rPr>
          <w:rFonts w:ascii="Garamond" w:hAnsi="Garamond"/>
          <w:sz w:val="20"/>
          <w:szCs w:val="20"/>
          <w:lang w:val="es-MX"/>
        </w:rPr>
        <w:t>82,8% de los hogares de Bogotá representados en la EMB 2017.</w:t>
      </w:r>
    </w:p>
    <w:p w14:paraId="33C1F58A" w14:textId="77777777" w:rsidR="00AE72EE" w:rsidRDefault="00AE72EE" w:rsidP="00AE72EE">
      <w:pPr>
        <w:spacing w:after="0" w:line="360" w:lineRule="auto"/>
        <w:jc w:val="both"/>
        <w:rPr>
          <w:rFonts w:ascii="Garamond" w:hAnsi="Garamond"/>
          <w:sz w:val="20"/>
          <w:szCs w:val="20"/>
          <w:lang w:val="es-MX"/>
        </w:rPr>
      </w:pPr>
    </w:p>
    <w:p w14:paraId="56C08096" w14:textId="4C740344" w:rsidR="00AE72EE" w:rsidRDefault="00AE72EE" w:rsidP="00AE72EE">
      <w:pPr>
        <w:pStyle w:val="Prrafodelista"/>
        <w:numPr>
          <w:ilvl w:val="0"/>
          <w:numId w:val="4"/>
        </w:numPr>
        <w:spacing w:after="0" w:line="360" w:lineRule="auto"/>
        <w:ind w:left="360"/>
        <w:jc w:val="both"/>
        <w:rPr>
          <w:rFonts w:ascii="Garamond" w:hAnsi="Garamond"/>
          <w:sz w:val="20"/>
          <w:szCs w:val="20"/>
          <w:lang w:val="es-MX"/>
        </w:rPr>
      </w:pPr>
      <w:r w:rsidRPr="00AE72EE">
        <w:rPr>
          <w:rFonts w:ascii="Garamond" w:hAnsi="Garamond"/>
          <w:sz w:val="20"/>
          <w:szCs w:val="20"/>
          <w:lang w:val="es-MX"/>
        </w:rPr>
        <w:t>16,3 puntos porcentuales de los hogares que No son familiares (17,2%) son hogares unipersonales.</w:t>
      </w:r>
    </w:p>
    <w:p w14:paraId="4BA7FC5F" w14:textId="77777777" w:rsidR="00AE72EE" w:rsidRPr="00AE72EE" w:rsidRDefault="00AE72EE" w:rsidP="00AE72EE">
      <w:pPr>
        <w:pStyle w:val="Prrafodelista"/>
        <w:rPr>
          <w:rFonts w:ascii="Garamond" w:hAnsi="Garamond"/>
          <w:sz w:val="20"/>
          <w:szCs w:val="20"/>
          <w:lang w:val="es-MX"/>
        </w:rPr>
      </w:pPr>
    </w:p>
    <w:p w14:paraId="19AE3806" w14:textId="66FD0AD6" w:rsidR="00AE72EE" w:rsidRDefault="00AE72EE" w:rsidP="00AE72EE">
      <w:pPr>
        <w:pStyle w:val="Prrafodelista"/>
        <w:numPr>
          <w:ilvl w:val="0"/>
          <w:numId w:val="4"/>
        </w:numPr>
        <w:spacing w:after="0" w:line="360" w:lineRule="auto"/>
        <w:ind w:left="360"/>
        <w:jc w:val="both"/>
        <w:rPr>
          <w:rFonts w:ascii="Garamond" w:hAnsi="Garamond"/>
          <w:sz w:val="20"/>
          <w:szCs w:val="20"/>
          <w:lang w:val="es-MX"/>
        </w:rPr>
      </w:pPr>
      <w:r>
        <w:rPr>
          <w:rFonts w:ascii="Garamond" w:hAnsi="Garamond"/>
          <w:sz w:val="20"/>
          <w:szCs w:val="20"/>
          <w:lang w:val="es-MX"/>
        </w:rPr>
        <w:t xml:space="preserve">La gran mayoría de los hogares de la ciudad son </w:t>
      </w:r>
      <w:r w:rsidR="00446081">
        <w:rPr>
          <w:rFonts w:ascii="Garamond" w:hAnsi="Garamond"/>
          <w:sz w:val="20"/>
          <w:szCs w:val="20"/>
          <w:lang w:val="es-MX"/>
        </w:rPr>
        <w:t xml:space="preserve">de tipo </w:t>
      </w:r>
      <w:r>
        <w:rPr>
          <w:rFonts w:ascii="Garamond" w:hAnsi="Garamond"/>
          <w:sz w:val="20"/>
          <w:szCs w:val="20"/>
          <w:lang w:val="es-MX"/>
        </w:rPr>
        <w:t>familiar nuclear (63,5%), esto quiere decir que predominan los hogares conformados por padre y madre con hijos, parejas sin hijos; o por padre o madre con hijos</w:t>
      </w:r>
      <w:r w:rsidR="000E3BB4">
        <w:rPr>
          <w:rFonts w:ascii="Garamond" w:hAnsi="Garamond"/>
          <w:sz w:val="20"/>
          <w:szCs w:val="20"/>
          <w:lang w:val="es-MX"/>
        </w:rPr>
        <w:t>, que son la mayoría en todos los estratos socioeconómicos</w:t>
      </w:r>
      <w:r>
        <w:rPr>
          <w:rFonts w:ascii="Garamond" w:hAnsi="Garamond"/>
          <w:sz w:val="20"/>
          <w:szCs w:val="20"/>
          <w:lang w:val="es-MX"/>
        </w:rPr>
        <w:t>.</w:t>
      </w:r>
    </w:p>
    <w:p w14:paraId="1E878391" w14:textId="77777777" w:rsidR="00AE72EE" w:rsidRPr="00AE72EE" w:rsidRDefault="00AE72EE" w:rsidP="00AE72EE">
      <w:pPr>
        <w:pStyle w:val="Prrafodelista"/>
        <w:rPr>
          <w:rFonts w:ascii="Garamond" w:hAnsi="Garamond"/>
          <w:sz w:val="20"/>
          <w:szCs w:val="20"/>
          <w:lang w:val="es-MX"/>
        </w:rPr>
      </w:pPr>
    </w:p>
    <w:p w14:paraId="027D5DE3" w14:textId="4DD1C056" w:rsidR="00AE72EE" w:rsidRDefault="00AE72EE" w:rsidP="00AE72EE">
      <w:pPr>
        <w:pStyle w:val="Prrafodelista"/>
        <w:numPr>
          <w:ilvl w:val="0"/>
          <w:numId w:val="4"/>
        </w:numPr>
        <w:spacing w:after="0" w:line="360" w:lineRule="auto"/>
        <w:ind w:left="360"/>
        <w:jc w:val="both"/>
        <w:rPr>
          <w:rFonts w:ascii="Garamond" w:hAnsi="Garamond"/>
          <w:sz w:val="20"/>
          <w:szCs w:val="20"/>
          <w:lang w:val="es-MX"/>
        </w:rPr>
      </w:pPr>
      <w:r>
        <w:rPr>
          <w:rFonts w:ascii="Garamond" w:hAnsi="Garamond"/>
          <w:sz w:val="20"/>
          <w:szCs w:val="20"/>
          <w:lang w:val="es-MX"/>
        </w:rPr>
        <w:t>En segunda medida predominan los hogares Unipersonales (16,3%), seguidos por los hogares familiar amplio (15,</w:t>
      </w:r>
      <w:r w:rsidR="00446081">
        <w:rPr>
          <w:rFonts w:ascii="Garamond" w:hAnsi="Garamond"/>
          <w:sz w:val="20"/>
          <w:szCs w:val="20"/>
          <w:lang w:val="es-MX"/>
        </w:rPr>
        <w:t>3</w:t>
      </w:r>
      <w:r>
        <w:rPr>
          <w:rFonts w:ascii="Garamond" w:hAnsi="Garamond"/>
          <w:sz w:val="20"/>
          <w:szCs w:val="20"/>
          <w:lang w:val="es-MX"/>
        </w:rPr>
        <w:t>%).</w:t>
      </w:r>
    </w:p>
    <w:p w14:paraId="2CDE04C6" w14:textId="77777777" w:rsidR="00AE72EE" w:rsidRPr="00AE72EE" w:rsidRDefault="00AE72EE" w:rsidP="00AE72EE">
      <w:pPr>
        <w:pStyle w:val="Prrafodelista"/>
        <w:rPr>
          <w:rFonts w:ascii="Garamond" w:hAnsi="Garamond"/>
          <w:sz w:val="20"/>
          <w:szCs w:val="20"/>
          <w:lang w:val="es-MX"/>
        </w:rPr>
      </w:pPr>
    </w:p>
    <w:p w14:paraId="1621E1BE" w14:textId="60DF3B35" w:rsidR="00AE72EE" w:rsidRDefault="00AE72EE" w:rsidP="00AE72EE">
      <w:pPr>
        <w:pStyle w:val="Prrafodelista"/>
        <w:numPr>
          <w:ilvl w:val="0"/>
          <w:numId w:val="4"/>
        </w:numPr>
        <w:spacing w:after="0" w:line="360" w:lineRule="auto"/>
        <w:ind w:left="360"/>
        <w:jc w:val="both"/>
        <w:rPr>
          <w:rFonts w:ascii="Garamond" w:hAnsi="Garamond"/>
          <w:sz w:val="20"/>
          <w:szCs w:val="20"/>
          <w:lang w:val="es-MX"/>
        </w:rPr>
      </w:pPr>
      <w:r>
        <w:rPr>
          <w:rFonts w:ascii="Garamond" w:hAnsi="Garamond"/>
          <w:sz w:val="20"/>
          <w:szCs w:val="20"/>
          <w:lang w:val="es-MX"/>
        </w:rPr>
        <w:t>Los menos frecuentes son los hogares no familiares sin núcleo que equivalen al 0,9%, seguidos por los hogares familiares sin núcleo (3,7%).</w:t>
      </w:r>
    </w:p>
    <w:p w14:paraId="559CE998" w14:textId="77777777" w:rsidR="00AE72EE" w:rsidRPr="00AE72EE" w:rsidRDefault="00AE72EE" w:rsidP="00AE72EE">
      <w:pPr>
        <w:pStyle w:val="Prrafodelista"/>
        <w:rPr>
          <w:rFonts w:ascii="Garamond" w:hAnsi="Garamond"/>
          <w:sz w:val="20"/>
          <w:szCs w:val="20"/>
          <w:lang w:val="es-MX"/>
        </w:rPr>
      </w:pPr>
    </w:p>
    <w:p w14:paraId="4871ECF9" w14:textId="64B81B43" w:rsidR="00AE72EE" w:rsidRDefault="00293991" w:rsidP="00AE72EE">
      <w:pPr>
        <w:pStyle w:val="Prrafodelista"/>
        <w:numPr>
          <w:ilvl w:val="0"/>
          <w:numId w:val="4"/>
        </w:numPr>
        <w:spacing w:after="0" w:line="360" w:lineRule="auto"/>
        <w:ind w:left="360"/>
        <w:jc w:val="both"/>
        <w:rPr>
          <w:rFonts w:ascii="Garamond" w:hAnsi="Garamond"/>
          <w:sz w:val="20"/>
          <w:szCs w:val="20"/>
          <w:lang w:val="es-MX"/>
        </w:rPr>
      </w:pPr>
      <w:r>
        <w:rPr>
          <w:rFonts w:ascii="Garamond" w:hAnsi="Garamond"/>
          <w:sz w:val="20"/>
          <w:szCs w:val="20"/>
          <w:lang w:val="es-MX"/>
        </w:rPr>
        <w:t>Por estrato se observa que</w:t>
      </w:r>
      <w:r w:rsidR="008B0B81">
        <w:rPr>
          <w:rFonts w:ascii="Garamond" w:hAnsi="Garamond"/>
          <w:sz w:val="20"/>
          <w:szCs w:val="20"/>
          <w:lang w:val="es-MX"/>
        </w:rPr>
        <w:t xml:space="preserve"> la</w:t>
      </w:r>
      <w:r>
        <w:rPr>
          <w:rFonts w:ascii="Garamond" w:hAnsi="Garamond"/>
          <w:sz w:val="20"/>
          <w:szCs w:val="20"/>
          <w:lang w:val="es-MX"/>
        </w:rPr>
        <w:t xml:space="preserve"> </w:t>
      </w:r>
      <w:r w:rsidR="00DC2536">
        <w:rPr>
          <w:rFonts w:ascii="Garamond" w:hAnsi="Garamond"/>
          <w:sz w:val="20"/>
          <w:szCs w:val="20"/>
          <w:lang w:val="es-MX"/>
        </w:rPr>
        <w:t xml:space="preserve">tipología familiar predominante en todos es la de los hogares familiar nuclear (incluye los hogares nuclear con hijos, nuclear </w:t>
      </w:r>
      <w:r w:rsidR="00DC2536" w:rsidRPr="00382DD3">
        <w:rPr>
          <w:rFonts w:ascii="Garamond" w:hAnsi="Garamond"/>
          <w:sz w:val="20"/>
          <w:szCs w:val="20"/>
          <w:lang w:val="es-MX"/>
        </w:rPr>
        <w:t>monoparental con hijos y nuclear sin hijos) que en el estrato 1 equivale al 67,</w:t>
      </w:r>
      <w:r w:rsidR="00F34C4C" w:rsidRPr="00382DD3">
        <w:rPr>
          <w:rFonts w:ascii="Garamond" w:hAnsi="Garamond"/>
          <w:sz w:val="20"/>
          <w:szCs w:val="20"/>
          <w:lang w:val="es-MX"/>
        </w:rPr>
        <w:t>1</w:t>
      </w:r>
      <w:r w:rsidR="00DC2536" w:rsidRPr="00382DD3">
        <w:rPr>
          <w:rFonts w:ascii="Garamond" w:hAnsi="Garamond"/>
          <w:sz w:val="20"/>
          <w:szCs w:val="20"/>
          <w:lang w:val="es-MX"/>
        </w:rPr>
        <w:t>% y decrece hasta el estrato 6 al 4</w:t>
      </w:r>
      <w:r w:rsidR="00F34C4C" w:rsidRPr="00382DD3">
        <w:rPr>
          <w:rFonts w:ascii="Garamond" w:hAnsi="Garamond"/>
          <w:sz w:val="20"/>
          <w:szCs w:val="20"/>
          <w:lang w:val="es-MX"/>
        </w:rPr>
        <w:t>7</w:t>
      </w:r>
      <w:r w:rsidR="00DC2536" w:rsidRPr="00382DD3">
        <w:rPr>
          <w:rFonts w:ascii="Garamond" w:hAnsi="Garamond"/>
          <w:sz w:val="20"/>
          <w:szCs w:val="20"/>
          <w:lang w:val="es-MX"/>
        </w:rPr>
        <w:t>,</w:t>
      </w:r>
      <w:r w:rsidR="00F34C4C" w:rsidRPr="00382DD3">
        <w:rPr>
          <w:rFonts w:ascii="Garamond" w:hAnsi="Garamond"/>
          <w:sz w:val="20"/>
          <w:szCs w:val="20"/>
          <w:lang w:val="es-MX"/>
        </w:rPr>
        <w:t>3</w:t>
      </w:r>
      <w:r w:rsidR="00DC2536" w:rsidRPr="00382DD3">
        <w:rPr>
          <w:rFonts w:ascii="Garamond" w:hAnsi="Garamond"/>
          <w:sz w:val="20"/>
          <w:szCs w:val="20"/>
          <w:lang w:val="es-MX"/>
        </w:rPr>
        <w:t>%.</w:t>
      </w:r>
    </w:p>
    <w:p w14:paraId="5A7EC7D8" w14:textId="77777777" w:rsidR="008B0B81" w:rsidRPr="008B0B81" w:rsidRDefault="008B0B81" w:rsidP="008B0B81">
      <w:pPr>
        <w:pStyle w:val="Prrafodelista"/>
        <w:rPr>
          <w:rFonts w:ascii="Garamond" w:hAnsi="Garamond"/>
          <w:sz w:val="20"/>
          <w:szCs w:val="20"/>
          <w:lang w:val="es-MX"/>
        </w:rPr>
      </w:pPr>
    </w:p>
    <w:p w14:paraId="3870CD3F" w14:textId="777CD552" w:rsidR="008B0B81" w:rsidRDefault="008B0B81" w:rsidP="00AE72EE">
      <w:pPr>
        <w:pStyle w:val="Prrafodelista"/>
        <w:numPr>
          <w:ilvl w:val="0"/>
          <w:numId w:val="4"/>
        </w:numPr>
        <w:spacing w:after="0" w:line="360" w:lineRule="auto"/>
        <w:ind w:left="360"/>
        <w:jc w:val="both"/>
        <w:rPr>
          <w:rFonts w:ascii="Garamond" w:hAnsi="Garamond"/>
          <w:sz w:val="20"/>
          <w:szCs w:val="20"/>
          <w:lang w:val="es-MX"/>
        </w:rPr>
      </w:pPr>
      <w:r>
        <w:rPr>
          <w:rFonts w:ascii="Garamond" w:hAnsi="Garamond"/>
          <w:sz w:val="20"/>
          <w:szCs w:val="20"/>
          <w:lang w:val="es-MX"/>
        </w:rPr>
        <w:t xml:space="preserve">Por su parte los hogares unipersonales presentan un mayor porcentaje a la vez que aumenta el estrato socioeconómico de los hogares; en el </w:t>
      </w:r>
      <w:r>
        <w:rPr>
          <w:rFonts w:ascii="Garamond" w:hAnsi="Garamond"/>
          <w:sz w:val="20"/>
          <w:szCs w:val="20"/>
          <w:lang w:val="es-MX"/>
        </w:rPr>
        <w:t>estrato 1 son el 1</w:t>
      </w:r>
      <w:r w:rsidR="00382DD3">
        <w:rPr>
          <w:rFonts w:ascii="Garamond" w:hAnsi="Garamond"/>
          <w:sz w:val="20"/>
          <w:szCs w:val="20"/>
          <w:lang w:val="es-MX"/>
        </w:rPr>
        <w:t>2,3</w:t>
      </w:r>
      <w:r>
        <w:rPr>
          <w:rFonts w:ascii="Garamond" w:hAnsi="Garamond"/>
          <w:sz w:val="20"/>
          <w:szCs w:val="20"/>
          <w:lang w:val="es-MX"/>
        </w:rPr>
        <w:t>% de los hogares y en el estrato 6 son el 4</w:t>
      </w:r>
      <w:r w:rsidR="00382DD3">
        <w:rPr>
          <w:rFonts w:ascii="Garamond" w:hAnsi="Garamond"/>
          <w:sz w:val="20"/>
          <w:szCs w:val="20"/>
          <w:lang w:val="es-MX"/>
        </w:rPr>
        <w:t>2,8</w:t>
      </w:r>
      <w:r>
        <w:rPr>
          <w:rFonts w:ascii="Garamond" w:hAnsi="Garamond"/>
          <w:sz w:val="20"/>
          <w:szCs w:val="20"/>
          <w:lang w:val="es-MX"/>
        </w:rPr>
        <w:t>%.</w:t>
      </w:r>
    </w:p>
    <w:p w14:paraId="577D7CB5" w14:textId="77777777" w:rsidR="008B0B81" w:rsidRPr="008B0B81" w:rsidRDefault="008B0B81" w:rsidP="008B0B81">
      <w:pPr>
        <w:pStyle w:val="Prrafodelista"/>
        <w:rPr>
          <w:rFonts w:ascii="Garamond" w:hAnsi="Garamond"/>
          <w:sz w:val="20"/>
          <w:szCs w:val="20"/>
          <w:lang w:val="es-MX"/>
        </w:rPr>
      </w:pPr>
    </w:p>
    <w:p w14:paraId="457FEB95" w14:textId="4365A529" w:rsidR="008B0B81" w:rsidRDefault="008B0B81" w:rsidP="00AE72EE">
      <w:pPr>
        <w:pStyle w:val="Prrafodelista"/>
        <w:numPr>
          <w:ilvl w:val="0"/>
          <w:numId w:val="4"/>
        </w:numPr>
        <w:spacing w:after="0" w:line="360" w:lineRule="auto"/>
        <w:ind w:left="360"/>
        <w:jc w:val="both"/>
        <w:rPr>
          <w:rFonts w:ascii="Garamond" w:hAnsi="Garamond"/>
          <w:sz w:val="20"/>
          <w:szCs w:val="20"/>
          <w:lang w:val="es-MX"/>
        </w:rPr>
      </w:pPr>
      <w:r>
        <w:rPr>
          <w:rFonts w:ascii="Garamond" w:hAnsi="Garamond"/>
          <w:sz w:val="20"/>
          <w:szCs w:val="20"/>
          <w:lang w:val="es-MX"/>
        </w:rPr>
        <w:t>Por el contrario en el caso de los hogares familiar extenso decrecen al aumentar el estrto socioeconómico de los hogares, en el estrato 1 son el 16,</w:t>
      </w:r>
      <w:r w:rsidR="00382DD3">
        <w:rPr>
          <w:rFonts w:ascii="Garamond" w:hAnsi="Garamond"/>
          <w:sz w:val="20"/>
          <w:szCs w:val="20"/>
          <w:lang w:val="es-MX"/>
        </w:rPr>
        <w:t>3</w:t>
      </w:r>
      <w:r>
        <w:rPr>
          <w:rFonts w:ascii="Garamond" w:hAnsi="Garamond"/>
          <w:sz w:val="20"/>
          <w:szCs w:val="20"/>
          <w:lang w:val="es-MX"/>
        </w:rPr>
        <w:t>% y en el estrato 6 tan sólo el 2,</w:t>
      </w:r>
      <w:r w:rsidR="00382DD3">
        <w:rPr>
          <w:rFonts w:ascii="Garamond" w:hAnsi="Garamond"/>
          <w:sz w:val="20"/>
          <w:szCs w:val="20"/>
          <w:lang w:val="es-MX"/>
        </w:rPr>
        <w:t>2</w:t>
      </w:r>
      <w:r>
        <w:rPr>
          <w:rFonts w:ascii="Garamond" w:hAnsi="Garamond"/>
          <w:sz w:val="20"/>
          <w:szCs w:val="20"/>
          <w:lang w:val="es-MX"/>
        </w:rPr>
        <w:t>%.</w:t>
      </w:r>
    </w:p>
    <w:p w14:paraId="3D5396D2" w14:textId="77777777" w:rsidR="008B0B81" w:rsidRPr="008B0B81" w:rsidRDefault="008B0B81" w:rsidP="008B0B81">
      <w:pPr>
        <w:pStyle w:val="Prrafodelista"/>
        <w:rPr>
          <w:rFonts w:ascii="Garamond" w:hAnsi="Garamond"/>
          <w:sz w:val="20"/>
          <w:szCs w:val="20"/>
          <w:lang w:val="es-MX"/>
        </w:rPr>
      </w:pPr>
    </w:p>
    <w:p w14:paraId="13A85F10" w14:textId="1090325D" w:rsidR="008B0B81" w:rsidRDefault="008B0B81" w:rsidP="00AE72EE">
      <w:pPr>
        <w:pStyle w:val="Prrafodelista"/>
        <w:numPr>
          <w:ilvl w:val="0"/>
          <w:numId w:val="4"/>
        </w:numPr>
        <w:spacing w:after="0" w:line="360" w:lineRule="auto"/>
        <w:ind w:left="360"/>
        <w:jc w:val="both"/>
        <w:rPr>
          <w:rFonts w:ascii="Garamond" w:hAnsi="Garamond"/>
          <w:sz w:val="20"/>
          <w:szCs w:val="20"/>
          <w:lang w:val="es-MX"/>
        </w:rPr>
      </w:pPr>
      <w:r>
        <w:rPr>
          <w:rFonts w:ascii="Garamond" w:hAnsi="Garamond"/>
          <w:sz w:val="20"/>
          <w:szCs w:val="20"/>
          <w:lang w:val="es-MX"/>
        </w:rPr>
        <w:t xml:space="preserve">Los hogares familiar sin núcleo </w:t>
      </w:r>
      <w:r w:rsidR="00923E04">
        <w:rPr>
          <w:rFonts w:ascii="Garamond" w:hAnsi="Garamond"/>
          <w:sz w:val="20"/>
          <w:szCs w:val="20"/>
          <w:lang w:val="es-MX"/>
        </w:rPr>
        <w:t>en el estrato 1 equivalen al 2,5% de los hogares, y en el estrato 4 alcanzan a ser 4,</w:t>
      </w:r>
      <w:r w:rsidR="00382DD3">
        <w:rPr>
          <w:rFonts w:ascii="Garamond" w:hAnsi="Garamond"/>
          <w:sz w:val="20"/>
          <w:szCs w:val="20"/>
          <w:lang w:val="es-MX"/>
        </w:rPr>
        <w:t>7</w:t>
      </w:r>
      <w:r w:rsidR="00923E04">
        <w:rPr>
          <w:rFonts w:ascii="Garamond" w:hAnsi="Garamond"/>
          <w:sz w:val="20"/>
          <w:szCs w:val="20"/>
          <w:lang w:val="es-MX"/>
        </w:rPr>
        <w:t>%, pero en el estrato 6 vuelven a decaer a 3,</w:t>
      </w:r>
      <w:r w:rsidR="00382DD3">
        <w:rPr>
          <w:rFonts w:ascii="Garamond" w:hAnsi="Garamond"/>
          <w:sz w:val="20"/>
          <w:szCs w:val="20"/>
          <w:lang w:val="es-MX"/>
        </w:rPr>
        <w:t>4</w:t>
      </w:r>
      <w:r w:rsidR="00923E04">
        <w:rPr>
          <w:rFonts w:ascii="Garamond" w:hAnsi="Garamond"/>
          <w:sz w:val="20"/>
          <w:szCs w:val="20"/>
          <w:lang w:val="es-MX"/>
        </w:rPr>
        <w:t>%.</w:t>
      </w:r>
    </w:p>
    <w:p w14:paraId="3FA0B803" w14:textId="77777777" w:rsidR="00923E04" w:rsidRPr="00923E04" w:rsidRDefault="00923E04" w:rsidP="00923E04">
      <w:pPr>
        <w:pStyle w:val="Prrafodelista"/>
        <w:rPr>
          <w:rFonts w:ascii="Garamond" w:hAnsi="Garamond"/>
          <w:sz w:val="20"/>
          <w:szCs w:val="20"/>
          <w:lang w:val="es-MX"/>
        </w:rPr>
      </w:pPr>
    </w:p>
    <w:p w14:paraId="5E2EAC9C" w14:textId="16CF951E" w:rsidR="00923E04" w:rsidRDefault="00923E04" w:rsidP="00AE72EE">
      <w:pPr>
        <w:pStyle w:val="Prrafodelista"/>
        <w:numPr>
          <w:ilvl w:val="0"/>
          <w:numId w:val="4"/>
        </w:numPr>
        <w:spacing w:after="0" w:line="360" w:lineRule="auto"/>
        <w:ind w:left="360"/>
        <w:jc w:val="both"/>
        <w:rPr>
          <w:rFonts w:ascii="Garamond" w:hAnsi="Garamond"/>
          <w:sz w:val="20"/>
          <w:szCs w:val="20"/>
          <w:lang w:val="es-MX"/>
        </w:rPr>
      </w:pPr>
      <w:r>
        <w:rPr>
          <w:rFonts w:ascii="Garamond" w:hAnsi="Garamond"/>
          <w:sz w:val="20"/>
          <w:szCs w:val="20"/>
          <w:lang w:val="es-MX"/>
        </w:rPr>
        <w:t>En el caso de los hogares familiar compuesto en el estrato 1 son el 1,</w:t>
      </w:r>
      <w:r w:rsidR="00382DD3">
        <w:rPr>
          <w:rFonts w:ascii="Garamond" w:hAnsi="Garamond"/>
          <w:sz w:val="20"/>
          <w:szCs w:val="20"/>
          <w:lang w:val="es-MX"/>
        </w:rPr>
        <w:t>4</w:t>
      </w:r>
      <w:r>
        <w:rPr>
          <w:rFonts w:ascii="Garamond" w:hAnsi="Garamond"/>
          <w:sz w:val="20"/>
          <w:szCs w:val="20"/>
          <w:lang w:val="es-MX"/>
        </w:rPr>
        <w:t>% y en el estrato 6 el 2,</w:t>
      </w:r>
      <w:r w:rsidR="00382DD3">
        <w:rPr>
          <w:rFonts w:ascii="Garamond" w:hAnsi="Garamond"/>
          <w:sz w:val="20"/>
          <w:szCs w:val="20"/>
          <w:lang w:val="es-MX"/>
        </w:rPr>
        <w:t>7</w:t>
      </w:r>
      <w:r>
        <w:rPr>
          <w:rFonts w:ascii="Garamond" w:hAnsi="Garamond"/>
          <w:sz w:val="20"/>
          <w:szCs w:val="20"/>
          <w:lang w:val="es-MX"/>
        </w:rPr>
        <w:t>%.</w:t>
      </w:r>
    </w:p>
    <w:p w14:paraId="7D83DAE7" w14:textId="77777777" w:rsidR="00923E04" w:rsidRPr="00923E04" w:rsidRDefault="00923E04" w:rsidP="00923E04">
      <w:pPr>
        <w:pStyle w:val="Prrafodelista"/>
        <w:rPr>
          <w:rFonts w:ascii="Garamond" w:hAnsi="Garamond"/>
          <w:sz w:val="20"/>
          <w:szCs w:val="20"/>
          <w:lang w:val="es-MX"/>
        </w:rPr>
      </w:pPr>
    </w:p>
    <w:p w14:paraId="39593B95" w14:textId="422CE1F4" w:rsidR="00037228" w:rsidRDefault="00923E04" w:rsidP="00AE72EE">
      <w:pPr>
        <w:pStyle w:val="Prrafodelista"/>
        <w:numPr>
          <w:ilvl w:val="0"/>
          <w:numId w:val="4"/>
        </w:numPr>
        <w:spacing w:after="0" w:line="360" w:lineRule="auto"/>
        <w:ind w:left="360"/>
        <w:jc w:val="both"/>
        <w:rPr>
          <w:rFonts w:ascii="Garamond" w:hAnsi="Garamond"/>
          <w:sz w:val="20"/>
          <w:szCs w:val="20"/>
          <w:lang w:val="es-MX"/>
        </w:rPr>
      </w:pPr>
      <w:r>
        <w:rPr>
          <w:rFonts w:ascii="Garamond" w:hAnsi="Garamond"/>
          <w:sz w:val="20"/>
          <w:szCs w:val="20"/>
          <w:lang w:val="es-MX"/>
        </w:rPr>
        <w:t xml:space="preserve">En cuanto a. las localidades se destaca que la tipología familiar de los hogares que es más frecuente es la de los hogares familiares nuclear con hijos, teniendo los porcentajes más altos en 17 de las 20 localidades de la ciudad. </w:t>
      </w:r>
      <w:r w:rsidR="00382DD3">
        <w:rPr>
          <w:rFonts w:ascii="Garamond" w:hAnsi="Garamond"/>
          <w:sz w:val="20"/>
          <w:szCs w:val="20"/>
          <w:lang w:val="es-MX"/>
        </w:rPr>
        <w:t>Específicamente</w:t>
      </w:r>
      <w:r w:rsidR="00037228">
        <w:rPr>
          <w:rFonts w:ascii="Garamond" w:hAnsi="Garamond"/>
          <w:sz w:val="20"/>
          <w:szCs w:val="20"/>
          <w:lang w:val="es-MX"/>
        </w:rPr>
        <w:t xml:space="preserve"> el porcentaje más alto</w:t>
      </w:r>
      <w:r>
        <w:rPr>
          <w:rFonts w:ascii="Garamond" w:hAnsi="Garamond"/>
          <w:sz w:val="20"/>
          <w:szCs w:val="20"/>
          <w:lang w:val="es-MX"/>
        </w:rPr>
        <w:t xml:space="preserve"> </w:t>
      </w:r>
      <w:r w:rsidR="00382DD3">
        <w:rPr>
          <w:rFonts w:ascii="Garamond" w:hAnsi="Garamond"/>
          <w:sz w:val="20"/>
          <w:szCs w:val="20"/>
          <w:lang w:val="es-MX"/>
        </w:rPr>
        <w:t xml:space="preserve">se registra </w:t>
      </w:r>
      <w:r>
        <w:rPr>
          <w:rFonts w:ascii="Garamond" w:hAnsi="Garamond"/>
          <w:sz w:val="20"/>
          <w:szCs w:val="20"/>
          <w:lang w:val="es-MX"/>
        </w:rPr>
        <w:t>en Bosa</w:t>
      </w:r>
      <w:r w:rsidR="00037228">
        <w:rPr>
          <w:rFonts w:ascii="Garamond" w:hAnsi="Garamond"/>
          <w:sz w:val="20"/>
          <w:szCs w:val="20"/>
          <w:lang w:val="es-MX"/>
        </w:rPr>
        <w:t xml:space="preserve"> (4</w:t>
      </w:r>
      <w:r w:rsidR="00382DD3">
        <w:rPr>
          <w:rFonts w:ascii="Garamond" w:hAnsi="Garamond"/>
          <w:sz w:val="20"/>
          <w:szCs w:val="20"/>
          <w:lang w:val="es-MX"/>
        </w:rPr>
        <w:t>6,14</w:t>
      </w:r>
      <w:r w:rsidR="00037228">
        <w:rPr>
          <w:rFonts w:ascii="Garamond" w:hAnsi="Garamond"/>
          <w:sz w:val="20"/>
          <w:szCs w:val="20"/>
          <w:lang w:val="es-MX"/>
        </w:rPr>
        <w:t>%)</w:t>
      </w:r>
      <w:r>
        <w:rPr>
          <w:rFonts w:ascii="Garamond" w:hAnsi="Garamond"/>
          <w:sz w:val="20"/>
          <w:szCs w:val="20"/>
          <w:lang w:val="es-MX"/>
        </w:rPr>
        <w:t xml:space="preserve"> y el </w:t>
      </w:r>
      <w:r w:rsidR="00037228">
        <w:rPr>
          <w:rFonts w:ascii="Garamond" w:hAnsi="Garamond"/>
          <w:sz w:val="20"/>
          <w:szCs w:val="20"/>
          <w:lang w:val="es-MX"/>
        </w:rPr>
        <w:t>más bajo en Chapinero (20,</w:t>
      </w:r>
      <w:r w:rsidR="00382DD3">
        <w:rPr>
          <w:rFonts w:ascii="Garamond" w:hAnsi="Garamond"/>
          <w:sz w:val="20"/>
          <w:szCs w:val="20"/>
          <w:lang w:val="es-MX"/>
        </w:rPr>
        <w:t>57</w:t>
      </w:r>
      <w:r w:rsidR="00037228">
        <w:rPr>
          <w:rFonts w:ascii="Garamond" w:hAnsi="Garamond"/>
          <w:sz w:val="20"/>
          <w:szCs w:val="20"/>
          <w:lang w:val="es-MX"/>
        </w:rPr>
        <w:t>%)</w:t>
      </w:r>
      <w:r>
        <w:rPr>
          <w:rFonts w:ascii="Garamond" w:hAnsi="Garamond"/>
          <w:sz w:val="20"/>
          <w:szCs w:val="20"/>
          <w:lang w:val="es-MX"/>
        </w:rPr>
        <w:t xml:space="preserve">. </w:t>
      </w:r>
    </w:p>
    <w:p w14:paraId="2F4F8451" w14:textId="77777777" w:rsidR="00037228" w:rsidRPr="00037228" w:rsidRDefault="00037228" w:rsidP="00037228">
      <w:pPr>
        <w:pStyle w:val="Prrafodelista"/>
        <w:rPr>
          <w:rFonts w:ascii="Garamond" w:hAnsi="Garamond"/>
          <w:sz w:val="20"/>
          <w:szCs w:val="20"/>
          <w:lang w:val="es-MX"/>
        </w:rPr>
      </w:pPr>
    </w:p>
    <w:p w14:paraId="7A4D2B52" w14:textId="090CC935" w:rsidR="00923E04" w:rsidRDefault="00037228" w:rsidP="00AE72EE">
      <w:pPr>
        <w:pStyle w:val="Prrafodelista"/>
        <w:numPr>
          <w:ilvl w:val="0"/>
          <w:numId w:val="4"/>
        </w:numPr>
        <w:spacing w:after="0" w:line="360" w:lineRule="auto"/>
        <w:ind w:left="360"/>
        <w:jc w:val="both"/>
        <w:rPr>
          <w:rFonts w:ascii="Garamond" w:hAnsi="Garamond"/>
          <w:sz w:val="20"/>
          <w:szCs w:val="20"/>
          <w:lang w:val="es-MX"/>
        </w:rPr>
      </w:pPr>
      <w:r>
        <w:rPr>
          <w:rFonts w:ascii="Garamond" w:hAnsi="Garamond"/>
          <w:sz w:val="20"/>
          <w:szCs w:val="20"/>
          <w:lang w:val="es-MX"/>
        </w:rPr>
        <w:t>Para las</w:t>
      </w:r>
      <w:r w:rsidR="00923E04">
        <w:rPr>
          <w:rFonts w:ascii="Garamond" w:hAnsi="Garamond"/>
          <w:sz w:val="20"/>
          <w:szCs w:val="20"/>
          <w:lang w:val="es-MX"/>
        </w:rPr>
        <w:t xml:space="preserve"> localidades de </w:t>
      </w:r>
      <w:r>
        <w:rPr>
          <w:rFonts w:ascii="Garamond" w:hAnsi="Garamond"/>
          <w:sz w:val="20"/>
          <w:szCs w:val="20"/>
          <w:lang w:val="es-MX"/>
        </w:rPr>
        <w:t xml:space="preserve">Chapinero, </w:t>
      </w:r>
      <w:r w:rsidR="00923E04">
        <w:rPr>
          <w:rFonts w:ascii="Garamond" w:hAnsi="Garamond"/>
          <w:sz w:val="20"/>
          <w:szCs w:val="20"/>
          <w:lang w:val="es-MX"/>
        </w:rPr>
        <w:t xml:space="preserve">Candelaria </w:t>
      </w:r>
      <w:r>
        <w:rPr>
          <w:rFonts w:ascii="Garamond" w:hAnsi="Garamond"/>
          <w:sz w:val="20"/>
          <w:szCs w:val="20"/>
          <w:lang w:val="es-MX"/>
        </w:rPr>
        <w:t xml:space="preserve">y Santa Fe </w:t>
      </w:r>
      <w:r w:rsidR="00923E04">
        <w:rPr>
          <w:rFonts w:ascii="Garamond" w:hAnsi="Garamond"/>
          <w:sz w:val="20"/>
          <w:szCs w:val="20"/>
          <w:lang w:val="es-MX"/>
        </w:rPr>
        <w:t xml:space="preserve">los hogares unipersonales </w:t>
      </w:r>
      <w:r>
        <w:rPr>
          <w:rFonts w:ascii="Garamond" w:hAnsi="Garamond"/>
          <w:sz w:val="20"/>
          <w:szCs w:val="20"/>
          <w:lang w:val="es-MX"/>
        </w:rPr>
        <w:t>son</w:t>
      </w:r>
      <w:r w:rsidR="00923E04">
        <w:rPr>
          <w:rFonts w:ascii="Garamond" w:hAnsi="Garamond"/>
          <w:sz w:val="20"/>
          <w:szCs w:val="20"/>
          <w:lang w:val="es-MX"/>
        </w:rPr>
        <w:t xml:space="preserve"> los más frecuentes</w:t>
      </w:r>
      <w:r>
        <w:rPr>
          <w:rFonts w:ascii="Garamond" w:hAnsi="Garamond"/>
          <w:sz w:val="20"/>
          <w:szCs w:val="20"/>
          <w:lang w:val="es-MX"/>
        </w:rPr>
        <w:t>, alcanzando a ser el 41,62%, 39,58% y 32,72% respectivamente.</w:t>
      </w:r>
    </w:p>
    <w:p w14:paraId="0643C787" w14:textId="77777777" w:rsidR="00631BE0" w:rsidRPr="00631BE0" w:rsidRDefault="00631BE0" w:rsidP="00631BE0">
      <w:pPr>
        <w:pStyle w:val="Prrafodelista"/>
        <w:rPr>
          <w:rFonts w:ascii="Garamond" w:hAnsi="Garamond"/>
          <w:sz w:val="20"/>
          <w:szCs w:val="20"/>
          <w:lang w:val="es-MX"/>
        </w:rPr>
      </w:pPr>
    </w:p>
    <w:p w14:paraId="4A8FB5F1" w14:textId="0CD40BDA" w:rsidR="00631BE0" w:rsidRDefault="00631BE0" w:rsidP="00AE72EE">
      <w:pPr>
        <w:pStyle w:val="Prrafodelista"/>
        <w:numPr>
          <w:ilvl w:val="0"/>
          <w:numId w:val="4"/>
        </w:numPr>
        <w:spacing w:after="0" w:line="360" w:lineRule="auto"/>
        <w:ind w:left="360"/>
        <w:jc w:val="both"/>
        <w:rPr>
          <w:rFonts w:ascii="Garamond" w:hAnsi="Garamond"/>
          <w:sz w:val="20"/>
          <w:szCs w:val="20"/>
          <w:lang w:val="es-MX"/>
        </w:rPr>
      </w:pPr>
      <w:r>
        <w:rPr>
          <w:rFonts w:ascii="Garamond" w:hAnsi="Garamond"/>
          <w:sz w:val="20"/>
          <w:szCs w:val="20"/>
          <w:lang w:val="es-MX"/>
        </w:rPr>
        <w:t>Así mismo en Bosa el porcentaje de hogares unipersonales es el más bajo en las localidades, el cual es de tan sólo el 8,74% de los hogares.</w:t>
      </w:r>
    </w:p>
    <w:p w14:paraId="0842F767" w14:textId="77777777" w:rsidR="00631BE0" w:rsidRPr="00631BE0" w:rsidRDefault="00631BE0" w:rsidP="00631BE0">
      <w:pPr>
        <w:pStyle w:val="Prrafodelista"/>
        <w:rPr>
          <w:rFonts w:ascii="Garamond" w:hAnsi="Garamond"/>
          <w:sz w:val="20"/>
          <w:szCs w:val="20"/>
          <w:lang w:val="es-MX"/>
        </w:rPr>
      </w:pPr>
    </w:p>
    <w:p w14:paraId="3DD750C9" w14:textId="7BF73F59" w:rsidR="00631BE0" w:rsidRDefault="00631BE0" w:rsidP="00AE72EE">
      <w:pPr>
        <w:pStyle w:val="Prrafodelista"/>
        <w:numPr>
          <w:ilvl w:val="0"/>
          <w:numId w:val="4"/>
        </w:numPr>
        <w:spacing w:after="0" w:line="360" w:lineRule="auto"/>
        <w:ind w:left="360"/>
        <w:jc w:val="both"/>
        <w:rPr>
          <w:rFonts w:ascii="Garamond" w:hAnsi="Garamond"/>
          <w:sz w:val="20"/>
          <w:szCs w:val="20"/>
          <w:lang w:val="es-MX"/>
        </w:rPr>
      </w:pPr>
      <w:r>
        <w:rPr>
          <w:rFonts w:ascii="Garamond" w:hAnsi="Garamond"/>
          <w:sz w:val="20"/>
          <w:szCs w:val="20"/>
          <w:lang w:val="es-MX"/>
        </w:rPr>
        <w:t>Por su parte los hogares familiar extenso tiene el porcentaje más alto en la localidad de Usme (1</w:t>
      </w:r>
      <w:r w:rsidR="00406623">
        <w:rPr>
          <w:rFonts w:ascii="Garamond" w:hAnsi="Garamond"/>
          <w:sz w:val="20"/>
          <w:szCs w:val="20"/>
          <w:lang w:val="es-MX"/>
        </w:rPr>
        <w:t>7,9</w:t>
      </w:r>
      <w:r>
        <w:rPr>
          <w:rFonts w:ascii="Garamond" w:hAnsi="Garamond"/>
          <w:sz w:val="20"/>
          <w:szCs w:val="20"/>
          <w:lang w:val="es-MX"/>
        </w:rPr>
        <w:t>%) y el más bajo en Chapinero (4,</w:t>
      </w:r>
      <w:r w:rsidR="00406623">
        <w:rPr>
          <w:rFonts w:ascii="Garamond" w:hAnsi="Garamond"/>
          <w:sz w:val="20"/>
          <w:szCs w:val="20"/>
          <w:lang w:val="es-MX"/>
        </w:rPr>
        <w:t>7</w:t>
      </w:r>
      <w:r>
        <w:rPr>
          <w:rFonts w:ascii="Garamond" w:hAnsi="Garamond"/>
          <w:sz w:val="20"/>
          <w:szCs w:val="20"/>
          <w:lang w:val="es-MX"/>
        </w:rPr>
        <w:t>%).</w:t>
      </w:r>
    </w:p>
    <w:p w14:paraId="1880C497" w14:textId="77777777" w:rsidR="00631BE0" w:rsidRPr="00631BE0" w:rsidRDefault="00631BE0" w:rsidP="00631BE0">
      <w:pPr>
        <w:pStyle w:val="Prrafodelista"/>
        <w:rPr>
          <w:rFonts w:ascii="Garamond" w:hAnsi="Garamond"/>
          <w:sz w:val="20"/>
          <w:szCs w:val="20"/>
          <w:lang w:val="es-MX"/>
        </w:rPr>
      </w:pPr>
    </w:p>
    <w:p w14:paraId="10188A5D" w14:textId="4337AC70" w:rsidR="00631BE0" w:rsidRDefault="00631BE0" w:rsidP="00AE72EE">
      <w:pPr>
        <w:pStyle w:val="Prrafodelista"/>
        <w:numPr>
          <w:ilvl w:val="0"/>
          <w:numId w:val="4"/>
        </w:numPr>
        <w:spacing w:after="0" w:line="360" w:lineRule="auto"/>
        <w:ind w:left="360"/>
        <w:jc w:val="both"/>
        <w:rPr>
          <w:rFonts w:ascii="Garamond" w:hAnsi="Garamond"/>
          <w:sz w:val="20"/>
          <w:szCs w:val="20"/>
          <w:lang w:val="es-MX"/>
        </w:rPr>
      </w:pPr>
      <w:r>
        <w:rPr>
          <w:rFonts w:ascii="Garamond" w:hAnsi="Garamond"/>
          <w:sz w:val="20"/>
          <w:szCs w:val="20"/>
          <w:lang w:val="es-MX"/>
        </w:rPr>
        <w:t>En cuanto a los hogares de tipo familiar nuclear monoparental con hijos alcanzan a ser el 16,</w:t>
      </w:r>
      <w:r w:rsidR="00406623">
        <w:rPr>
          <w:rFonts w:ascii="Garamond" w:hAnsi="Garamond"/>
          <w:sz w:val="20"/>
          <w:szCs w:val="20"/>
          <w:lang w:val="es-MX"/>
        </w:rPr>
        <w:t>6</w:t>
      </w:r>
      <w:r>
        <w:rPr>
          <w:rFonts w:ascii="Garamond" w:hAnsi="Garamond"/>
          <w:sz w:val="20"/>
          <w:szCs w:val="20"/>
          <w:lang w:val="es-MX"/>
        </w:rPr>
        <w:t xml:space="preserve">% </w:t>
      </w:r>
      <w:r>
        <w:rPr>
          <w:rFonts w:ascii="Garamond" w:hAnsi="Garamond"/>
          <w:sz w:val="20"/>
          <w:szCs w:val="20"/>
          <w:lang w:val="es-MX"/>
        </w:rPr>
        <w:lastRenderedPageBreak/>
        <w:t>en Tunjuelito y decaen hasta el 8,</w:t>
      </w:r>
      <w:r w:rsidR="00406623">
        <w:rPr>
          <w:rFonts w:ascii="Garamond" w:hAnsi="Garamond"/>
          <w:sz w:val="20"/>
          <w:szCs w:val="20"/>
          <w:lang w:val="es-MX"/>
        </w:rPr>
        <w:t>5</w:t>
      </w:r>
      <w:r>
        <w:rPr>
          <w:rFonts w:ascii="Garamond" w:hAnsi="Garamond"/>
          <w:sz w:val="20"/>
          <w:szCs w:val="20"/>
          <w:lang w:val="es-MX"/>
        </w:rPr>
        <w:t>% en Sumapaz.</w:t>
      </w:r>
    </w:p>
    <w:p w14:paraId="3F8EC9F5" w14:textId="77777777" w:rsidR="00631BE0" w:rsidRPr="00631BE0" w:rsidRDefault="00631BE0" w:rsidP="00631BE0">
      <w:pPr>
        <w:pStyle w:val="Prrafodelista"/>
        <w:rPr>
          <w:rFonts w:ascii="Garamond" w:hAnsi="Garamond"/>
          <w:sz w:val="20"/>
          <w:szCs w:val="20"/>
          <w:lang w:val="es-MX"/>
        </w:rPr>
      </w:pPr>
    </w:p>
    <w:p w14:paraId="66F8A5E6" w14:textId="63036088" w:rsidR="00BC30CA" w:rsidRDefault="00631BE0" w:rsidP="00AE72EE">
      <w:pPr>
        <w:pStyle w:val="Prrafodelista"/>
        <w:numPr>
          <w:ilvl w:val="0"/>
          <w:numId w:val="4"/>
        </w:numPr>
        <w:spacing w:after="0" w:line="360" w:lineRule="auto"/>
        <w:ind w:left="360"/>
        <w:jc w:val="both"/>
        <w:rPr>
          <w:rFonts w:ascii="Garamond" w:hAnsi="Garamond"/>
          <w:sz w:val="20"/>
          <w:szCs w:val="20"/>
          <w:lang w:val="es-MX"/>
        </w:rPr>
      </w:pPr>
      <w:r>
        <w:rPr>
          <w:rFonts w:ascii="Garamond" w:hAnsi="Garamond"/>
          <w:sz w:val="20"/>
          <w:szCs w:val="20"/>
          <w:lang w:val="es-MX"/>
        </w:rPr>
        <w:t>Para el caso de los hogares nuclear sin hijos son el 9,</w:t>
      </w:r>
      <w:r w:rsidR="00406623">
        <w:rPr>
          <w:rFonts w:ascii="Garamond" w:hAnsi="Garamond"/>
          <w:sz w:val="20"/>
          <w:szCs w:val="20"/>
          <w:lang w:val="es-MX"/>
        </w:rPr>
        <w:t>2</w:t>
      </w:r>
      <w:r>
        <w:rPr>
          <w:rFonts w:ascii="Garamond" w:hAnsi="Garamond"/>
          <w:sz w:val="20"/>
          <w:szCs w:val="20"/>
          <w:lang w:val="es-MX"/>
        </w:rPr>
        <w:t>% en Usme y llegan a ser el 15,9% en Teusaquillo.</w:t>
      </w:r>
    </w:p>
    <w:p w14:paraId="6C015007" w14:textId="77777777" w:rsidR="00BC30CA" w:rsidRPr="00BC30CA" w:rsidRDefault="00BC30CA" w:rsidP="00BC30CA">
      <w:pPr>
        <w:pStyle w:val="Prrafodelista"/>
        <w:rPr>
          <w:rFonts w:ascii="Garamond" w:hAnsi="Garamond"/>
          <w:sz w:val="20"/>
          <w:szCs w:val="20"/>
          <w:lang w:val="es-MX"/>
        </w:rPr>
      </w:pPr>
    </w:p>
    <w:p w14:paraId="7077D0B6" w14:textId="221F40B8" w:rsidR="00631BE0" w:rsidRDefault="00BC30CA" w:rsidP="00AE72EE">
      <w:pPr>
        <w:pStyle w:val="Prrafodelista"/>
        <w:numPr>
          <w:ilvl w:val="0"/>
          <w:numId w:val="4"/>
        </w:numPr>
        <w:spacing w:after="0" w:line="360" w:lineRule="auto"/>
        <w:ind w:left="360"/>
        <w:jc w:val="both"/>
        <w:rPr>
          <w:rFonts w:ascii="Garamond" w:hAnsi="Garamond"/>
          <w:sz w:val="20"/>
          <w:szCs w:val="20"/>
          <w:lang w:val="es-MX"/>
        </w:rPr>
      </w:pPr>
      <w:r>
        <w:rPr>
          <w:rFonts w:ascii="Garamond" w:hAnsi="Garamond"/>
          <w:sz w:val="20"/>
          <w:szCs w:val="20"/>
          <w:lang w:val="es-MX"/>
        </w:rPr>
        <w:t>Los hogares familiar sin núcleo, por su parte llegan a tener el mayor porcentaje en la localidad de Barrios Unidos (6,1%) y el más bajo en Ciudad Bolívar (2,</w:t>
      </w:r>
      <w:r w:rsidR="00406623">
        <w:rPr>
          <w:rFonts w:ascii="Garamond" w:hAnsi="Garamond"/>
          <w:sz w:val="20"/>
          <w:szCs w:val="20"/>
          <w:lang w:val="es-MX"/>
        </w:rPr>
        <w:t>6</w:t>
      </w:r>
      <w:r>
        <w:rPr>
          <w:rFonts w:ascii="Garamond" w:hAnsi="Garamond"/>
          <w:sz w:val="20"/>
          <w:szCs w:val="20"/>
          <w:lang w:val="es-MX"/>
        </w:rPr>
        <w:t>%).</w:t>
      </w:r>
    </w:p>
    <w:p w14:paraId="55617058" w14:textId="77777777" w:rsidR="00BC30CA" w:rsidRPr="00BC30CA" w:rsidRDefault="00BC30CA" w:rsidP="00BC30CA">
      <w:pPr>
        <w:pStyle w:val="Prrafodelista"/>
        <w:rPr>
          <w:rFonts w:ascii="Garamond" w:hAnsi="Garamond"/>
          <w:sz w:val="20"/>
          <w:szCs w:val="20"/>
          <w:lang w:val="es-MX"/>
        </w:rPr>
      </w:pPr>
    </w:p>
    <w:p w14:paraId="6C355742" w14:textId="686F2F46" w:rsidR="00BC30CA" w:rsidRDefault="00BC30CA" w:rsidP="00AE72EE">
      <w:pPr>
        <w:pStyle w:val="Prrafodelista"/>
        <w:numPr>
          <w:ilvl w:val="0"/>
          <w:numId w:val="4"/>
        </w:numPr>
        <w:spacing w:after="0" w:line="360" w:lineRule="auto"/>
        <w:ind w:left="360"/>
        <w:jc w:val="both"/>
        <w:rPr>
          <w:rFonts w:ascii="Garamond" w:hAnsi="Garamond"/>
          <w:sz w:val="20"/>
          <w:szCs w:val="20"/>
          <w:lang w:val="es-MX"/>
        </w:rPr>
      </w:pPr>
      <w:r>
        <w:rPr>
          <w:rFonts w:ascii="Garamond" w:hAnsi="Garamond"/>
          <w:sz w:val="20"/>
          <w:szCs w:val="20"/>
          <w:lang w:val="es-MX"/>
        </w:rPr>
        <w:t>Frente al hogar familiar compuesto por localidades tiene el menor porcentaje en Tunjuelito (0,</w:t>
      </w:r>
      <w:r w:rsidR="00406623">
        <w:rPr>
          <w:rFonts w:ascii="Garamond" w:hAnsi="Garamond"/>
          <w:sz w:val="20"/>
          <w:szCs w:val="20"/>
          <w:lang w:val="es-MX"/>
        </w:rPr>
        <w:t>4</w:t>
      </w:r>
      <w:r>
        <w:rPr>
          <w:rFonts w:ascii="Garamond" w:hAnsi="Garamond"/>
          <w:sz w:val="20"/>
          <w:szCs w:val="20"/>
          <w:lang w:val="es-MX"/>
        </w:rPr>
        <w:t>%) y el mayor en Antonio Nariño (2,</w:t>
      </w:r>
      <w:r w:rsidR="00406623">
        <w:rPr>
          <w:rFonts w:ascii="Garamond" w:hAnsi="Garamond"/>
          <w:sz w:val="20"/>
          <w:szCs w:val="20"/>
          <w:lang w:val="es-MX"/>
        </w:rPr>
        <w:t>2</w:t>
      </w:r>
      <w:r>
        <w:rPr>
          <w:rFonts w:ascii="Garamond" w:hAnsi="Garamond"/>
          <w:sz w:val="20"/>
          <w:szCs w:val="20"/>
          <w:lang w:val="es-MX"/>
        </w:rPr>
        <w:t>%).</w:t>
      </w:r>
    </w:p>
    <w:p w14:paraId="6398E059" w14:textId="77777777" w:rsidR="00276466" w:rsidRPr="00276466" w:rsidRDefault="00276466" w:rsidP="00276466">
      <w:pPr>
        <w:pStyle w:val="Prrafodelista"/>
        <w:rPr>
          <w:rFonts w:ascii="Garamond" w:hAnsi="Garamond"/>
          <w:sz w:val="20"/>
          <w:szCs w:val="20"/>
          <w:lang w:val="es-MX"/>
        </w:rPr>
      </w:pPr>
    </w:p>
    <w:p w14:paraId="20DD447B" w14:textId="4926DD9C" w:rsidR="00276466" w:rsidRDefault="00276466" w:rsidP="00AE72EE">
      <w:pPr>
        <w:pStyle w:val="Prrafodelista"/>
        <w:numPr>
          <w:ilvl w:val="0"/>
          <w:numId w:val="4"/>
        </w:numPr>
        <w:spacing w:after="0" w:line="360" w:lineRule="auto"/>
        <w:ind w:left="360"/>
        <w:jc w:val="both"/>
        <w:rPr>
          <w:rFonts w:ascii="Garamond" w:hAnsi="Garamond"/>
          <w:sz w:val="20"/>
          <w:szCs w:val="20"/>
          <w:lang w:val="es-MX"/>
        </w:rPr>
      </w:pPr>
      <w:r>
        <w:rPr>
          <w:rFonts w:ascii="Garamond" w:hAnsi="Garamond"/>
          <w:sz w:val="20"/>
          <w:szCs w:val="20"/>
          <w:lang w:val="es-MX"/>
        </w:rPr>
        <w:t>Finalmente, para el caso de los hogares No familiar sin núcleo, son los menos frecuentes en 1</w:t>
      </w:r>
      <w:r w:rsidR="00406623">
        <w:rPr>
          <w:rFonts w:ascii="Garamond" w:hAnsi="Garamond"/>
          <w:sz w:val="20"/>
          <w:szCs w:val="20"/>
          <w:lang w:val="es-MX"/>
        </w:rPr>
        <w:t xml:space="preserve">5 </w:t>
      </w:r>
      <w:r>
        <w:rPr>
          <w:rFonts w:ascii="Garamond" w:hAnsi="Garamond"/>
          <w:sz w:val="20"/>
          <w:szCs w:val="20"/>
          <w:lang w:val="es-MX"/>
        </w:rPr>
        <w:t>de las 20 localidades, con porcentajes que van desde el 2,1% en Chapinero hasta el 0,3% en Rafael Uribe Uribe.</w:t>
      </w:r>
    </w:p>
    <w:p w14:paraId="01B78FCF" w14:textId="77777777" w:rsidR="00923E04" w:rsidRPr="00923E04" w:rsidRDefault="00923E04" w:rsidP="00923E04">
      <w:pPr>
        <w:pStyle w:val="Prrafodelista"/>
        <w:rPr>
          <w:rFonts w:ascii="Garamond" w:hAnsi="Garamond"/>
          <w:sz w:val="20"/>
          <w:szCs w:val="20"/>
          <w:lang w:val="es-MX"/>
        </w:rPr>
      </w:pPr>
    </w:p>
    <w:p w14:paraId="368295F8" w14:textId="39D99FE8" w:rsidR="00CD6133" w:rsidRPr="00CD6133" w:rsidRDefault="00CD6133" w:rsidP="00CD6133">
      <w:pPr>
        <w:rPr>
          <w:lang w:val="es-MX"/>
        </w:rPr>
      </w:pPr>
    </w:p>
    <w:p w14:paraId="7A761DA5" w14:textId="205C3057" w:rsidR="00B954C4" w:rsidRDefault="00B954C4" w:rsidP="007E52B2">
      <w:pPr>
        <w:spacing w:line="360" w:lineRule="auto"/>
        <w:jc w:val="both"/>
        <w:rPr>
          <w:rFonts w:ascii="Garamond" w:hAnsi="Garamond"/>
          <w:sz w:val="20"/>
          <w:lang w:val="es-MX"/>
        </w:rPr>
      </w:pPr>
    </w:p>
    <w:p w14:paraId="0BB73494" w14:textId="77777777" w:rsidR="00B954C4" w:rsidRDefault="00B954C4" w:rsidP="007E52B2">
      <w:pPr>
        <w:spacing w:line="360" w:lineRule="auto"/>
        <w:jc w:val="both"/>
        <w:rPr>
          <w:rFonts w:ascii="Garamond" w:hAnsi="Garamond"/>
          <w:sz w:val="20"/>
          <w:lang w:val="es-MX"/>
        </w:rPr>
      </w:pPr>
    </w:p>
    <w:p w14:paraId="2EF366F6" w14:textId="77777777" w:rsidR="00821898" w:rsidRPr="007E52B2" w:rsidRDefault="00821898" w:rsidP="007E52B2">
      <w:pPr>
        <w:spacing w:line="360" w:lineRule="auto"/>
        <w:jc w:val="both"/>
        <w:rPr>
          <w:rFonts w:ascii="Garamond" w:hAnsi="Garamond"/>
          <w:sz w:val="20"/>
          <w:lang w:val="es-MX"/>
        </w:rPr>
      </w:pPr>
    </w:p>
    <w:sectPr w:rsidR="00821898" w:rsidRPr="007E52B2" w:rsidSect="003D381D">
      <w:pgSz w:w="12240" w:h="15840"/>
      <w:pgMar w:top="1417" w:right="1701" w:bottom="1417" w:left="1701"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5BC8D0" w14:textId="77777777" w:rsidR="0064214D" w:rsidRDefault="0064214D" w:rsidP="001A3DCB">
      <w:pPr>
        <w:spacing w:after="0" w:line="240" w:lineRule="auto"/>
      </w:pPr>
      <w:r>
        <w:separator/>
      </w:r>
    </w:p>
  </w:endnote>
  <w:endnote w:type="continuationSeparator" w:id="0">
    <w:p w14:paraId="4B8D489B" w14:textId="77777777" w:rsidR="0064214D" w:rsidRDefault="0064214D" w:rsidP="001A3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OpenSans-Bold">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81892" w14:textId="77777777" w:rsidR="00BF3960" w:rsidRDefault="00BF3960" w:rsidP="00914C07">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C5BDBB" w14:textId="77777777" w:rsidR="0064214D" w:rsidRDefault="0064214D" w:rsidP="001A3DCB">
      <w:pPr>
        <w:spacing w:after="0" w:line="240" w:lineRule="auto"/>
      </w:pPr>
      <w:r>
        <w:separator/>
      </w:r>
    </w:p>
  </w:footnote>
  <w:footnote w:type="continuationSeparator" w:id="0">
    <w:p w14:paraId="3D6FAD90" w14:textId="77777777" w:rsidR="0064214D" w:rsidRDefault="0064214D" w:rsidP="001A3DCB">
      <w:pPr>
        <w:spacing w:after="0" w:line="240" w:lineRule="auto"/>
      </w:pPr>
      <w:r>
        <w:continuationSeparator/>
      </w:r>
    </w:p>
  </w:footnote>
  <w:footnote w:id="1">
    <w:p w14:paraId="43FB71E0" w14:textId="6397ECAC" w:rsidR="00BF3960" w:rsidRPr="00E147F7" w:rsidRDefault="00BF3960">
      <w:pPr>
        <w:pStyle w:val="Textonotapie"/>
        <w:rPr>
          <w:rFonts w:ascii="Garamond" w:hAnsi="Garamond"/>
          <w:sz w:val="16"/>
          <w:szCs w:val="16"/>
          <w:lang w:val="es-ES"/>
        </w:rPr>
      </w:pPr>
      <w:r w:rsidRPr="00E147F7">
        <w:rPr>
          <w:rStyle w:val="Refdenotaalpie"/>
          <w:rFonts w:ascii="Garamond" w:hAnsi="Garamond"/>
          <w:szCs w:val="16"/>
        </w:rPr>
        <w:footnoteRef/>
      </w:r>
      <w:r w:rsidRPr="00E147F7">
        <w:rPr>
          <w:rFonts w:ascii="Garamond" w:hAnsi="Garamond"/>
          <w:sz w:val="16"/>
          <w:szCs w:val="16"/>
        </w:rPr>
        <w:t xml:space="preserve"> </w:t>
      </w:r>
      <w:r w:rsidRPr="00E147F7">
        <w:rPr>
          <w:rFonts w:ascii="Garamond" w:hAnsi="Garamond"/>
          <w:sz w:val="16"/>
          <w:szCs w:val="16"/>
          <w:lang w:val="es-MX"/>
        </w:rPr>
        <w:t>Para mayor información consultar: http://www.sdp.gov.co/gestion-estudios-estrategicos/estudios- macro/encuesta-multiproposito/encuesta-multiproposito-2017</w:t>
      </w:r>
    </w:p>
  </w:footnote>
  <w:footnote w:id="2">
    <w:p w14:paraId="425F7E0F" w14:textId="1E885A59" w:rsidR="00BF3960" w:rsidRPr="00154509" w:rsidRDefault="00BF3960" w:rsidP="00154509">
      <w:pPr>
        <w:pStyle w:val="Textonotapie"/>
        <w:jc w:val="both"/>
        <w:rPr>
          <w:rFonts w:ascii="Garamond" w:hAnsi="Garamond"/>
          <w:sz w:val="16"/>
          <w:szCs w:val="16"/>
        </w:rPr>
      </w:pPr>
      <w:r w:rsidRPr="00E147F7">
        <w:rPr>
          <w:rStyle w:val="Refdenotaalpie"/>
          <w:rFonts w:ascii="Garamond" w:hAnsi="Garamond"/>
          <w:szCs w:val="16"/>
        </w:rPr>
        <w:footnoteRef/>
      </w:r>
      <w:r w:rsidRPr="00E147F7">
        <w:rPr>
          <w:rFonts w:ascii="Garamond" w:hAnsi="Garamond"/>
          <w:szCs w:val="16"/>
        </w:rPr>
        <w:t xml:space="preserve"> </w:t>
      </w:r>
      <w:r>
        <w:rPr>
          <w:rFonts w:ascii="Garamond" w:hAnsi="Garamond"/>
          <w:sz w:val="16"/>
          <w:szCs w:val="16"/>
        </w:rPr>
        <w:t>“T</w:t>
      </w:r>
      <w:r w:rsidRPr="00154509">
        <w:rPr>
          <w:rFonts w:ascii="Garamond" w:hAnsi="Garamond"/>
          <w:sz w:val="16"/>
          <w:szCs w:val="16"/>
        </w:rPr>
        <w:t>ipologí</w:t>
      </w:r>
      <w:r>
        <w:rPr>
          <w:rFonts w:ascii="Garamond" w:hAnsi="Garamond"/>
          <w:sz w:val="16"/>
          <w:szCs w:val="16"/>
        </w:rPr>
        <w:t>as de familias en Colombia: Evolución 1993- 2014”, Observatorio de Familia, DNP, 2015.</w:t>
      </w:r>
    </w:p>
  </w:footnote>
  <w:footnote w:id="3">
    <w:p w14:paraId="753F5E97" w14:textId="0851EF3B" w:rsidR="00BF3960" w:rsidRPr="006E64C9" w:rsidRDefault="00BF3960" w:rsidP="00154509">
      <w:pPr>
        <w:pStyle w:val="Textonotapie"/>
        <w:jc w:val="both"/>
        <w:rPr>
          <w:rFonts w:ascii="Garamond" w:hAnsi="Garamond"/>
        </w:rPr>
      </w:pPr>
      <w:r w:rsidRPr="006E64C9">
        <w:rPr>
          <w:rStyle w:val="Refdenotaalpie"/>
          <w:rFonts w:ascii="Garamond" w:hAnsi="Garamond"/>
          <w:sz w:val="16"/>
        </w:rPr>
        <w:footnoteRef/>
      </w:r>
      <w:r w:rsidRPr="006E64C9">
        <w:rPr>
          <w:rFonts w:ascii="Garamond" w:hAnsi="Garamond"/>
          <w:sz w:val="16"/>
        </w:rPr>
        <w:t xml:space="preserve"> Ver página 34 del documento de </w:t>
      </w:r>
      <w:r w:rsidRPr="006E64C9">
        <w:rPr>
          <w:rFonts w:ascii="Garamond" w:hAnsi="Garamond"/>
          <w:sz w:val="16"/>
          <w:lang w:val="es-MX"/>
        </w:rPr>
        <w:t xml:space="preserve">Política Pública para </w:t>
      </w:r>
      <w:r>
        <w:rPr>
          <w:rFonts w:ascii="Garamond" w:hAnsi="Garamond"/>
          <w:sz w:val="16"/>
          <w:lang w:val="es-MX"/>
        </w:rPr>
        <w:t>los hogares</w:t>
      </w:r>
      <w:r w:rsidRPr="006E64C9">
        <w:rPr>
          <w:rFonts w:ascii="Garamond" w:hAnsi="Garamond"/>
          <w:sz w:val="16"/>
          <w:lang w:val="es-MX"/>
        </w:rPr>
        <w:t xml:space="preserve"> del Distrito 2011-2025, Secretaría Distrital de Integración Social.</w:t>
      </w:r>
    </w:p>
  </w:footnote>
  <w:footnote w:id="4">
    <w:p w14:paraId="140BB05B" w14:textId="77777777" w:rsidR="00BF3960" w:rsidRPr="00CB0D3A" w:rsidRDefault="00BF3960" w:rsidP="00CB0D3A">
      <w:pPr>
        <w:pStyle w:val="Textonotapie"/>
        <w:jc w:val="both"/>
        <w:rPr>
          <w:rFonts w:ascii="Garamond" w:hAnsi="Garamond"/>
          <w:sz w:val="16"/>
          <w:szCs w:val="16"/>
          <w:lang w:val="es-MX"/>
        </w:rPr>
      </w:pPr>
      <w:r w:rsidRPr="00C93723">
        <w:rPr>
          <w:rStyle w:val="Refdenotaalpie"/>
          <w:rFonts w:ascii="Garamond" w:hAnsi="Garamond"/>
        </w:rPr>
        <w:footnoteRef/>
      </w:r>
      <w:r w:rsidRPr="006548B1">
        <w:rPr>
          <w:rFonts w:ascii="Garamond" w:hAnsi="Garamond"/>
          <w:sz w:val="18"/>
        </w:rPr>
        <w:t xml:space="preserve"> </w:t>
      </w:r>
      <w:r w:rsidRPr="00C93723">
        <w:rPr>
          <w:rFonts w:ascii="Garamond" w:hAnsi="Garamond"/>
          <w:sz w:val="16"/>
          <w:szCs w:val="16"/>
          <w:lang w:val="es-MX"/>
        </w:rPr>
        <w:t>Ver Página 10 “Tipologías de familias en Colombia: Evolución 1993-2014”, DNP, 2015.</w:t>
      </w:r>
    </w:p>
  </w:footnote>
  <w:footnote w:id="5">
    <w:p w14:paraId="205CD9B6" w14:textId="68396D50" w:rsidR="00BF3960" w:rsidRPr="00CB0D3A" w:rsidRDefault="00BF3960" w:rsidP="00CB0D3A">
      <w:pPr>
        <w:pStyle w:val="Textonotapie"/>
        <w:jc w:val="both"/>
        <w:rPr>
          <w:rFonts w:ascii="Garamond" w:hAnsi="Garamond"/>
          <w:sz w:val="16"/>
          <w:szCs w:val="16"/>
          <w:lang w:val="es-MX"/>
        </w:rPr>
      </w:pPr>
      <w:r w:rsidRPr="00C93723">
        <w:rPr>
          <w:rStyle w:val="Refdenotaalpie"/>
          <w:rFonts w:ascii="Garamond" w:hAnsi="Garamond"/>
          <w:szCs w:val="16"/>
        </w:rPr>
        <w:footnoteRef/>
      </w:r>
      <w:r w:rsidRPr="00C93723">
        <w:rPr>
          <w:rFonts w:ascii="Garamond" w:hAnsi="Garamond"/>
          <w:szCs w:val="16"/>
        </w:rPr>
        <w:t xml:space="preserve"> </w:t>
      </w:r>
      <w:r w:rsidRPr="00CB0D3A">
        <w:rPr>
          <w:rFonts w:ascii="Garamond" w:hAnsi="Garamond"/>
          <w:sz w:val="16"/>
          <w:szCs w:val="16"/>
          <w:lang w:val="es-MX"/>
        </w:rPr>
        <w:t>Para el caso en que el jefe del hogar viva con sus padres o uno de ellos, es un hogar nuclear a pesar de que el núcleo lo conforman sus padres.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847C4"/>
    <w:multiLevelType w:val="hybridMultilevel"/>
    <w:tmpl w:val="B8869A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A6E1197"/>
    <w:multiLevelType w:val="hybridMultilevel"/>
    <w:tmpl w:val="088A12C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592361CB"/>
    <w:multiLevelType w:val="hybridMultilevel"/>
    <w:tmpl w:val="FBFC97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66CE4018"/>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F78"/>
    <w:rsid w:val="00002DA8"/>
    <w:rsid w:val="0001246A"/>
    <w:rsid w:val="000168F3"/>
    <w:rsid w:val="0002735F"/>
    <w:rsid w:val="000308F4"/>
    <w:rsid w:val="00034E41"/>
    <w:rsid w:val="00034FD0"/>
    <w:rsid w:val="00036DFF"/>
    <w:rsid w:val="00037228"/>
    <w:rsid w:val="00046C6C"/>
    <w:rsid w:val="00051A01"/>
    <w:rsid w:val="00051DBA"/>
    <w:rsid w:val="00057106"/>
    <w:rsid w:val="000879F1"/>
    <w:rsid w:val="000951F6"/>
    <w:rsid w:val="000A1067"/>
    <w:rsid w:val="000A6AC7"/>
    <w:rsid w:val="000C622B"/>
    <w:rsid w:val="000C6417"/>
    <w:rsid w:val="000D7F6D"/>
    <w:rsid w:val="000E3BB4"/>
    <w:rsid w:val="000F0BB4"/>
    <w:rsid w:val="001107A7"/>
    <w:rsid w:val="00126367"/>
    <w:rsid w:val="00130368"/>
    <w:rsid w:val="00130F60"/>
    <w:rsid w:val="00134382"/>
    <w:rsid w:val="001406A8"/>
    <w:rsid w:val="00142045"/>
    <w:rsid w:val="00151381"/>
    <w:rsid w:val="00154509"/>
    <w:rsid w:val="001558DF"/>
    <w:rsid w:val="001602FA"/>
    <w:rsid w:val="00165255"/>
    <w:rsid w:val="00170286"/>
    <w:rsid w:val="00180FAD"/>
    <w:rsid w:val="00191589"/>
    <w:rsid w:val="001923F7"/>
    <w:rsid w:val="0019307D"/>
    <w:rsid w:val="001A03FC"/>
    <w:rsid w:val="001A1CBA"/>
    <w:rsid w:val="001A3DCB"/>
    <w:rsid w:val="001A5B45"/>
    <w:rsid w:val="001B5C57"/>
    <w:rsid w:val="001B7CAF"/>
    <w:rsid w:val="001C3C78"/>
    <w:rsid w:val="001C5393"/>
    <w:rsid w:val="001C5641"/>
    <w:rsid w:val="001C5B5A"/>
    <w:rsid w:val="001C6D1E"/>
    <w:rsid w:val="001C787A"/>
    <w:rsid w:val="001E68CD"/>
    <w:rsid w:val="001E72D3"/>
    <w:rsid w:val="001F1889"/>
    <w:rsid w:val="00202972"/>
    <w:rsid w:val="00205534"/>
    <w:rsid w:val="00211917"/>
    <w:rsid w:val="002151DA"/>
    <w:rsid w:val="002232F9"/>
    <w:rsid w:val="00225A0B"/>
    <w:rsid w:val="0023517A"/>
    <w:rsid w:val="002435C0"/>
    <w:rsid w:val="00246C63"/>
    <w:rsid w:val="00252ECC"/>
    <w:rsid w:val="00254083"/>
    <w:rsid w:val="00255F58"/>
    <w:rsid w:val="00276466"/>
    <w:rsid w:val="002775D1"/>
    <w:rsid w:val="0028492F"/>
    <w:rsid w:val="00287329"/>
    <w:rsid w:val="00293991"/>
    <w:rsid w:val="002A51B4"/>
    <w:rsid w:val="002A66D9"/>
    <w:rsid w:val="002B00AB"/>
    <w:rsid w:val="002B2D75"/>
    <w:rsid w:val="002B4CEC"/>
    <w:rsid w:val="002B6BD8"/>
    <w:rsid w:val="002E3193"/>
    <w:rsid w:val="002F014E"/>
    <w:rsid w:val="002F0542"/>
    <w:rsid w:val="0030260A"/>
    <w:rsid w:val="0030529C"/>
    <w:rsid w:val="003069EF"/>
    <w:rsid w:val="003073BE"/>
    <w:rsid w:val="00307D7D"/>
    <w:rsid w:val="00315255"/>
    <w:rsid w:val="00324E30"/>
    <w:rsid w:val="00326015"/>
    <w:rsid w:val="00327D13"/>
    <w:rsid w:val="0033038F"/>
    <w:rsid w:val="00330606"/>
    <w:rsid w:val="00357ECA"/>
    <w:rsid w:val="003631DA"/>
    <w:rsid w:val="00380DC2"/>
    <w:rsid w:val="00382DD3"/>
    <w:rsid w:val="00384B87"/>
    <w:rsid w:val="00391EA5"/>
    <w:rsid w:val="00394387"/>
    <w:rsid w:val="0039651A"/>
    <w:rsid w:val="003A3832"/>
    <w:rsid w:val="003A3DAE"/>
    <w:rsid w:val="003A5475"/>
    <w:rsid w:val="003A5B32"/>
    <w:rsid w:val="003B07D1"/>
    <w:rsid w:val="003B77C3"/>
    <w:rsid w:val="003B7909"/>
    <w:rsid w:val="003C37D7"/>
    <w:rsid w:val="003D0977"/>
    <w:rsid w:val="003D381D"/>
    <w:rsid w:val="003E206D"/>
    <w:rsid w:val="003E46B5"/>
    <w:rsid w:val="003E72EC"/>
    <w:rsid w:val="003F0E77"/>
    <w:rsid w:val="003F5174"/>
    <w:rsid w:val="004010EA"/>
    <w:rsid w:val="00403C55"/>
    <w:rsid w:val="00403C68"/>
    <w:rsid w:val="00406623"/>
    <w:rsid w:val="004110B0"/>
    <w:rsid w:val="00412EC6"/>
    <w:rsid w:val="00417256"/>
    <w:rsid w:val="00432A5E"/>
    <w:rsid w:val="00445BA1"/>
    <w:rsid w:val="00446081"/>
    <w:rsid w:val="0045711D"/>
    <w:rsid w:val="00457C88"/>
    <w:rsid w:val="00460525"/>
    <w:rsid w:val="004616B4"/>
    <w:rsid w:val="00467132"/>
    <w:rsid w:val="00474524"/>
    <w:rsid w:val="0048276C"/>
    <w:rsid w:val="00491341"/>
    <w:rsid w:val="004A6387"/>
    <w:rsid w:val="004B36F9"/>
    <w:rsid w:val="004C4715"/>
    <w:rsid w:val="004C51FC"/>
    <w:rsid w:val="004C7551"/>
    <w:rsid w:val="004D2457"/>
    <w:rsid w:val="004D446F"/>
    <w:rsid w:val="004D7A03"/>
    <w:rsid w:val="004E2CB3"/>
    <w:rsid w:val="004E5061"/>
    <w:rsid w:val="005013D0"/>
    <w:rsid w:val="00503FAA"/>
    <w:rsid w:val="005078CC"/>
    <w:rsid w:val="00513E0F"/>
    <w:rsid w:val="005166AA"/>
    <w:rsid w:val="00525C19"/>
    <w:rsid w:val="00525D7E"/>
    <w:rsid w:val="0053782B"/>
    <w:rsid w:val="00551EA7"/>
    <w:rsid w:val="00555EA7"/>
    <w:rsid w:val="00556D4B"/>
    <w:rsid w:val="00557CB7"/>
    <w:rsid w:val="00563D62"/>
    <w:rsid w:val="00570FAE"/>
    <w:rsid w:val="005739D2"/>
    <w:rsid w:val="005757D8"/>
    <w:rsid w:val="0057764F"/>
    <w:rsid w:val="005811CE"/>
    <w:rsid w:val="00590F69"/>
    <w:rsid w:val="0059256F"/>
    <w:rsid w:val="00595386"/>
    <w:rsid w:val="00595387"/>
    <w:rsid w:val="005A7D2E"/>
    <w:rsid w:val="005B51AB"/>
    <w:rsid w:val="005C2AF5"/>
    <w:rsid w:val="005C366C"/>
    <w:rsid w:val="005C3FEB"/>
    <w:rsid w:val="005C432E"/>
    <w:rsid w:val="005C7E4E"/>
    <w:rsid w:val="005D47D0"/>
    <w:rsid w:val="005D4AEC"/>
    <w:rsid w:val="005E283A"/>
    <w:rsid w:val="005E3CC0"/>
    <w:rsid w:val="005E4F1E"/>
    <w:rsid w:val="005E73F4"/>
    <w:rsid w:val="00620EF2"/>
    <w:rsid w:val="006216D2"/>
    <w:rsid w:val="00624D9B"/>
    <w:rsid w:val="00625A91"/>
    <w:rsid w:val="0063013D"/>
    <w:rsid w:val="00631003"/>
    <w:rsid w:val="00631BE0"/>
    <w:rsid w:val="0064214D"/>
    <w:rsid w:val="0064238F"/>
    <w:rsid w:val="00644DB7"/>
    <w:rsid w:val="00646175"/>
    <w:rsid w:val="00647E18"/>
    <w:rsid w:val="006548B1"/>
    <w:rsid w:val="00671D7C"/>
    <w:rsid w:val="00672B88"/>
    <w:rsid w:val="00675415"/>
    <w:rsid w:val="00677BE4"/>
    <w:rsid w:val="0068577F"/>
    <w:rsid w:val="00686AE0"/>
    <w:rsid w:val="006916FD"/>
    <w:rsid w:val="00693CF4"/>
    <w:rsid w:val="006940CA"/>
    <w:rsid w:val="006B1742"/>
    <w:rsid w:val="006B6533"/>
    <w:rsid w:val="006B70AB"/>
    <w:rsid w:val="006B71CF"/>
    <w:rsid w:val="006C2DCF"/>
    <w:rsid w:val="006D214C"/>
    <w:rsid w:val="006E2C7D"/>
    <w:rsid w:val="006E403D"/>
    <w:rsid w:val="006E579E"/>
    <w:rsid w:val="006E5CFC"/>
    <w:rsid w:val="006E64C9"/>
    <w:rsid w:val="006E7597"/>
    <w:rsid w:val="006E7C3D"/>
    <w:rsid w:val="006F1629"/>
    <w:rsid w:val="006F17D9"/>
    <w:rsid w:val="006F23C1"/>
    <w:rsid w:val="006F2A05"/>
    <w:rsid w:val="0070511A"/>
    <w:rsid w:val="00711CB1"/>
    <w:rsid w:val="00712C5E"/>
    <w:rsid w:val="00713846"/>
    <w:rsid w:val="00717FE7"/>
    <w:rsid w:val="00731E18"/>
    <w:rsid w:val="0073602E"/>
    <w:rsid w:val="00741111"/>
    <w:rsid w:val="00742B1F"/>
    <w:rsid w:val="007460BE"/>
    <w:rsid w:val="00757847"/>
    <w:rsid w:val="0076716E"/>
    <w:rsid w:val="00770DC6"/>
    <w:rsid w:val="00773B35"/>
    <w:rsid w:val="00791402"/>
    <w:rsid w:val="007918C5"/>
    <w:rsid w:val="00791AE8"/>
    <w:rsid w:val="00795D64"/>
    <w:rsid w:val="00796C1E"/>
    <w:rsid w:val="007A3A05"/>
    <w:rsid w:val="007A427A"/>
    <w:rsid w:val="007A4A6F"/>
    <w:rsid w:val="007A6F04"/>
    <w:rsid w:val="007B1CC6"/>
    <w:rsid w:val="007C1EC8"/>
    <w:rsid w:val="007C3C02"/>
    <w:rsid w:val="007C4579"/>
    <w:rsid w:val="007C7A8F"/>
    <w:rsid w:val="007D1412"/>
    <w:rsid w:val="007D226F"/>
    <w:rsid w:val="007D62D6"/>
    <w:rsid w:val="007D6BBE"/>
    <w:rsid w:val="007E52B2"/>
    <w:rsid w:val="007E6A29"/>
    <w:rsid w:val="007E7DA8"/>
    <w:rsid w:val="008163B7"/>
    <w:rsid w:val="00820FDC"/>
    <w:rsid w:val="00821898"/>
    <w:rsid w:val="0082218C"/>
    <w:rsid w:val="00822A4A"/>
    <w:rsid w:val="00835744"/>
    <w:rsid w:val="00835D05"/>
    <w:rsid w:val="00836507"/>
    <w:rsid w:val="008426BD"/>
    <w:rsid w:val="00847022"/>
    <w:rsid w:val="008516DA"/>
    <w:rsid w:val="00852AD1"/>
    <w:rsid w:val="00852DE5"/>
    <w:rsid w:val="00852E35"/>
    <w:rsid w:val="00862E91"/>
    <w:rsid w:val="00870BEF"/>
    <w:rsid w:val="00876A93"/>
    <w:rsid w:val="00881FAD"/>
    <w:rsid w:val="00884827"/>
    <w:rsid w:val="008853B7"/>
    <w:rsid w:val="0088611E"/>
    <w:rsid w:val="00886C77"/>
    <w:rsid w:val="008900F6"/>
    <w:rsid w:val="00890DCF"/>
    <w:rsid w:val="008961E9"/>
    <w:rsid w:val="008B0B81"/>
    <w:rsid w:val="008B2E08"/>
    <w:rsid w:val="008B37AA"/>
    <w:rsid w:val="008B53A9"/>
    <w:rsid w:val="008C3254"/>
    <w:rsid w:val="008F04DC"/>
    <w:rsid w:val="008F5BEF"/>
    <w:rsid w:val="00905AD5"/>
    <w:rsid w:val="009111D5"/>
    <w:rsid w:val="009122B4"/>
    <w:rsid w:val="00914C07"/>
    <w:rsid w:val="009176E7"/>
    <w:rsid w:val="0092183B"/>
    <w:rsid w:val="00923E04"/>
    <w:rsid w:val="00930591"/>
    <w:rsid w:val="00931E5F"/>
    <w:rsid w:val="00932EF0"/>
    <w:rsid w:val="00934EA0"/>
    <w:rsid w:val="00940794"/>
    <w:rsid w:val="00945E62"/>
    <w:rsid w:val="009462B7"/>
    <w:rsid w:val="00950055"/>
    <w:rsid w:val="009559DF"/>
    <w:rsid w:val="00957D48"/>
    <w:rsid w:val="00963C91"/>
    <w:rsid w:val="00971770"/>
    <w:rsid w:val="009744DE"/>
    <w:rsid w:val="00977317"/>
    <w:rsid w:val="00983AC5"/>
    <w:rsid w:val="00987AFF"/>
    <w:rsid w:val="0099117C"/>
    <w:rsid w:val="00993C84"/>
    <w:rsid w:val="0099652A"/>
    <w:rsid w:val="0099659F"/>
    <w:rsid w:val="00997D6D"/>
    <w:rsid w:val="009A0B7F"/>
    <w:rsid w:val="009A2729"/>
    <w:rsid w:val="009A615D"/>
    <w:rsid w:val="009A66CD"/>
    <w:rsid w:val="009A7F78"/>
    <w:rsid w:val="009B18D0"/>
    <w:rsid w:val="009B1C02"/>
    <w:rsid w:val="009B3B3A"/>
    <w:rsid w:val="009B46DD"/>
    <w:rsid w:val="009B775F"/>
    <w:rsid w:val="009C1A09"/>
    <w:rsid w:val="009C4265"/>
    <w:rsid w:val="009C7D12"/>
    <w:rsid w:val="009D09B9"/>
    <w:rsid w:val="009E2030"/>
    <w:rsid w:val="009E4812"/>
    <w:rsid w:val="009F1B6A"/>
    <w:rsid w:val="009F5052"/>
    <w:rsid w:val="009F5E30"/>
    <w:rsid w:val="00A0676F"/>
    <w:rsid w:val="00A12278"/>
    <w:rsid w:val="00A12743"/>
    <w:rsid w:val="00A14BC5"/>
    <w:rsid w:val="00A14E75"/>
    <w:rsid w:val="00A16521"/>
    <w:rsid w:val="00A32EF2"/>
    <w:rsid w:val="00A35602"/>
    <w:rsid w:val="00A40C1D"/>
    <w:rsid w:val="00A40E7E"/>
    <w:rsid w:val="00A43A86"/>
    <w:rsid w:val="00A43DD6"/>
    <w:rsid w:val="00A457EE"/>
    <w:rsid w:val="00A50FEC"/>
    <w:rsid w:val="00A631C0"/>
    <w:rsid w:val="00A664FA"/>
    <w:rsid w:val="00A7112F"/>
    <w:rsid w:val="00A72991"/>
    <w:rsid w:val="00A72D17"/>
    <w:rsid w:val="00A81CC6"/>
    <w:rsid w:val="00A853FB"/>
    <w:rsid w:val="00A86979"/>
    <w:rsid w:val="00A876BA"/>
    <w:rsid w:val="00A908E6"/>
    <w:rsid w:val="00A909BC"/>
    <w:rsid w:val="00A91E97"/>
    <w:rsid w:val="00A93E02"/>
    <w:rsid w:val="00A96891"/>
    <w:rsid w:val="00AA0FF8"/>
    <w:rsid w:val="00AA2FE3"/>
    <w:rsid w:val="00AA31F8"/>
    <w:rsid w:val="00AB263C"/>
    <w:rsid w:val="00AC152F"/>
    <w:rsid w:val="00AC2B89"/>
    <w:rsid w:val="00AC2ED3"/>
    <w:rsid w:val="00AC3467"/>
    <w:rsid w:val="00AC3571"/>
    <w:rsid w:val="00AC69E9"/>
    <w:rsid w:val="00AD0BB3"/>
    <w:rsid w:val="00AD3AAF"/>
    <w:rsid w:val="00AE43AE"/>
    <w:rsid w:val="00AE5413"/>
    <w:rsid w:val="00AE72EE"/>
    <w:rsid w:val="00AF1118"/>
    <w:rsid w:val="00AF292D"/>
    <w:rsid w:val="00B020A0"/>
    <w:rsid w:val="00B05886"/>
    <w:rsid w:val="00B078BE"/>
    <w:rsid w:val="00B12FEC"/>
    <w:rsid w:val="00B21B0F"/>
    <w:rsid w:val="00B23266"/>
    <w:rsid w:val="00B26C8A"/>
    <w:rsid w:val="00B33292"/>
    <w:rsid w:val="00B35E17"/>
    <w:rsid w:val="00B405E6"/>
    <w:rsid w:val="00B44800"/>
    <w:rsid w:val="00B44EB1"/>
    <w:rsid w:val="00B4795C"/>
    <w:rsid w:val="00B526E1"/>
    <w:rsid w:val="00B8007D"/>
    <w:rsid w:val="00B8252D"/>
    <w:rsid w:val="00B9162B"/>
    <w:rsid w:val="00B91945"/>
    <w:rsid w:val="00B928FC"/>
    <w:rsid w:val="00B943CF"/>
    <w:rsid w:val="00B954C4"/>
    <w:rsid w:val="00B974B1"/>
    <w:rsid w:val="00BA2305"/>
    <w:rsid w:val="00BA4AF1"/>
    <w:rsid w:val="00BA7EEF"/>
    <w:rsid w:val="00BB3637"/>
    <w:rsid w:val="00BB4814"/>
    <w:rsid w:val="00BB4A87"/>
    <w:rsid w:val="00BC022C"/>
    <w:rsid w:val="00BC0921"/>
    <w:rsid w:val="00BC30CA"/>
    <w:rsid w:val="00BC790C"/>
    <w:rsid w:val="00BC7B43"/>
    <w:rsid w:val="00BD7943"/>
    <w:rsid w:val="00BF3960"/>
    <w:rsid w:val="00C010B7"/>
    <w:rsid w:val="00C025B9"/>
    <w:rsid w:val="00C125CA"/>
    <w:rsid w:val="00C214F2"/>
    <w:rsid w:val="00C2563F"/>
    <w:rsid w:val="00C26C16"/>
    <w:rsid w:val="00C31236"/>
    <w:rsid w:val="00C32610"/>
    <w:rsid w:val="00C32745"/>
    <w:rsid w:val="00C4181F"/>
    <w:rsid w:val="00C41F3F"/>
    <w:rsid w:val="00C440BB"/>
    <w:rsid w:val="00C63180"/>
    <w:rsid w:val="00C7607D"/>
    <w:rsid w:val="00C7793B"/>
    <w:rsid w:val="00C809C9"/>
    <w:rsid w:val="00C90A1B"/>
    <w:rsid w:val="00C93723"/>
    <w:rsid w:val="00C97056"/>
    <w:rsid w:val="00CA07D3"/>
    <w:rsid w:val="00CB0D3A"/>
    <w:rsid w:val="00CB187A"/>
    <w:rsid w:val="00CD09A0"/>
    <w:rsid w:val="00CD6133"/>
    <w:rsid w:val="00CE0ACF"/>
    <w:rsid w:val="00CE54E9"/>
    <w:rsid w:val="00CE5DC4"/>
    <w:rsid w:val="00CF53CD"/>
    <w:rsid w:val="00CF547F"/>
    <w:rsid w:val="00D06392"/>
    <w:rsid w:val="00D103AD"/>
    <w:rsid w:val="00D210F2"/>
    <w:rsid w:val="00D25DA1"/>
    <w:rsid w:val="00D32331"/>
    <w:rsid w:val="00D33ACB"/>
    <w:rsid w:val="00D40CC2"/>
    <w:rsid w:val="00D51EE2"/>
    <w:rsid w:val="00D53722"/>
    <w:rsid w:val="00D5698A"/>
    <w:rsid w:val="00D72904"/>
    <w:rsid w:val="00D779DE"/>
    <w:rsid w:val="00D828D9"/>
    <w:rsid w:val="00D84EE3"/>
    <w:rsid w:val="00D85BC4"/>
    <w:rsid w:val="00D91BCB"/>
    <w:rsid w:val="00D95860"/>
    <w:rsid w:val="00DA696F"/>
    <w:rsid w:val="00DC1089"/>
    <w:rsid w:val="00DC2536"/>
    <w:rsid w:val="00DC35EB"/>
    <w:rsid w:val="00DC440B"/>
    <w:rsid w:val="00DC71F2"/>
    <w:rsid w:val="00DC7E8D"/>
    <w:rsid w:val="00DD48E7"/>
    <w:rsid w:val="00DD53BC"/>
    <w:rsid w:val="00DD5DB3"/>
    <w:rsid w:val="00DE0903"/>
    <w:rsid w:val="00DE5160"/>
    <w:rsid w:val="00DE6328"/>
    <w:rsid w:val="00DE7ED7"/>
    <w:rsid w:val="00DF1F02"/>
    <w:rsid w:val="00DF6735"/>
    <w:rsid w:val="00E13096"/>
    <w:rsid w:val="00E147F7"/>
    <w:rsid w:val="00E16851"/>
    <w:rsid w:val="00E17815"/>
    <w:rsid w:val="00E20D99"/>
    <w:rsid w:val="00E351CB"/>
    <w:rsid w:val="00E356A7"/>
    <w:rsid w:val="00E366F3"/>
    <w:rsid w:val="00E374EB"/>
    <w:rsid w:val="00E44D0B"/>
    <w:rsid w:val="00E51155"/>
    <w:rsid w:val="00E54FED"/>
    <w:rsid w:val="00E670EA"/>
    <w:rsid w:val="00E71202"/>
    <w:rsid w:val="00E7269A"/>
    <w:rsid w:val="00E730A0"/>
    <w:rsid w:val="00E74441"/>
    <w:rsid w:val="00E84B0C"/>
    <w:rsid w:val="00E93ABA"/>
    <w:rsid w:val="00E94E3B"/>
    <w:rsid w:val="00E97A9F"/>
    <w:rsid w:val="00EA204A"/>
    <w:rsid w:val="00EC6CB5"/>
    <w:rsid w:val="00EE2D1C"/>
    <w:rsid w:val="00EE69AE"/>
    <w:rsid w:val="00EF04D7"/>
    <w:rsid w:val="00EF173A"/>
    <w:rsid w:val="00EF6AB5"/>
    <w:rsid w:val="00EF7278"/>
    <w:rsid w:val="00F00B5A"/>
    <w:rsid w:val="00F1383B"/>
    <w:rsid w:val="00F34A77"/>
    <w:rsid w:val="00F34C4C"/>
    <w:rsid w:val="00F446E7"/>
    <w:rsid w:val="00F54326"/>
    <w:rsid w:val="00F55F32"/>
    <w:rsid w:val="00F84F30"/>
    <w:rsid w:val="00F854BC"/>
    <w:rsid w:val="00F8614A"/>
    <w:rsid w:val="00F90308"/>
    <w:rsid w:val="00FA2257"/>
    <w:rsid w:val="00FA561A"/>
    <w:rsid w:val="00FA5D8F"/>
    <w:rsid w:val="00FB0ED5"/>
    <w:rsid w:val="00FB3E3C"/>
    <w:rsid w:val="00FC5008"/>
    <w:rsid w:val="00FE0EAD"/>
    <w:rsid w:val="00FE6989"/>
    <w:rsid w:val="00FF2563"/>
    <w:rsid w:val="00FF3A3A"/>
    <w:rsid w:val="00FF6146"/>
    <w:rsid w:val="00FF75B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EEC7CD"/>
  <w15:docId w15:val="{096A017E-9CB8-438C-9F3C-F6D1A3E44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CO"/>
    </w:rPr>
  </w:style>
  <w:style w:type="paragraph" w:styleId="Ttulo1">
    <w:name w:val="heading 1"/>
    <w:basedOn w:val="Normal"/>
    <w:next w:val="Normal"/>
    <w:link w:val="Ttulo1Car"/>
    <w:uiPriority w:val="9"/>
    <w:qFormat/>
    <w:rsid w:val="00DD5D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C2563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F111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A22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2257"/>
    <w:rPr>
      <w:rFonts w:ascii="Tahoma" w:hAnsi="Tahoma" w:cs="Tahoma"/>
      <w:sz w:val="16"/>
      <w:szCs w:val="16"/>
      <w:lang w:val="es-CO"/>
    </w:rPr>
  </w:style>
  <w:style w:type="character" w:styleId="Refdecomentario">
    <w:name w:val="annotation reference"/>
    <w:basedOn w:val="Fuentedeprrafopredeter"/>
    <w:uiPriority w:val="99"/>
    <w:semiHidden/>
    <w:unhideWhenUsed/>
    <w:rsid w:val="005739D2"/>
    <w:rPr>
      <w:sz w:val="16"/>
      <w:szCs w:val="16"/>
    </w:rPr>
  </w:style>
  <w:style w:type="paragraph" w:styleId="Textocomentario">
    <w:name w:val="annotation text"/>
    <w:basedOn w:val="Normal"/>
    <w:link w:val="TextocomentarioCar"/>
    <w:uiPriority w:val="99"/>
    <w:semiHidden/>
    <w:unhideWhenUsed/>
    <w:rsid w:val="005739D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39D2"/>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5739D2"/>
    <w:rPr>
      <w:b/>
      <w:bCs/>
    </w:rPr>
  </w:style>
  <w:style w:type="character" w:customStyle="1" w:styleId="AsuntodelcomentarioCar">
    <w:name w:val="Asunto del comentario Car"/>
    <w:basedOn w:val="TextocomentarioCar"/>
    <w:link w:val="Asuntodelcomentario"/>
    <w:uiPriority w:val="99"/>
    <w:semiHidden/>
    <w:rsid w:val="005739D2"/>
    <w:rPr>
      <w:b/>
      <w:bCs/>
      <w:sz w:val="20"/>
      <w:szCs w:val="20"/>
      <w:lang w:val="es-CO"/>
    </w:rPr>
  </w:style>
  <w:style w:type="paragraph" w:styleId="Textonotapie">
    <w:name w:val="footnote text"/>
    <w:basedOn w:val="Normal"/>
    <w:link w:val="TextonotapieCar"/>
    <w:uiPriority w:val="99"/>
    <w:semiHidden/>
    <w:unhideWhenUsed/>
    <w:rsid w:val="001A3DC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A3DCB"/>
    <w:rPr>
      <w:sz w:val="20"/>
      <w:szCs w:val="20"/>
      <w:lang w:val="es-CO"/>
    </w:rPr>
  </w:style>
  <w:style w:type="character" w:styleId="Refdenotaalpie">
    <w:name w:val="footnote reference"/>
    <w:basedOn w:val="Fuentedeprrafopredeter"/>
    <w:uiPriority w:val="99"/>
    <w:semiHidden/>
    <w:unhideWhenUsed/>
    <w:rsid w:val="001A3DCB"/>
    <w:rPr>
      <w:vertAlign w:val="superscript"/>
    </w:rPr>
  </w:style>
  <w:style w:type="paragraph" w:styleId="Encabezado">
    <w:name w:val="header"/>
    <w:basedOn w:val="Normal"/>
    <w:link w:val="EncabezadoCar"/>
    <w:uiPriority w:val="99"/>
    <w:unhideWhenUsed/>
    <w:rsid w:val="00914C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4C07"/>
    <w:rPr>
      <w:lang w:val="es-CO"/>
    </w:rPr>
  </w:style>
  <w:style w:type="paragraph" w:styleId="Piedepgina">
    <w:name w:val="footer"/>
    <w:basedOn w:val="Normal"/>
    <w:link w:val="PiedepginaCar"/>
    <w:uiPriority w:val="99"/>
    <w:unhideWhenUsed/>
    <w:rsid w:val="00914C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4C07"/>
    <w:rPr>
      <w:lang w:val="es-CO"/>
    </w:rPr>
  </w:style>
  <w:style w:type="character" w:customStyle="1" w:styleId="Ttulo1Car">
    <w:name w:val="Título 1 Car"/>
    <w:basedOn w:val="Fuentedeprrafopredeter"/>
    <w:link w:val="Ttulo1"/>
    <w:uiPriority w:val="9"/>
    <w:rsid w:val="00DD5DB3"/>
    <w:rPr>
      <w:rFonts w:asciiTheme="majorHAnsi" w:eastAsiaTheme="majorEastAsia" w:hAnsiTheme="majorHAnsi" w:cstheme="majorBidi"/>
      <w:color w:val="365F91" w:themeColor="accent1" w:themeShade="BF"/>
      <w:sz w:val="32"/>
      <w:szCs w:val="32"/>
      <w:lang w:val="es-CO"/>
    </w:rPr>
  </w:style>
  <w:style w:type="paragraph" w:styleId="Revisin">
    <w:name w:val="Revision"/>
    <w:hidden/>
    <w:uiPriority w:val="99"/>
    <w:semiHidden/>
    <w:rsid w:val="00835744"/>
    <w:pPr>
      <w:spacing w:after="0" w:line="240" w:lineRule="auto"/>
    </w:pPr>
    <w:rPr>
      <w:lang w:val="es-CO"/>
    </w:rPr>
  </w:style>
  <w:style w:type="paragraph" w:styleId="Prrafodelista">
    <w:name w:val="List Paragraph"/>
    <w:basedOn w:val="Normal"/>
    <w:uiPriority w:val="34"/>
    <w:qFormat/>
    <w:rsid w:val="00620EF2"/>
    <w:pPr>
      <w:ind w:left="720"/>
      <w:contextualSpacing/>
    </w:pPr>
  </w:style>
  <w:style w:type="character" w:customStyle="1" w:styleId="Ttulo2Car">
    <w:name w:val="Título 2 Car"/>
    <w:basedOn w:val="Fuentedeprrafopredeter"/>
    <w:link w:val="Ttulo2"/>
    <w:uiPriority w:val="9"/>
    <w:rsid w:val="00C2563F"/>
    <w:rPr>
      <w:rFonts w:asciiTheme="majorHAnsi" w:eastAsiaTheme="majorEastAsia" w:hAnsiTheme="majorHAnsi" w:cstheme="majorBidi"/>
      <w:color w:val="365F91" w:themeColor="accent1" w:themeShade="BF"/>
      <w:sz w:val="26"/>
      <w:szCs w:val="26"/>
      <w:lang w:val="es-CO"/>
    </w:rPr>
  </w:style>
  <w:style w:type="table" w:styleId="Tablanormal5">
    <w:name w:val="Plain Table 5"/>
    <w:basedOn w:val="Tablanormal"/>
    <w:uiPriority w:val="99"/>
    <w:rsid w:val="006B174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1clara-nfasis1">
    <w:name w:val="Grid Table 1 Light Accent 1"/>
    <w:basedOn w:val="Tablanormal"/>
    <w:uiPriority w:val="46"/>
    <w:rsid w:val="006B174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tulo3Car">
    <w:name w:val="Título 3 Car"/>
    <w:basedOn w:val="Fuentedeprrafopredeter"/>
    <w:link w:val="Ttulo3"/>
    <w:uiPriority w:val="9"/>
    <w:rsid w:val="00AF1118"/>
    <w:rPr>
      <w:rFonts w:asciiTheme="majorHAnsi" w:eastAsiaTheme="majorEastAsia" w:hAnsiTheme="majorHAnsi" w:cstheme="majorBidi"/>
      <w:color w:val="243F60" w:themeColor="accent1" w:themeShade="7F"/>
      <w:sz w:val="24"/>
      <w:szCs w:val="24"/>
      <w:lang w:val="es-CO"/>
    </w:rPr>
  </w:style>
  <w:style w:type="paragraph" w:styleId="Textoindependiente">
    <w:name w:val="Body Text"/>
    <w:basedOn w:val="Normal"/>
    <w:link w:val="TextoindependienteCar"/>
    <w:uiPriority w:val="1"/>
    <w:qFormat/>
    <w:rsid w:val="00A7112F"/>
    <w:pPr>
      <w:widowControl w:val="0"/>
      <w:autoSpaceDE w:val="0"/>
      <w:autoSpaceDN w:val="0"/>
      <w:spacing w:after="0" w:line="240" w:lineRule="auto"/>
    </w:pPr>
    <w:rPr>
      <w:rFonts w:ascii="Garamond" w:eastAsia="Garamond" w:hAnsi="Garamond" w:cs="Garamond"/>
      <w:sz w:val="20"/>
      <w:szCs w:val="20"/>
      <w:lang w:val="es-ES" w:eastAsia="es-ES" w:bidi="es-ES"/>
    </w:rPr>
  </w:style>
  <w:style w:type="character" w:customStyle="1" w:styleId="TextoindependienteCar">
    <w:name w:val="Texto independiente Car"/>
    <w:basedOn w:val="Fuentedeprrafopredeter"/>
    <w:link w:val="Textoindependiente"/>
    <w:uiPriority w:val="1"/>
    <w:rsid w:val="00A7112F"/>
    <w:rPr>
      <w:rFonts w:ascii="Garamond" w:eastAsia="Garamond" w:hAnsi="Garamond" w:cs="Garamond"/>
      <w:sz w:val="20"/>
      <w:szCs w:val="20"/>
      <w:lang w:val="es-ES" w:eastAsia="es-ES" w:bidi="es-ES"/>
    </w:rPr>
  </w:style>
  <w:style w:type="paragraph" w:styleId="Sinespaciado">
    <w:name w:val="No Spacing"/>
    <w:link w:val="SinespaciadoCar"/>
    <w:uiPriority w:val="1"/>
    <w:qFormat/>
    <w:rsid w:val="00890DCF"/>
    <w:pPr>
      <w:spacing w:after="0" w:line="240" w:lineRule="auto"/>
    </w:pPr>
    <w:rPr>
      <w:rFonts w:eastAsiaTheme="minorEastAsia"/>
      <w:lang w:val="en-US" w:eastAsia="zh-CN"/>
    </w:rPr>
  </w:style>
  <w:style w:type="character" w:customStyle="1" w:styleId="SinespaciadoCar">
    <w:name w:val="Sin espaciado Car"/>
    <w:basedOn w:val="Fuentedeprrafopredeter"/>
    <w:link w:val="Sinespaciado"/>
    <w:uiPriority w:val="1"/>
    <w:rsid w:val="00890DCF"/>
    <w:rPr>
      <w:rFonts w:eastAsiaTheme="minorEastAsi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726491">
      <w:bodyDiv w:val="1"/>
      <w:marLeft w:val="0"/>
      <w:marRight w:val="0"/>
      <w:marTop w:val="0"/>
      <w:marBottom w:val="0"/>
      <w:divBdr>
        <w:top w:val="none" w:sz="0" w:space="0" w:color="auto"/>
        <w:left w:val="none" w:sz="0" w:space="0" w:color="auto"/>
        <w:bottom w:val="none" w:sz="0" w:space="0" w:color="auto"/>
        <w:right w:val="none" w:sz="0" w:space="0" w:color="auto"/>
      </w:divBdr>
    </w:div>
    <w:div w:id="513768615">
      <w:bodyDiv w:val="1"/>
      <w:marLeft w:val="0"/>
      <w:marRight w:val="0"/>
      <w:marTop w:val="0"/>
      <w:marBottom w:val="0"/>
      <w:divBdr>
        <w:top w:val="none" w:sz="0" w:space="0" w:color="auto"/>
        <w:left w:val="none" w:sz="0" w:space="0" w:color="auto"/>
        <w:bottom w:val="none" w:sz="0" w:space="0" w:color="auto"/>
        <w:right w:val="none" w:sz="0" w:space="0" w:color="auto"/>
      </w:divBdr>
    </w:div>
    <w:div w:id="989091107">
      <w:bodyDiv w:val="1"/>
      <w:marLeft w:val="0"/>
      <w:marRight w:val="0"/>
      <w:marTop w:val="0"/>
      <w:marBottom w:val="0"/>
      <w:divBdr>
        <w:top w:val="none" w:sz="0" w:space="0" w:color="auto"/>
        <w:left w:val="none" w:sz="0" w:space="0" w:color="auto"/>
        <w:bottom w:val="none" w:sz="0" w:space="0" w:color="auto"/>
        <w:right w:val="none" w:sz="0" w:space="0" w:color="auto"/>
      </w:divBdr>
    </w:div>
    <w:div w:id="1070806805">
      <w:bodyDiv w:val="1"/>
      <w:marLeft w:val="0"/>
      <w:marRight w:val="0"/>
      <w:marTop w:val="0"/>
      <w:marBottom w:val="0"/>
      <w:divBdr>
        <w:top w:val="none" w:sz="0" w:space="0" w:color="auto"/>
        <w:left w:val="none" w:sz="0" w:space="0" w:color="auto"/>
        <w:bottom w:val="none" w:sz="0" w:space="0" w:color="auto"/>
        <w:right w:val="none" w:sz="0" w:space="0" w:color="auto"/>
      </w:divBdr>
    </w:div>
    <w:div w:id="1390491298">
      <w:bodyDiv w:val="1"/>
      <w:marLeft w:val="0"/>
      <w:marRight w:val="0"/>
      <w:marTop w:val="0"/>
      <w:marBottom w:val="0"/>
      <w:divBdr>
        <w:top w:val="none" w:sz="0" w:space="0" w:color="auto"/>
        <w:left w:val="none" w:sz="0" w:space="0" w:color="auto"/>
        <w:bottom w:val="none" w:sz="0" w:space="0" w:color="auto"/>
        <w:right w:val="none" w:sz="0" w:space="0" w:color="auto"/>
      </w:divBdr>
    </w:div>
    <w:div w:id="1553232681">
      <w:bodyDiv w:val="1"/>
      <w:marLeft w:val="0"/>
      <w:marRight w:val="0"/>
      <w:marTop w:val="0"/>
      <w:marBottom w:val="0"/>
      <w:divBdr>
        <w:top w:val="none" w:sz="0" w:space="0" w:color="auto"/>
        <w:left w:val="none" w:sz="0" w:space="0" w:color="auto"/>
        <w:bottom w:val="none" w:sz="0" w:space="0" w:color="auto"/>
        <w:right w:val="none" w:sz="0" w:space="0" w:color="auto"/>
      </w:divBdr>
    </w:div>
    <w:div w:id="1716806640">
      <w:bodyDiv w:val="1"/>
      <w:marLeft w:val="0"/>
      <w:marRight w:val="0"/>
      <w:marTop w:val="0"/>
      <w:marBottom w:val="0"/>
      <w:divBdr>
        <w:top w:val="none" w:sz="0" w:space="0" w:color="auto"/>
        <w:left w:val="none" w:sz="0" w:space="0" w:color="auto"/>
        <w:bottom w:val="none" w:sz="0" w:space="0" w:color="auto"/>
        <w:right w:val="none" w:sz="0" w:space="0" w:color="auto"/>
      </w:divBdr>
    </w:div>
    <w:div w:id="1851946403">
      <w:bodyDiv w:val="1"/>
      <w:marLeft w:val="0"/>
      <w:marRight w:val="0"/>
      <w:marTop w:val="0"/>
      <w:marBottom w:val="0"/>
      <w:divBdr>
        <w:top w:val="none" w:sz="0" w:space="0" w:color="auto"/>
        <w:left w:val="none" w:sz="0" w:space="0" w:color="auto"/>
        <w:bottom w:val="none" w:sz="0" w:space="0" w:color="auto"/>
        <w:right w:val="none" w:sz="0" w:space="0" w:color="auto"/>
      </w:divBdr>
    </w:div>
    <w:div w:id="2062366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chart" Target="charts/chart3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image" Target="media/image3.png"/><Relationship Id="rId19" Type="http://schemas.openxmlformats.org/officeDocument/2006/relationships/chart" Target="charts/chart8.xml"/><Relationship Id="rId31" Type="http://schemas.openxmlformats.org/officeDocument/2006/relationships/chart" Target="charts/chart2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moncada\Desktop\datos%20y%20gra&#769;ficos%20boleti&#769;n%205%20tipologi&#769;a%20familiar%20290419JMG.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Users/Juli/Downloads/datos%20y%20gra&#769;ficos%20boleti&#769;n%205%20tipologi&#769;a%20familiar%20290419JMG.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Users/Juli/Downloads/datos%20y%20gra&#769;ficos%20boleti&#769;n%205%20tipologi&#769;a%20familiar%20290419JMG.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Users/Juli/Downloads/datos%20y%20gra&#769;ficos%20boleti&#769;n%205%20tipologi&#769;a%20familiar%20290419JMG.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Users/Juli/Downloads/datos%20y%20gra&#769;ficos%20boleti&#769;n%205%20tipologi&#769;a%20familiar%20290419JMG.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Users/Juli/Downloads/datos%20y%20gra&#769;ficos%20boleti&#769;n%205%20tipologi&#769;a%20familiar%20290419JMG.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Users/Juli/Downloads/datos%20y%20gra&#769;ficos%20boleti&#769;n%205%20tipologi&#769;a%20familiar%20290419JMG.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Users/Juli/Downloads/datos%20y%20gra&#769;ficos%20boleti&#769;n%205%20tipologi&#769;a%20familiar%20290419JMG.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Users/Juli/Downloads/datos%20y%20gra&#769;ficos%20boleti&#769;n%205%20tipologi&#769;a%20familiar%20290419JMG.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Users/Juli/Downloads/datos%20y%20gra&#769;ficos%20boleti&#769;n%205%20tipologi&#769;a%20familiar%20290419JMG.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Users/Juli/Downloads/datos%20y%20gra&#769;ficos%20boleti&#769;n%205%20tipologi&#769;a%20familiar%20290419JMG.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jmoncada\Desktop\datos%20y%20gra&#769;ficos%20boleti&#769;n%205%20tipologi&#769;a%20familiar%20290419JMG.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Users/Juli/Downloads/datos%20y%20gra&#769;ficos%20boleti&#769;n%205%20tipologi&#769;a%20familiar%20290419JMG.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Users/Juli/Downloads/datos%20y%20gra&#769;ficos%20boleti&#769;n%205%20tipologi&#769;a%20familiar%20290419JMG.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Users/Juli/Downloads/datos%20y%20gra&#769;ficos%20boleti&#769;n%205%20tipologi&#769;a%20familiar%20290419JMG.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Users/Juli/Downloads/datos%20y%20gra&#769;ficos%20boleti&#769;n%205%20tipologi&#769;a%20familiar%20290419JMG.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Users/Juli/Downloads/datos%20y%20gra&#769;ficos%20boleti&#769;n%205%20tipologi&#769;a%20familiar%20290419JMG.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Users/Juli/Downloads/datos%20y%20gra&#769;ficos%20boleti&#769;n%205%20tipologi&#769;a%20familiar%20290419JMG.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Users/Juli/Downloads/datos%20y%20gra&#769;ficos%20boleti&#769;n%205%20tipologi&#769;a%20familiar%20290419JMG.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Users/Juli/Downloads/datos%20y%20gra&#769;ficos%20boleti&#769;n%205%20tipologi&#769;a%20familiar%20290419JMG.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Users/Juli/Downloads/datos%20y%20gra&#769;ficos%20boleti&#769;n%205%20tipologi&#769;a%20familiar%20290419JMG.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Users/Juli/Downloads/datos%20y%20gra&#769;ficos%20boleti&#769;n%205%20tipologi&#769;a%20familiar%20290419JMG.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Users/Juli/Desktop/datos%20y%20gra&#769;ficos%20boleti&#769;n%205%20tipologi&#769;a%20familiar%20250619JMG.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Users/Juli/Downloads/datos%20y%20gra&#769;ficos%20boleti&#769;n%205%20tipologi&#769;a%20familiar%20290419JMG.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Users/Juli/Desktop/datos%20y%20gra&#769;ficos%20boleti&#769;n%205%20tipologi&#769;a%20familiar%20250619JMG.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Users/Juli/Downloads/datos%20y%20gra&#769;ficos%20boleti&#769;n%205%20tipologi&#769;a%20familiar%20290419JMG.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Users/Juli/Downloads/datos%20y%20gra&#769;ficos%20boleti&#769;n%205%20tipologi&#769;a%20familiar%20290419JMG.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Users/Juli/Downloads/datos%20y%20gra&#769;ficos%20boleti&#769;n%205%20tipologi&#769;a%20familiar%20290419JMG.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Users/Juli/Downloads/datos%20y%20gra&#769;ficos%20boleti&#769;n%205%20tipologi&#769;a%20familiar%20290419JMG.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Users/Juli/Downloads/datos%20y%20gra&#769;ficos%20boleti&#769;n%205%20tipologi&#769;a%20familiar%20290419JM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5">
                  <a:lumMod val="50000"/>
                </a:schemeClr>
              </a:solidFill>
              <a:ln>
                <a:noFill/>
              </a:ln>
              <a:effectLst/>
            </c:spPr>
            <c:extLst>
              <c:ext xmlns:c16="http://schemas.microsoft.com/office/drawing/2014/chart" uri="{C3380CC4-5D6E-409C-BE32-E72D297353CC}">
                <c16:uniqueId val="{00000001-8565-4531-AB83-990DDCDB0F51}"/>
              </c:ext>
            </c:extLst>
          </c:dPt>
          <c:dPt>
            <c:idx val="1"/>
            <c:invertIfNegative val="0"/>
            <c:bubble3D val="0"/>
            <c:spPr>
              <a:solidFill>
                <a:schemeClr val="accent5">
                  <a:lumMod val="50000"/>
                </a:schemeClr>
              </a:solidFill>
              <a:ln>
                <a:noFill/>
              </a:ln>
              <a:effectLst/>
            </c:spPr>
            <c:extLst>
              <c:ext xmlns:c16="http://schemas.microsoft.com/office/drawing/2014/chart" uri="{C3380CC4-5D6E-409C-BE32-E72D297353CC}">
                <c16:uniqueId val="{00000003-8565-4531-AB83-990DDCDB0F51}"/>
              </c:ext>
            </c:extLst>
          </c:dPt>
          <c:dPt>
            <c:idx val="2"/>
            <c:invertIfNegative val="0"/>
            <c:bubble3D val="0"/>
            <c:spPr>
              <a:solidFill>
                <a:srgbClr val="00B0F0"/>
              </a:solidFill>
              <a:ln>
                <a:noFill/>
              </a:ln>
              <a:effectLst/>
            </c:spPr>
            <c:extLst>
              <c:ext xmlns:c16="http://schemas.microsoft.com/office/drawing/2014/chart" uri="{C3380CC4-5D6E-409C-BE32-E72D297353CC}">
                <c16:uniqueId val="{00000005-8565-4531-AB83-990DDCDB0F51}"/>
              </c:ext>
            </c:extLst>
          </c:dPt>
          <c:dPt>
            <c:idx val="3"/>
            <c:invertIfNegative val="0"/>
            <c:bubble3D val="0"/>
            <c:spPr>
              <a:solidFill>
                <a:schemeClr val="accent5">
                  <a:lumMod val="50000"/>
                </a:schemeClr>
              </a:solidFill>
              <a:ln>
                <a:noFill/>
              </a:ln>
              <a:effectLst/>
            </c:spPr>
            <c:extLst>
              <c:ext xmlns:c16="http://schemas.microsoft.com/office/drawing/2014/chart" uri="{C3380CC4-5D6E-409C-BE32-E72D297353CC}">
                <c16:uniqueId val="{00000007-8565-4531-AB83-990DDCDB0F51}"/>
              </c:ext>
            </c:extLst>
          </c:dPt>
          <c:dPt>
            <c:idx val="6"/>
            <c:invertIfNegative val="0"/>
            <c:bubble3D val="0"/>
            <c:spPr>
              <a:solidFill>
                <a:schemeClr val="accent5">
                  <a:lumMod val="50000"/>
                </a:schemeClr>
              </a:solidFill>
              <a:ln>
                <a:noFill/>
              </a:ln>
              <a:effectLst/>
            </c:spPr>
            <c:extLst>
              <c:ext xmlns:c16="http://schemas.microsoft.com/office/drawing/2014/chart" uri="{C3380CC4-5D6E-409C-BE32-E72D297353CC}">
                <c16:uniqueId val="{00000009-8565-4531-AB83-990DDCDB0F51}"/>
              </c:ext>
            </c:extLst>
          </c:dPt>
          <c:dPt>
            <c:idx val="7"/>
            <c:invertIfNegative val="0"/>
            <c:bubble3D val="0"/>
            <c:spPr>
              <a:solidFill>
                <a:schemeClr val="accent5">
                  <a:lumMod val="50000"/>
                </a:schemeClr>
              </a:solidFill>
              <a:ln>
                <a:noFill/>
              </a:ln>
              <a:effectLst/>
            </c:spPr>
            <c:extLst>
              <c:ext xmlns:c16="http://schemas.microsoft.com/office/drawing/2014/chart" uri="{C3380CC4-5D6E-409C-BE32-E72D297353CC}">
                <c16:uniqueId val="{0000000B-8565-4531-AB83-990DDCDB0F51}"/>
              </c:ext>
            </c:extLst>
          </c:dPt>
          <c:dPt>
            <c:idx val="8"/>
            <c:invertIfNegative val="0"/>
            <c:bubble3D val="0"/>
            <c:spPr>
              <a:solidFill>
                <a:srgbClr val="00B0F0"/>
              </a:solidFill>
              <a:ln>
                <a:noFill/>
              </a:ln>
              <a:effectLst/>
            </c:spPr>
            <c:extLst>
              <c:ext xmlns:c16="http://schemas.microsoft.com/office/drawing/2014/chart" uri="{C3380CC4-5D6E-409C-BE32-E72D297353CC}">
                <c16:uniqueId val="{0000000D-8565-4531-AB83-990DDCDB0F51}"/>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generales'!$A$26:$A$34</c:f>
              <c:strCache>
                <c:ptCount val="9"/>
                <c:pt idx="0">
                  <c:v>Hogar no familiar sin núcleo</c:v>
                </c:pt>
                <c:pt idx="1">
                  <c:v>Unipersonales</c:v>
                </c:pt>
                <c:pt idx="2">
                  <c:v>HOGARES NO FAMILIARES</c:v>
                </c:pt>
                <c:pt idx="3">
                  <c:v>Familiar sin núcleo</c:v>
                </c:pt>
                <c:pt idx="4">
                  <c:v> -Amplios Compuestos</c:v>
                </c:pt>
                <c:pt idx="5">
                  <c:v> -Amplios Extensos</c:v>
                </c:pt>
                <c:pt idx="6">
                  <c:v>Familiar Amplio</c:v>
                </c:pt>
                <c:pt idx="7">
                  <c:v>Familiar Nuclear</c:v>
                </c:pt>
                <c:pt idx="8">
                  <c:v>HOGARES FAMILIARES</c:v>
                </c:pt>
              </c:strCache>
            </c:strRef>
          </c:cat>
          <c:val>
            <c:numRef>
              <c:f>'datos generales'!$B$26:$B$34</c:f>
              <c:numCache>
                <c:formatCode>0.0%</c:formatCode>
                <c:ptCount val="9"/>
                <c:pt idx="0">
                  <c:v>8.5556020953514948E-3</c:v>
                </c:pt>
                <c:pt idx="1">
                  <c:v>0.16316919430033866</c:v>
                </c:pt>
                <c:pt idx="2">
                  <c:v>0.17172479639569016</c:v>
                </c:pt>
                <c:pt idx="3">
                  <c:v>3.7087179051105638E-2</c:v>
                </c:pt>
                <c:pt idx="4">
                  <c:v>1.3788248299455916E-2</c:v>
                </c:pt>
                <c:pt idx="5">
                  <c:v>0.13906996728768375</c:v>
                </c:pt>
                <c:pt idx="6">
                  <c:v>0.15285821558713966</c:v>
                </c:pt>
                <c:pt idx="7">
                  <c:v>0.63832982606105371</c:v>
                </c:pt>
                <c:pt idx="8">
                  <c:v>0.82827522069929904</c:v>
                </c:pt>
              </c:numCache>
            </c:numRef>
          </c:val>
          <c:extLst>
            <c:ext xmlns:c16="http://schemas.microsoft.com/office/drawing/2014/chart" uri="{C3380CC4-5D6E-409C-BE32-E72D297353CC}">
              <c16:uniqueId val="{0000000E-8565-4531-AB83-990DDCDB0F51}"/>
            </c:ext>
          </c:extLst>
        </c:ser>
        <c:dLbls>
          <c:showLegendKey val="0"/>
          <c:showVal val="0"/>
          <c:showCatName val="0"/>
          <c:showSerName val="0"/>
          <c:showPercent val="0"/>
          <c:showBubbleSize val="0"/>
        </c:dLbls>
        <c:gapWidth val="182"/>
        <c:axId val="2117084824"/>
        <c:axId val="2130712488"/>
      </c:barChart>
      <c:catAx>
        <c:axId val="2117084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130712488"/>
        <c:crosses val="autoZero"/>
        <c:auto val="1"/>
        <c:lblAlgn val="ctr"/>
        <c:lblOffset val="100"/>
        <c:noMultiLvlLbl val="0"/>
      </c:catAx>
      <c:valAx>
        <c:axId val="2130712488"/>
        <c:scaling>
          <c:orientation val="minMax"/>
        </c:scaling>
        <c:delete val="1"/>
        <c:axPos val="b"/>
        <c:numFmt formatCode="0.0%" sourceLinked="1"/>
        <c:majorTickMark val="none"/>
        <c:minorTickMark val="none"/>
        <c:tickLblPos val="nextTo"/>
        <c:crossAx val="211708482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700">
          <a:latin typeface="Garamond" panose="02020404030301010803" pitchFamily="18" charset="0"/>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988285874854534"/>
          <c:y val="7.3883056284631085E-2"/>
          <c:w val="0.65176150292690527"/>
          <c:h val="0.89814814814814814"/>
        </c:manualLayout>
      </c:layout>
      <c:barChart>
        <c:barDir val="bar"/>
        <c:grouping val="clustered"/>
        <c:varyColors val="0"/>
        <c:ser>
          <c:idx val="0"/>
          <c:order val="0"/>
          <c:tx>
            <c:strRef>
              <c:f>estrato!$B$143</c:f>
              <c:strCache>
                <c:ptCount val="1"/>
                <c:pt idx="0">
                  <c:v>Porcentaje</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ED72-1648-A8C5-076E47171ED8}"/>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3-ED72-1648-A8C5-076E47171ED8}"/>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estrato!$A$144:$A$151</c:f>
              <c:strCache>
                <c:ptCount val="8"/>
                <c:pt idx="0">
                  <c:v>No Familar sin núcleo</c:v>
                </c:pt>
                <c:pt idx="1">
                  <c:v>Familiar Extenso</c:v>
                </c:pt>
                <c:pt idx="2">
                  <c:v>Familiar Compuesto</c:v>
                </c:pt>
                <c:pt idx="3">
                  <c:v>Familiar sin núcleo</c:v>
                </c:pt>
                <c:pt idx="4">
                  <c:v>Nuclear monoparental</c:v>
                </c:pt>
                <c:pt idx="5">
                  <c:v>Nuclear sin hijos</c:v>
                </c:pt>
                <c:pt idx="6">
                  <c:v>Nuclear con hijos</c:v>
                </c:pt>
                <c:pt idx="7">
                  <c:v>No Familiar Unipersonal</c:v>
                </c:pt>
              </c:strCache>
            </c:strRef>
          </c:cat>
          <c:val>
            <c:numRef>
              <c:f>estrato!$B$144:$B$151</c:f>
              <c:numCache>
                <c:formatCode>0.0%</c:formatCode>
                <c:ptCount val="8"/>
                <c:pt idx="0">
                  <c:v>1.4490226689382364E-2</c:v>
                </c:pt>
                <c:pt idx="1">
                  <c:v>2.2210723826770171E-2</c:v>
                </c:pt>
                <c:pt idx="2">
                  <c:v>2.7336335132597658E-2</c:v>
                </c:pt>
                <c:pt idx="3">
                  <c:v>3.4312109688833317E-2</c:v>
                </c:pt>
                <c:pt idx="4">
                  <c:v>7.470325839060224E-2</c:v>
                </c:pt>
                <c:pt idx="5">
                  <c:v>0.15764102557032522</c:v>
                </c:pt>
                <c:pt idx="6">
                  <c:v>0.24113858586164955</c:v>
                </c:pt>
                <c:pt idx="7">
                  <c:v>0.42816775241773636</c:v>
                </c:pt>
              </c:numCache>
            </c:numRef>
          </c:val>
          <c:extLst>
            <c:ext xmlns:c16="http://schemas.microsoft.com/office/drawing/2014/chart" uri="{C3380CC4-5D6E-409C-BE32-E72D297353CC}">
              <c16:uniqueId val="{00000004-ED72-1648-A8C5-076E47171ED8}"/>
            </c:ext>
          </c:extLst>
        </c:ser>
        <c:dLbls>
          <c:showLegendKey val="0"/>
          <c:showVal val="0"/>
          <c:showCatName val="0"/>
          <c:showSerName val="0"/>
          <c:showPercent val="0"/>
          <c:showBubbleSize val="0"/>
        </c:dLbls>
        <c:gapWidth val="182"/>
        <c:axId val="122149055"/>
        <c:axId val="122150735"/>
      </c:barChart>
      <c:catAx>
        <c:axId val="1221490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122150735"/>
        <c:crosses val="autoZero"/>
        <c:auto val="1"/>
        <c:lblAlgn val="ctr"/>
        <c:lblOffset val="100"/>
        <c:noMultiLvlLbl val="0"/>
      </c:catAx>
      <c:valAx>
        <c:axId val="122150735"/>
        <c:scaling>
          <c:orientation val="minMax"/>
        </c:scaling>
        <c:delete val="1"/>
        <c:axPos val="b"/>
        <c:numFmt formatCode="0.0%" sourceLinked="1"/>
        <c:majorTickMark val="none"/>
        <c:minorTickMark val="none"/>
        <c:tickLblPos val="nextTo"/>
        <c:crossAx val="122149055"/>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700">
          <a:latin typeface="Garamond" panose="02020404030301010803" pitchFamily="18" charset="0"/>
        </a:defRPr>
      </a:pPr>
      <a:endParaRPr lang="es-C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4.9200492004920749E-4"/>
          <c:y val="3.8622465400708079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Garamond" panose="02020404030301010803" pitchFamily="18" charset="0"/>
              <a:ea typeface="+mn-ea"/>
              <a:cs typeface="+mn-cs"/>
            </a:defRPr>
          </a:pPr>
          <a:endParaRPr lang="es-CO"/>
        </a:p>
      </c:txPr>
    </c:title>
    <c:autoTitleDeleted val="0"/>
    <c:plotArea>
      <c:layout>
        <c:manualLayout>
          <c:layoutTarget val="inner"/>
          <c:xMode val="edge"/>
          <c:yMode val="edge"/>
          <c:x val="0.29900656167979001"/>
          <c:y val="0.13687335958005201"/>
          <c:w val="0.40476465441819798"/>
          <c:h val="0.67460775736366296"/>
        </c:manualLayout>
      </c:layout>
      <c:doughnutChart>
        <c:varyColors val="1"/>
        <c:ser>
          <c:idx val="0"/>
          <c:order val="0"/>
          <c:tx>
            <c:strRef>
              <c:f>localidades!$F$48</c:f>
              <c:strCache>
                <c:ptCount val="1"/>
                <c:pt idx="0">
                  <c:v>Suba: 441.449 hogares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4B1-F245-864A-9B3BA025A5F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4B1-F245-864A-9B3BA025A5F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4B1-F245-864A-9B3BA025A5F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4B1-F245-864A-9B3BA025A5F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4B1-F245-864A-9B3BA025A5F6}"/>
              </c:ext>
            </c:extLst>
          </c:dPt>
          <c:dLbls>
            <c:dLbl>
              <c:idx val="0"/>
              <c:layout>
                <c:manualLayout>
                  <c:x val="0.12777777777777799"/>
                  <c:y val="1.38888888888889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D4B1-F245-864A-9B3BA025A5F6}"/>
                </c:ext>
              </c:extLst>
            </c:dLbl>
            <c:dLbl>
              <c:idx val="1"/>
              <c:layout>
                <c:manualLayout>
                  <c:x val="-0.13611111111111099"/>
                  <c:y val="2.7777777777777801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D4B1-F245-864A-9B3BA025A5F6}"/>
                </c:ext>
              </c:extLst>
            </c:dLbl>
            <c:dLbl>
              <c:idx val="2"/>
              <c:layout>
                <c:manualLayout>
                  <c:x val="-0.13888888888888901"/>
                  <c:y val="-4.6296296296295903E-3"/>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D4B1-F245-864A-9B3BA025A5F6}"/>
                </c:ext>
              </c:extLst>
            </c:dLbl>
            <c:dLbl>
              <c:idx val="3"/>
              <c:layout>
                <c:manualLayout>
                  <c:x val="-0.147222222222222"/>
                  <c:y val="-5.0925925925925902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D4B1-F245-864A-9B3BA025A5F6}"/>
                </c:ext>
              </c:extLst>
            </c:dLbl>
            <c:dLbl>
              <c:idx val="4"/>
              <c:layout>
                <c:manualLayout>
                  <c:x val="-2.7777777777777302E-3"/>
                  <c:y val="0.17592592592592601"/>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D4B1-F245-864A-9B3BA025A5F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localidades!$A$49:$A$53</c:f>
              <c:strCache>
                <c:ptCount val="5"/>
                <c:pt idx="0">
                  <c:v>Familiar Nuclear</c:v>
                </c:pt>
                <c:pt idx="1">
                  <c:v>Familiar Amplio</c:v>
                </c:pt>
                <c:pt idx="2">
                  <c:v>Familiar sin núcleo</c:v>
                </c:pt>
                <c:pt idx="3">
                  <c:v>No Familiar Unipersonal</c:v>
                </c:pt>
                <c:pt idx="4">
                  <c:v>No Familiar sin núcleo</c:v>
                </c:pt>
              </c:strCache>
            </c:strRef>
          </c:cat>
          <c:val>
            <c:numRef>
              <c:f>localidades!$F$49:$F$53</c:f>
              <c:numCache>
                <c:formatCode>_(* #,##0_);_(* \(#,##0\);_(* "-"_);_(@_)</c:formatCode>
                <c:ptCount val="5"/>
                <c:pt idx="0">
                  <c:v>279745.99800000002</c:v>
                </c:pt>
                <c:pt idx="1">
                  <c:v>60124.194000000003</c:v>
                </c:pt>
                <c:pt idx="2">
                  <c:v>14716.16</c:v>
                </c:pt>
                <c:pt idx="3">
                  <c:v>83135.48</c:v>
                </c:pt>
                <c:pt idx="4">
                  <c:v>3727.1039999999998</c:v>
                </c:pt>
              </c:numCache>
            </c:numRef>
          </c:val>
          <c:extLst>
            <c:ext xmlns:c16="http://schemas.microsoft.com/office/drawing/2014/chart" uri="{C3380CC4-5D6E-409C-BE32-E72D297353CC}">
              <c16:uniqueId val="{0000000A-D4B1-F245-864A-9B3BA025A5F6}"/>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2.6008311461067401E-3"/>
          <c:y val="0.82296077573636595"/>
          <c:w val="0.99202034120734905"/>
          <c:h val="0.149261446485855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2.146652332665059E-2"/>
          <c:y val="2.6128638528627363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Garamond" panose="02020404030301010803" pitchFamily="18" charset="0"/>
              <a:ea typeface="+mn-ea"/>
              <a:cs typeface="+mn-cs"/>
            </a:defRPr>
          </a:pPr>
          <a:endParaRPr lang="es-CO"/>
        </a:p>
      </c:txPr>
    </c:title>
    <c:autoTitleDeleted val="0"/>
    <c:plotArea>
      <c:layout>
        <c:manualLayout>
          <c:layoutTarget val="inner"/>
          <c:xMode val="edge"/>
          <c:yMode val="edge"/>
          <c:x val="0.29900656167979001"/>
          <c:y val="0.13687335958005201"/>
          <c:w val="0.40476465441819798"/>
          <c:h val="0.67460775736366296"/>
        </c:manualLayout>
      </c:layout>
      <c:doughnutChart>
        <c:varyColors val="1"/>
        <c:ser>
          <c:idx val="0"/>
          <c:order val="0"/>
          <c:tx>
            <c:strRef>
              <c:f>localidades!$E$48</c:f>
              <c:strCache>
                <c:ptCount val="1"/>
                <c:pt idx="0">
                  <c:v>Kennedy: 389.299</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11A-D84F-AE60-EC1E7791652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11A-D84F-AE60-EC1E7791652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11A-D84F-AE60-EC1E7791652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11A-D84F-AE60-EC1E7791652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11A-D84F-AE60-EC1E77916525}"/>
              </c:ext>
            </c:extLst>
          </c:dPt>
          <c:dLbls>
            <c:dLbl>
              <c:idx val="0"/>
              <c:layout>
                <c:manualLayout>
                  <c:x val="0.12169015164157899"/>
                  <c:y val="9.0702915455954502E-3"/>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811A-D84F-AE60-EC1E77916525}"/>
                </c:ext>
              </c:extLst>
            </c:dLbl>
            <c:dLbl>
              <c:idx val="1"/>
              <c:layout>
                <c:manualLayout>
                  <c:x val="-0.10478874169136"/>
                  <c:y val="0.113378644319944"/>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811A-D84F-AE60-EC1E77916525}"/>
                </c:ext>
              </c:extLst>
            </c:dLbl>
            <c:dLbl>
              <c:idx val="2"/>
              <c:layout>
                <c:manualLayout>
                  <c:x val="-0.158873253532062"/>
                  <c:y val="3.6281166182382099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811A-D84F-AE60-EC1E77916525}"/>
                </c:ext>
              </c:extLst>
            </c:dLbl>
            <c:dLbl>
              <c:idx val="3"/>
              <c:layout>
                <c:manualLayout>
                  <c:x val="-0.10478874169136"/>
                  <c:y val="-6.3492040819168802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811A-D84F-AE60-EC1E77916525}"/>
                </c:ext>
              </c:extLst>
            </c:dLbl>
            <c:dLbl>
              <c:idx val="4"/>
              <c:layout>
                <c:manualLayout>
                  <c:x val="6.7605639800876801E-3"/>
                  <c:y val="0.113378644319944"/>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811A-D84F-AE60-EC1E77916525}"/>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localidades!$A$49:$A$53</c:f>
              <c:strCache>
                <c:ptCount val="5"/>
                <c:pt idx="0">
                  <c:v>Familiar Nuclear</c:v>
                </c:pt>
                <c:pt idx="1">
                  <c:v>Familiar Amplio</c:v>
                </c:pt>
                <c:pt idx="2">
                  <c:v>Familiar sin núcleo</c:v>
                </c:pt>
                <c:pt idx="3">
                  <c:v>No Familiar Unipersonal</c:v>
                </c:pt>
                <c:pt idx="4">
                  <c:v>No Familiar sin núcleo</c:v>
                </c:pt>
              </c:strCache>
            </c:strRef>
          </c:cat>
          <c:val>
            <c:numRef>
              <c:f>localidades!$E$49:$E$53</c:f>
              <c:numCache>
                <c:formatCode>_(* #,##0_);_(* \(#,##0\);_(* "-"_);_(@_)</c:formatCode>
                <c:ptCount val="5"/>
                <c:pt idx="0">
                  <c:v>259552.19699999999</c:v>
                </c:pt>
                <c:pt idx="1">
                  <c:v>67068.005100000009</c:v>
                </c:pt>
                <c:pt idx="2">
                  <c:v>13907.52</c:v>
                </c:pt>
                <c:pt idx="3">
                  <c:v>46095</c:v>
                </c:pt>
                <c:pt idx="4">
                  <c:v>2675.8110000000001</c:v>
                </c:pt>
              </c:numCache>
            </c:numRef>
          </c:val>
          <c:extLst>
            <c:ext xmlns:c16="http://schemas.microsoft.com/office/drawing/2014/chart" uri="{C3380CC4-5D6E-409C-BE32-E72D297353CC}">
              <c16:uniqueId val="{0000000A-811A-D84F-AE60-EC1E77916525}"/>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2.6008311461067401E-3"/>
          <c:y val="0.82296077573636595"/>
          <c:w val="0.99202034120734905"/>
          <c:h val="0.149261446485855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2.7920310699169975E-3"/>
          <c:y val="3.0514168894961294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Garamond" panose="02020404030301010803" pitchFamily="18" charset="0"/>
              <a:ea typeface="+mn-ea"/>
              <a:cs typeface="+mn-cs"/>
            </a:defRPr>
          </a:pPr>
          <a:endParaRPr lang="es-CO"/>
        </a:p>
      </c:txPr>
    </c:title>
    <c:autoTitleDeleted val="0"/>
    <c:plotArea>
      <c:layout>
        <c:manualLayout>
          <c:layoutTarget val="inner"/>
          <c:xMode val="edge"/>
          <c:yMode val="edge"/>
          <c:x val="0.29900656167979001"/>
          <c:y val="0.13687335958005201"/>
          <c:w val="0.40476465441819798"/>
          <c:h val="0.67460775736366296"/>
        </c:manualLayout>
      </c:layout>
      <c:doughnutChart>
        <c:varyColors val="1"/>
        <c:ser>
          <c:idx val="0"/>
          <c:order val="0"/>
          <c:tx>
            <c:strRef>
              <c:f>localidades!$D$48</c:f>
              <c:strCache>
                <c:ptCount val="1"/>
                <c:pt idx="0">
                  <c:v>Engativá: 286.994</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220-4A43-A311-4D30DBE7814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220-4A43-A311-4D30DBE7814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220-4A43-A311-4D30DBE7814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220-4A43-A311-4D30DBE7814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220-4A43-A311-4D30DBE78141}"/>
              </c:ext>
            </c:extLst>
          </c:dPt>
          <c:dLbls>
            <c:dLbl>
              <c:idx val="0"/>
              <c:layout>
                <c:manualLayout>
                  <c:x val="0.111549305671448"/>
                  <c:y val="1.8140583091191001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C220-4A43-A311-4D30DBE78141}"/>
                </c:ext>
              </c:extLst>
            </c:dLbl>
            <c:dLbl>
              <c:idx val="1"/>
              <c:layout>
                <c:manualLayout>
                  <c:x val="-0.12507043363162301"/>
                  <c:y val="4.0816311955179797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C220-4A43-A311-4D30DBE78141}"/>
                </c:ext>
              </c:extLst>
            </c:dLbl>
            <c:dLbl>
              <c:idx val="2"/>
              <c:layout>
                <c:manualLayout>
                  <c:x val="-0.12507043363162301"/>
                  <c:y val="0"/>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C220-4A43-A311-4D30DBE78141}"/>
                </c:ext>
              </c:extLst>
            </c:dLbl>
            <c:dLbl>
              <c:idx val="3"/>
              <c:layout>
                <c:manualLayout>
                  <c:x val="-0.10478874169136"/>
                  <c:y val="-5.8956895046371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C220-4A43-A311-4D30DBE78141}"/>
                </c:ext>
              </c:extLst>
            </c:dLbl>
            <c:dLbl>
              <c:idx val="4"/>
              <c:layout>
                <c:manualLayout>
                  <c:x val="1.35211279601754E-2"/>
                  <c:y val="0.15873010204792201"/>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C220-4A43-A311-4D30DBE78141}"/>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localidades!$A$49:$A$53</c:f>
              <c:strCache>
                <c:ptCount val="5"/>
                <c:pt idx="0">
                  <c:v>Familiar Nuclear</c:v>
                </c:pt>
                <c:pt idx="1">
                  <c:v>Familiar Amplio</c:v>
                </c:pt>
                <c:pt idx="2">
                  <c:v>Familiar sin núcleo</c:v>
                </c:pt>
                <c:pt idx="3">
                  <c:v>No Familiar Unipersonal</c:v>
                </c:pt>
                <c:pt idx="4">
                  <c:v>No Familiar sin núcleo</c:v>
                </c:pt>
              </c:strCache>
            </c:strRef>
          </c:cat>
          <c:val>
            <c:numRef>
              <c:f>localidades!$D$49:$D$53</c:f>
              <c:numCache>
                <c:formatCode>_(* #,##0_);_(* \(#,##0\);_(* "-"_);_(@_)</c:formatCode>
                <c:ptCount val="5"/>
                <c:pt idx="0">
                  <c:v>181627.18399999998</c:v>
                </c:pt>
                <c:pt idx="1">
                  <c:v>51537.96</c:v>
                </c:pt>
                <c:pt idx="2">
                  <c:v>11421.68</c:v>
                </c:pt>
                <c:pt idx="3">
                  <c:v>39729.839999999997</c:v>
                </c:pt>
                <c:pt idx="4">
                  <c:v>2677.509</c:v>
                </c:pt>
              </c:numCache>
            </c:numRef>
          </c:val>
          <c:extLst>
            <c:ext xmlns:c16="http://schemas.microsoft.com/office/drawing/2014/chart" uri="{C3380CC4-5D6E-409C-BE32-E72D297353CC}">
              <c16:uniqueId val="{0000000A-C220-4A43-A311-4D30DBE78141}"/>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2.6008311461067401E-3"/>
          <c:y val="0.82296077573636595"/>
          <c:w val="0.99202034120734905"/>
          <c:h val="0.149261446485855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7.4308997999310495E-4"/>
          <c:y val="4.0427391449978103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Garamond" panose="02020404030301010803" pitchFamily="18" charset="0"/>
              <a:ea typeface="+mn-ea"/>
              <a:cs typeface="+mn-cs"/>
            </a:defRPr>
          </a:pPr>
          <a:endParaRPr lang="es-CO"/>
        </a:p>
      </c:txPr>
    </c:title>
    <c:autoTitleDeleted val="0"/>
    <c:plotArea>
      <c:layout>
        <c:manualLayout>
          <c:layoutTarget val="inner"/>
          <c:xMode val="edge"/>
          <c:yMode val="edge"/>
          <c:x val="0.29900656167979001"/>
          <c:y val="0.13687335958005201"/>
          <c:w val="0.40476465441819798"/>
          <c:h val="0.67460775736366296"/>
        </c:manualLayout>
      </c:layout>
      <c:doughnutChart>
        <c:varyColors val="1"/>
        <c:ser>
          <c:idx val="0"/>
          <c:order val="0"/>
          <c:tx>
            <c:strRef>
              <c:f>localidades!$C$48</c:f>
              <c:strCache>
                <c:ptCount val="1"/>
                <c:pt idx="0">
                  <c:v>Ciudad Bolivar: 228.049</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34A-224C-9BA3-C664FCDE525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34A-224C-9BA3-C664FCDE525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34A-224C-9BA3-C664FCDE525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34A-224C-9BA3-C664FCDE525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34A-224C-9BA3-C664FCDE5259}"/>
              </c:ext>
            </c:extLst>
          </c:dPt>
          <c:dLbls>
            <c:dLbl>
              <c:idx val="0"/>
              <c:layout>
                <c:manualLayout>
                  <c:x val="0.135211279601755"/>
                  <c:y val="3.6281166182382099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834A-224C-9BA3-C664FCDE5259}"/>
                </c:ext>
              </c:extLst>
            </c:dLbl>
            <c:dLbl>
              <c:idx val="1"/>
              <c:layout>
                <c:manualLayout>
                  <c:x val="-0.101408459701316"/>
                  <c:y val="0.14965981050232599"/>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834A-224C-9BA3-C664FCDE5259}"/>
                </c:ext>
              </c:extLst>
            </c:dLbl>
            <c:dLbl>
              <c:idx val="2"/>
              <c:layout>
                <c:manualLayout>
                  <c:x val="-0.12169015164157899"/>
                  <c:y val="1.8140583091191102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834A-224C-9BA3-C664FCDE5259}"/>
                </c:ext>
              </c:extLst>
            </c:dLbl>
            <c:dLbl>
              <c:idx val="3"/>
              <c:layout>
                <c:manualLayout>
                  <c:x val="-0.135211279601755"/>
                  <c:y val="-5.8956895046371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834A-224C-9BA3-C664FCDE5259}"/>
                </c:ext>
              </c:extLst>
            </c:dLbl>
            <c:dLbl>
              <c:idx val="4"/>
              <c:layout>
                <c:manualLayout>
                  <c:x val="0"/>
                  <c:y val="0.18594097668470799"/>
                </c:manualLayout>
              </c:layout>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834A-224C-9BA3-C664FCDE5259}"/>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localidades!$A$49:$A$53</c:f>
              <c:strCache>
                <c:ptCount val="5"/>
                <c:pt idx="0">
                  <c:v>Familiar Nuclear</c:v>
                </c:pt>
                <c:pt idx="1">
                  <c:v>Familiar Amplio</c:v>
                </c:pt>
                <c:pt idx="2">
                  <c:v>Familiar sin núcleo</c:v>
                </c:pt>
                <c:pt idx="3">
                  <c:v>No Familiar Unipersonal</c:v>
                </c:pt>
                <c:pt idx="4">
                  <c:v>No Familiar sin núcleo</c:v>
                </c:pt>
              </c:strCache>
            </c:strRef>
          </c:cat>
          <c:val>
            <c:numRef>
              <c:f>localidades!$C$49:$C$53</c:f>
              <c:numCache>
                <c:formatCode>_(* #,##0_);_(* \(#,##0\);_(* "-"_);_(@_)</c:formatCode>
                <c:ptCount val="5"/>
                <c:pt idx="0">
                  <c:v>154785.18400000001</c:v>
                </c:pt>
                <c:pt idx="1">
                  <c:v>36999.449000000001</c:v>
                </c:pt>
                <c:pt idx="2">
                  <c:v>6003.5320000000002</c:v>
                </c:pt>
                <c:pt idx="3">
                  <c:v>29241.32</c:v>
                </c:pt>
                <c:pt idx="4">
                  <c:v>1019.478</c:v>
                </c:pt>
              </c:numCache>
            </c:numRef>
          </c:val>
          <c:extLst>
            <c:ext xmlns:c16="http://schemas.microsoft.com/office/drawing/2014/chart" uri="{C3380CC4-5D6E-409C-BE32-E72D297353CC}">
              <c16:uniqueId val="{0000000A-834A-224C-9BA3-C664FCDE5259}"/>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2.6008311461067401E-3"/>
          <c:y val="0.82296077573636595"/>
          <c:w val="0.99202034120734905"/>
          <c:h val="0.149261446485855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1.1594834226701101E-2"/>
          <c:y val="4.0427391449978103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Garamond" panose="02020404030301010803" pitchFamily="18" charset="0"/>
              <a:ea typeface="+mn-ea"/>
              <a:cs typeface="+mn-cs"/>
            </a:defRPr>
          </a:pPr>
          <a:endParaRPr lang="es-CO"/>
        </a:p>
      </c:txPr>
    </c:title>
    <c:autoTitleDeleted val="0"/>
    <c:plotArea>
      <c:layout>
        <c:manualLayout>
          <c:layoutTarget val="inner"/>
          <c:xMode val="edge"/>
          <c:yMode val="edge"/>
          <c:x val="0.29900656167979001"/>
          <c:y val="0.13687335958005201"/>
          <c:w val="0.40476465441819798"/>
          <c:h val="0.67460775736366296"/>
        </c:manualLayout>
      </c:layout>
      <c:doughnutChart>
        <c:varyColors val="1"/>
        <c:ser>
          <c:idx val="0"/>
          <c:order val="0"/>
          <c:tx>
            <c:strRef>
              <c:f>localidades!$B$48</c:f>
              <c:strCache>
                <c:ptCount val="1"/>
                <c:pt idx="0">
                  <c:v>Bosa: 223.256</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150-4444-B5BF-6F3A4939C9B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150-4444-B5BF-6F3A4939C9B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150-4444-B5BF-6F3A4939C9B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150-4444-B5BF-6F3A4939C9B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150-4444-B5BF-6F3A4939C9B8}"/>
              </c:ext>
            </c:extLst>
          </c:dPt>
          <c:dLbls>
            <c:dLbl>
              <c:idx val="0"/>
              <c:layout>
                <c:manualLayout>
                  <c:x val="0.12169015164157899"/>
                  <c:y val="1.3605437318393299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1150-4444-B5BF-6F3A4939C9B8}"/>
                </c:ext>
              </c:extLst>
            </c:dLbl>
            <c:dLbl>
              <c:idx val="1"/>
              <c:layout>
                <c:manualLayout>
                  <c:x val="-0.10478874169136"/>
                  <c:y val="9.0702915455955296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1150-4444-B5BF-6F3A4939C9B8}"/>
                </c:ext>
              </c:extLst>
            </c:dLbl>
            <c:dLbl>
              <c:idx val="2"/>
              <c:layout>
                <c:manualLayout>
                  <c:x val="-0.135211279601755"/>
                  <c:y val="-6.8027186591966493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1150-4444-B5BF-6F3A4939C9B8}"/>
                </c:ext>
              </c:extLst>
            </c:dLbl>
            <c:dLbl>
              <c:idx val="3"/>
              <c:layout>
                <c:manualLayout>
                  <c:x val="-6.4225357810833605E-2"/>
                  <c:y val="-9.9773207001550804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1150-4444-B5BF-6F3A4939C9B8}"/>
                </c:ext>
              </c:extLst>
            </c:dLbl>
            <c:dLbl>
              <c:idx val="4"/>
              <c:layout>
                <c:manualLayout>
                  <c:x val="0"/>
                  <c:y val="0.14512466472952801"/>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1150-4444-B5BF-6F3A4939C9B8}"/>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localidades!$A$49:$A$53</c:f>
              <c:strCache>
                <c:ptCount val="5"/>
                <c:pt idx="0">
                  <c:v>Familiar Nuclear</c:v>
                </c:pt>
                <c:pt idx="1">
                  <c:v>Familiar Amplio</c:v>
                </c:pt>
                <c:pt idx="2">
                  <c:v>Familiar sin núcleo</c:v>
                </c:pt>
                <c:pt idx="3">
                  <c:v>No Familiar Unipersonal</c:v>
                </c:pt>
                <c:pt idx="4">
                  <c:v>No Familiar sin núcleo</c:v>
                </c:pt>
              </c:strCache>
            </c:strRef>
          </c:cat>
          <c:val>
            <c:numRef>
              <c:f>localidades!$B$49:$B$53</c:f>
              <c:numCache>
                <c:formatCode>_(* #,##0_);_(* \(#,##0\);_(* "-"_);_(@_)</c:formatCode>
                <c:ptCount val="5"/>
                <c:pt idx="0">
                  <c:v>155812.04310000001</c:v>
                </c:pt>
                <c:pt idx="1">
                  <c:v>39887.551999999996</c:v>
                </c:pt>
                <c:pt idx="2">
                  <c:v>6813.9809999999998</c:v>
                </c:pt>
                <c:pt idx="3">
                  <c:v>19503.88</c:v>
                </c:pt>
                <c:pt idx="4">
                  <c:v>1238.1836000000001</c:v>
                </c:pt>
              </c:numCache>
            </c:numRef>
          </c:val>
          <c:extLst>
            <c:ext xmlns:c16="http://schemas.microsoft.com/office/drawing/2014/chart" uri="{C3380CC4-5D6E-409C-BE32-E72D297353CC}">
              <c16:uniqueId val="{0000000A-1150-4444-B5BF-6F3A4939C9B8}"/>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2.6008311461067401E-3"/>
          <c:y val="0.82296077573636595"/>
          <c:w val="0.99202034120734905"/>
          <c:h val="0.149261446485855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1.60393356740863E-4"/>
          <c:y val="3.5935459066647198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Garamond" panose="02020404030301010803" pitchFamily="18" charset="0"/>
              <a:ea typeface="+mn-ea"/>
              <a:cs typeface="+mn-cs"/>
            </a:defRPr>
          </a:pPr>
          <a:endParaRPr lang="es-CO"/>
        </a:p>
      </c:txPr>
    </c:title>
    <c:autoTitleDeleted val="0"/>
    <c:plotArea>
      <c:layout>
        <c:manualLayout>
          <c:layoutTarget val="inner"/>
          <c:xMode val="edge"/>
          <c:yMode val="edge"/>
          <c:x val="0.29900656167979001"/>
          <c:y val="0.13687335958005201"/>
          <c:w val="0.40476465441819798"/>
          <c:h val="0.67460775736366296"/>
        </c:manualLayout>
      </c:layout>
      <c:doughnutChart>
        <c:varyColors val="1"/>
        <c:ser>
          <c:idx val="0"/>
          <c:order val="0"/>
          <c:tx>
            <c:strRef>
              <c:f>localidades!$F$74</c:f>
              <c:strCache>
                <c:ptCount val="1"/>
                <c:pt idx="0">
                  <c:v>Usaquén: 183.607</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AE9-1842-B387-62155768E4E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AE9-1842-B387-62155768E4E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AE9-1842-B387-62155768E4E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AE9-1842-B387-62155768E4E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AE9-1842-B387-62155768E4E3}"/>
              </c:ext>
            </c:extLst>
          </c:dPt>
          <c:dLbls>
            <c:dLbl>
              <c:idx val="0"/>
              <c:layout>
                <c:manualLayout>
                  <c:x val="0.13152786356579901"/>
                  <c:y val="3.59354590666471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FAE9-1842-B387-62155768E4E3}"/>
                </c:ext>
              </c:extLst>
            </c:dLbl>
            <c:dLbl>
              <c:idx val="1"/>
              <c:layout>
                <c:manualLayout>
                  <c:x val="-0.101175279665999"/>
                  <c:y val="9.8822512433279802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FAE9-1842-B387-62155768E4E3}"/>
                </c:ext>
              </c:extLst>
            </c:dLbl>
            <c:dLbl>
              <c:idx val="2"/>
              <c:layout>
                <c:manualLayout>
                  <c:x val="-0.134900372887999"/>
                  <c:y val="4.0427391449977999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FAE9-1842-B387-62155768E4E3}"/>
                </c:ext>
              </c:extLst>
            </c:dLbl>
            <c:dLbl>
              <c:idx val="3"/>
              <c:layout>
                <c:manualLayout>
                  <c:x val="-0.15513542882119899"/>
                  <c:y val="-5.39031885999708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FAE9-1842-B387-62155768E4E3}"/>
                </c:ext>
              </c:extLst>
            </c:dLbl>
            <c:dLbl>
              <c:idx val="4"/>
              <c:layout>
                <c:manualLayout>
                  <c:x val="1.01175279665999E-2"/>
                  <c:y val="0.18416922771656699"/>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FAE9-1842-B387-62155768E4E3}"/>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localidades!$A$75:$A$79</c:f>
              <c:strCache>
                <c:ptCount val="5"/>
                <c:pt idx="0">
                  <c:v>Familiar Nuclear</c:v>
                </c:pt>
                <c:pt idx="1">
                  <c:v>Familiar Amplio</c:v>
                </c:pt>
                <c:pt idx="2">
                  <c:v>Familiar sin núcleo</c:v>
                </c:pt>
                <c:pt idx="3">
                  <c:v>No FamiliarUnipersonal</c:v>
                </c:pt>
                <c:pt idx="4">
                  <c:v>No Familiar sin núcleo</c:v>
                </c:pt>
              </c:strCache>
            </c:strRef>
          </c:cat>
          <c:val>
            <c:numRef>
              <c:f>localidades!$F$75:$F$79</c:f>
              <c:numCache>
                <c:formatCode>_(* #,##0_);_(* \(#,##0\);_(* "-"_);_(@_)</c:formatCode>
                <c:ptCount val="5"/>
                <c:pt idx="0">
                  <c:v>107922.217</c:v>
                </c:pt>
                <c:pt idx="1">
                  <c:v>17068.2503</c:v>
                </c:pt>
                <c:pt idx="2">
                  <c:v>8085.076</c:v>
                </c:pt>
                <c:pt idx="3">
                  <c:v>47419.03</c:v>
                </c:pt>
                <c:pt idx="4">
                  <c:v>3112.7640000000001</c:v>
                </c:pt>
              </c:numCache>
            </c:numRef>
          </c:val>
          <c:extLst>
            <c:ext xmlns:c16="http://schemas.microsoft.com/office/drawing/2014/chart" uri="{C3380CC4-5D6E-409C-BE32-E72D297353CC}">
              <c16:uniqueId val="{0000000A-FAE9-1842-B387-62155768E4E3}"/>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2.6008311461067401E-3"/>
          <c:y val="0.82296077573636595"/>
          <c:w val="0.99202034120734905"/>
          <c:h val="0.149261446485855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1.60393356740863E-4"/>
          <c:y val="3.5935459066647198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Garamond" panose="02020404030301010803" pitchFamily="18" charset="0"/>
              <a:ea typeface="+mn-ea"/>
              <a:cs typeface="+mn-cs"/>
            </a:defRPr>
          </a:pPr>
          <a:endParaRPr lang="es-CO"/>
        </a:p>
      </c:txPr>
    </c:title>
    <c:autoTitleDeleted val="0"/>
    <c:plotArea>
      <c:layout>
        <c:manualLayout>
          <c:layoutTarget val="inner"/>
          <c:xMode val="edge"/>
          <c:yMode val="edge"/>
          <c:x val="0.29900656167979001"/>
          <c:y val="0.13687335958005201"/>
          <c:w val="0.40476465441819798"/>
          <c:h val="0.67460775736366296"/>
        </c:manualLayout>
      </c:layout>
      <c:doughnutChart>
        <c:varyColors val="1"/>
        <c:ser>
          <c:idx val="0"/>
          <c:order val="0"/>
          <c:tx>
            <c:strRef>
              <c:f>localidades!$E$74</c:f>
              <c:strCache>
                <c:ptCount val="1"/>
                <c:pt idx="0">
                  <c:v>Fontibón: 141.428</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D85-E645-8015-354F8262F20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D85-E645-8015-354F8262F20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D85-E645-8015-354F8262F20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D85-E645-8015-354F8262F20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D85-E645-8015-354F8262F209}"/>
              </c:ext>
            </c:extLst>
          </c:dPt>
          <c:dLbls>
            <c:dLbl>
              <c:idx val="0"/>
              <c:layout>
                <c:manualLayout>
                  <c:x val="0.16188044746559899"/>
                  <c:y val="2.2459661916654501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4D85-E645-8015-354F8262F209}"/>
                </c:ext>
              </c:extLst>
            </c:dLbl>
            <c:dLbl>
              <c:idx val="1"/>
              <c:layout>
                <c:manualLayout>
                  <c:x val="-0.104547788988199"/>
                  <c:y val="9.8822512433279705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4D85-E645-8015-354F8262F209}"/>
                </c:ext>
              </c:extLst>
            </c:dLbl>
            <c:dLbl>
              <c:idx val="2"/>
              <c:layout>
                <c:manualLayout>
                  <c:x val="-0.171997975432199"/>
                  <c:y val="1.34757971499927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4D85-E645-8015-354F8262F209}"/>
                </c:ext>
              </c:extLst>
            </c:dLbl>
            <c:dLbl>
              <c:idx val="3"/>
              <c:layout>
                <c:manualLayout>
                  <c:x val="-0.20909557797639899"/>
                  <c:y val="-3.1443526683316299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4D85-E645-8015-354F8262F209}"/>
                </c:ext>
              </c:extLst>
            </c:dLbl>
            <c:dLbl>
              <c:idx val="4"/>
              <c:layout>
                <c:manualLayout>
                  <c:x val="1.01175279665999E-2"/>
                  <c:y val="0.17967729533323601"/>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4D85-E645-8015-354F8262F209}"/>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localidades!$A$75:$A$79</c:f>
              <c:strCache>
                <c:ptCount val="5"/>
                <c:pt idx="0">
                  <c:v>Familiar Nuclear</c:v>
                </c:pt>
                <c:pt idx="1">
                  <c:v>Familiar Amplio</c:v>
                </c:pt>
                <c:pt idx="2">
                  <c:v>Familiar sin núcleo</c:v>
                </c:pt>
                <c:pt idx="3">
                  <c:v>No FamiliarUnipersonal</c:v>
                </c:pt>
                <c:pt idx="4">
                  <c:v>No Familiar sin núcleo</c:v>
                </c:pt>
              </c:strCache>
            </c:strRef>
          </c:cat>
          <c:val>
            <c:numRef>
              <c:f>localidades!$E$75:$E$79</c:f>
              <c:numCache>
                <c:formatCode>_(* #,##0_);_(* \(#,##0\);_(* "-"_);_(@_)</c:formatCode>
                <c:ptCount val="5"/>
                <c:pt idx="0">
                  <c:v>90782.489000000001</c:v>
                </c:pt>
                <c:pt idx="1">
                  <c:v>20463.232</c:v>
                </c:pt>
                <c:pt idx="2">
                  <c:v>5565.8959999999997</c:v>
                </c:pt>
                <c:pt idx="3">
                  <c:v>22813.109</c:v>
                </c:pt>
                <c:pt idx="4">
                  <c:v>1803.576</c:v>
                </c:pt>
              </c:numCache>
            </c:numRef>
          </c:val>
          <c:extLst>
            <c:ext xmlns:c16="http://schemas.microsoft.com/office/drawing/2014/chart" uri="{C3380CC4-5D6E-409C-BE32-E72D297353CC}">
              <c16:uniqueId val="{0000000A-4D85-E645-8015-354F8262F209}"/>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2.6008311461067401E-3"/>
          <c:y val="0.82296077573636595"/>
          <c:w val="0.99202034120734905"/>
          <c:h val="0.149261446485855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1.60393356740863E-4"/>
          <c:y val="3.5935459066647198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Garamond" panose="02020404030301010803" pitchFamily="18" charset="0"/>
              <a:ea typeface="+mn-ea"/>
              <a:cs typeface="+mn-cs"/>
            </a:defRPr>
          </a:pPr>
          <a:endParaRPr lang="es-CO"/>
        </a:p>
      </c:txPr>
    </c:title>
    <c:autoTitleDeleted val="0"/>
    <c:plotArea>
      <c:layout>
        <c:manualLayout>
          <c:layoutTarget val="inner"/>
          <c:xMode val="edge"/>
          <c:yMode val="edge"/>
          <c:x val="0.29900656167979001"/>
          <c:y val="0.13687335958005201"/>
          <c:w val="0.40476465441819798"/>
          <c:h val="0.67460775736366296"/>
        </c:manualLayout>
      </c:layout>
      <c:doughnutChart>
        <c:varyColors val="1"/>
        <c:ser>
          <c:idx val="0"/>
          <c:order val="0"/>
          <c:tx>
            <c:strRef>
              <c:f>localidades!$D$74</c:f>
              <c:strCache>
                <c:ptCount val="1"/>
                <c:pt idx="0">
                  <c:v>San Cristóbal: 121.032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27B-2F44-A316-CA65C54DB06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27B-2F44-A316-CA65C54DB06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27B-2F44-A316-CA65C54DB06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27B-2F44-A316-CA65C54DB06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27B-2F44-A316-CA65C54DB06C}"/>
              </c:ext>
            </c:extLst>
          </c:dPt>
          <c:dLbls>
            <c:dLbl>
              <c:idx val="0"/>
              <c:layout>
                <c:manualLayout>
                  <c:x val="0.14501790085459901"/>
                  <c:y val="1.7967729533323502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B27B-2F44-A316-CA65C54DB06C}"/>
                </c:ext>
              </c:extLst>
            </c:dLbl>
            <c:dLbl>
              <c:idx val="1"/>
              <c:layout>
                <c:manualLayout>
                  <c:x val="-9.4430261021599404E-2"/>
                  <c:y val="0.121282174349934"/>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B27B-2F44-A316-CA65C54DB06C}"/>
                </c:ext>
              </c:extLst>
            </c:dLbl>
            <c:dLbl>
              <c:idx val="2"/>
              <c:layout>
                <c:manualLayout>
                  <c:x val="-0.141645391532399"/>
                  <c:y val="3.59354590666471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B27B-2F44-A316-CA65C54DB06C}"/>
                </c:ext>
              </c:extLst>
            </c:dLbl>
            <c:dLbl>
              <c:idx val="3"/>
              <c:layout>
                <c:manualLayout>
                  <c:x val="-0.202350559331999"/>
                  <c:y val="-3.5935459066647198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B27B-2F44-A316-CA65C54DB06C}"/>
                </c:ext>
              </c:extLst>
            </c:dLbl>
            <c:dLbl>
              <c:idx val="4"/>
              <c:layout>
                <c:manualLayout>
                  <c:x val="3.3725093221999201E-3"/>
                  <c:y val="0.19764502486655999"/>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B27B-2F44-A316-CA65C54DB06C}"/>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localidades!$A$75:$A$79</c:f>
              <c:strCache>
                <c:ptCount val="5"/>
                <c:pt idx="0">
                  <c:v>Familiar Nuclear</c:v>
                </c:pt>
                <c:pt idx="1">
                  <c:v>Familiar Amplio</c:v>
                </c:pt>
                <c:pt idx="2">
                  <c:v>Familiar sin núcleo</c:v>
                </c:pt>
                <c:pt idx="3">
                  <c:v>No FamiliarUnipersonal</c:v>
                </c:pt>
                <c:pt idx="4">
                  <c:v>No Familiar sin núcleo</c:v>
                </c:pt>
              </c:strCache>
            </c:strRef>
          </c:cat>
          <c:val>
            <c:numRef>
              <c:f>localidades!$D$75:$D$79</c:f>
              <c:numCache>
                <c:formatCode>_(* #,##0_);_(* \(#,##0\);_(* "-"_);_(@_)</c:formatCode>
                <c:ptCount val="5"/>
                <c:pt idx="0">
                  <c:v>80813.671000000002</c:v>
                </c:pt>
                <c:pt idx="1">
                  <c:v>21062.46</c:v>
                </c:pt>
                <c:pt idx="2">
                  <c:v>3441.41</c:v>
                </c:pt>
                <c:pt idx="3">
                  <c:v>15264.71</c:v>
                </c:pt>
                <c:pt idx="4">
                  <c:v>449.34888000000001</c:v>
                </c:pt>
              </c:numCache>
            </c:numRef>
          </c:val>
          <c:extLst>
            <c:ext xmlns:c16="http://schemas.microsoft.com/office/drawing/2014/chart" uri="{C3380CC4-5D6E-409C-BE32-E72D297353CC}">
              <c16:uniqueId val="{0000000A-B27B-2F44-A316-CA65C54DB06C}"/>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2.6008311461067401E-3"/>
          <c:y val="0.82296077573636595"/>
          <c:w val="0.99202034120734905"/>
          <c:h val="0.149261446485855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1.60393356740863E-4"/>
          <c:y val="3.5935459066647198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Garamond" panose="02020404030301010803" pitchFamily="18" charset="0"/>
              <a:ea typeface="+mn-ea"/>
              <a:cs typeface="+mn-cs"/>
            </a:defRPr>
          </a:pPr>
          <a:endParaRPr lang="es-CO"/>
        </a:p>
      </c:txPr>
    </c:title>
    <c:autoTitleDeleted val="0"/>
    <c:plotArea>
      <c:layout>
        <c:manualLayout>
          <c:layoutTarget val="inner"/>
          <c:xMode val="edge"/>
          <c:yMode val="edge"/>
          <c:x val="0.29900656167979001"/>
          <c:y val="0.13687335958005201"/>
          <c:w val="0.40476465441819798"/>
          <c:h val="0.67460775736366296"/>
        </c:manualLayout>
      </c:layout>
      <c:doughnutChart>
        <c:varyColors val="1"/>
        <c:ser>
          <c:idx val="0"/>
          <c:order val="0"/>
          <c:tx>
            <c:strRef>
              <c:f>localidades!$C$74</c:f>
              <c:strCache>
                <c:ptCount val="1"/>
                <c:pt idx="0">
                  <c:v>Rafael Uribe Uribe: 114.962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E13-A447-B8A7-BF81EE5F61A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E13-A447-B8A7-BF81EE5F61A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E13-A447-B8A7-BF81EE5F61A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E13-A447-B8A7-BF81EE5F61A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E13-A447-B8A7-BF81EE5F61AF}"/>
              </c:ext>
            </c:extLst>
          </c:dPt>
          <c:dLbls>
            <c:dLbl>
              <c:idx val="0"/>
              <c:layout>
                <c:manualLayout>
                  <c:x val="0.134900372887999"/>
                  <c:y val="3.5935459066647198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5E13-A447-B8A7-BF81EE5F61AF}"/>
                </c:ext>
              </c:extLst>
            </c:dLbl>
            <c:dLbl>
              <c:idx val="1"/>
              <c:layout>
                <c:manualLayout>
                  <c:x val="-8.7685242377199504E-2"/>
                  <c:y val="0.139249903883258"/>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5E13-A447-B8A7-BF81EE5F61AF}"/>
                </c:ext>
              </c:extLst>
            </c:dLbl>
            <c:dLbl>
              <c:idx val="2"/>
              <c:layout>
                <c:manualLayout>
                  <c:x val="-0.134900372887999"/>
                  <c:y val="3.5935459066647198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5E13-A447-B8A7-BF81EE5F61AF}"/>
                </c:ext>
              </c:extLst>
            </c:dLbl>
            <c:dLbl>
              <c:idx val="3"/>
              <c:layout>
                <c:manualLayout>
                  <c:x val="-0.128155354243599"/>
                  <c:y val="-4.0427391449978103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5E13-A447-B8A7-BF81EE5F61AF}"/>
                </c:ext>
              </c:extLst>
            </c:dLbl>
            <c:dLbl>
              <c:idx val="4"/>
              <c:layout>
                <c:manualLayout>
                  <c:x val="3.3725093221999201E-3"/>
                  <c:y val="0.152725701033251"/>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5E13-A447-B8A7-BF81EE5F61AF}"/>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localidades!$A$75:$A$79</c:f>
              <c:strCache>
                <c:ptCount val="5"/>
                <c:pt idx="0">
                  <c:v>Familiar Nuclear</c:v>
                </c:pt>
                <c:pt idx="1">
                  <c:v>Familiar Amplio</c:v>
                </c:pt>
                <c:pt idx="2">
                  <c:v>Familiar sin núcleo</c:v>
                </c:pt>
                <c:pt idx="3">
                  <c:v>No FamiliarUnipersonal</c:v>
                </c:pt>
                <c:pt idx="4">
                  <c:v>No Familiar sin núcleo</c:v>
                </c:pt>
              </c:strCache>
            </c:strRef>
          </c:cat>
          <c:val>
            <c:numRef>
              <c:f>localidades!$C$75:$C$79</c:f>
              <c:numCache>
                <c:formatCode>_(* #,##0_);_(* \(#,##0\);_(* "-"_);_(@_)</c:formatCode>
                <c:ptCount val="5"/>
                <c:pt idx="0">
                  <c:v>77880.98</c:v>
                </c:pt>
                <c:pt idx="1">
                  <c:v>17898.482390000001</c:v>
                </c:pt>
                <c:pt idx="2">
                  <c:v>4048.7979999999998</c:v>
                </c:pt>
                <c:pt idx="3">
                  <c:v>14740.41</c:v>
                </c:pt>
                <c:pt idx="4">
                  <c:v>393.81511</c:v>
                </c:pt>
              </c:numCache>
            </c:numRef>
          </c:val>
          <c:extLst>
            <c:ext xmlns:c16="http://schemas.microsoft.com/office/drawing/2014/chart" uri="{C3380CC4-5D6E-409C-BE32-E72D297353CC}">
              <c16:uniqueId val="{0000000A-5E13-A447-B8A7-BF81EE5F61AF}"/>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2.6008311461067401E-3"/>
          <c:y val="0.82296077573636595"/>
          <c:w val="0.99202034120734905"/>
          <c:h val="0.149261446485855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065481205993161"/>
          <c:y val="0.21431313214046163"/>
          <c:w val="0.47536934266980463"/>
          <c:h val="0.54326015686048801"/>
        </c:manualLayout>
      </c:layout>
      <c:doughnut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415F-4FE6-9561-ADF067BE19D3}"/>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415F-4FE6-9561-ADF067BE19D3}"/>
              </c:ext>
            </c:extLst>
          </c:dPt>
          <c:dPt>
            <c:idx val="2"/>
            <c:bubble3D val="0"/>
            <c:spPr>
              <a:solidFill>
                <a:srgbClr val="0070C0"/>
              </a:solidFill>
              <a:ln w="19050">
                <a:solidFill>
                  <a:schemeClr val="lt1"/>
                </a:solidFill>
              </a:ln>
              <a:effectLst/>
            </c:spPr>
            <c:extLst>
              <c:ext xmlns:c16="http://schemas.microsoft.com/office/drawing/2014/chart" uri="{C3380CC4-5D6E-409C-BE32-E72D297353CC}">
                <c16:uniqueId val="{00000005-415F-4FE6-9561-ADF067BE19D3}"/>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07-415F-4FE6-9561-ADF067BE19D3}"/>
              </c:ext>
            </c:extLst>
          </c:dPt>
          <c:dLbls>
            <c:dLbl>
              <c:idx val="0"/>
              <c:layout>
                <c:manualLayout>
                  <c:x val="0.27760292878519327"/>
                  <c:y val="-0.10831387150544895"/>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6957918083117832"/>
                      <c:h val="0.25079924469660581"/>
                    </c:manualLayout>
                  </c15:layout>
                </c:ext>
                <c:ext xmlns:c16="http://schemas.microsoft.com/office/drawing/2014/chart" uri="{C3380CC4-5D6E-409C-BE32-E72D297353CC}">
                  <c16:uniqueId val="{00000001-415F-4FE6-9561-ADF067BE19D3}"/>
                </c:ext>
              </c:extLst>
            </c:dLbl>
            <c:dLbl>
              <c:idx val="1"/>
              <c:layout>
                <c:manualLayout>
                  <c:x val="0.19878868122342644"/>
                  <c:y val="0.41666669198036593"/>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83969162526271"/>
                      <c:h val="0.21731486544221332"/>
                    </c:manualLayout>
                  </c15:layout>
                </c:ext>
                <c:ext xmlns:c16="http://schemas.microsoft.com/office/drawing/2014/chart" uri="{C3380CC4-5D6E-409C-BE32-E72D297353CC}">
                  <c16:uniqueId val="{00000003-415F-4FE6-9561-ADF067BE19D3}"/>
                </c:ext>
              </c:extLst>
            </c:dLbl>
            <c:dLbl>
              <c:idx val="2"/>
              <c:layout>
                <c:manualLayout>
                  <c:x val="-0.33611111111111114"/>
                  <c:y val="1.851851851851851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415F-4FE6-9561-ADF067BE19D3}"/>
                </c:ext>
              </c:extLst>
            </c:dLbl>
            <c:dLbl>
              <c:idx val="3"/>
              <c:layout>
                <c:manualLayout>
                  <c:x val="-0.1700080386630638"/>
                  <c:y val="-5.1918917782170677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833948339483395"/>
                      <c:h val="0.14970502878874747"/>
                    </c:manualLayout>
                  </c15:layout>
                </c:ext>
                <c:ext xmlns:c16="http://schemas.microsoft.com/office/drawing/2014/chart" uri="{C3380CC4-5D6E-409C-BE32-E72D297353CC}">
                  <c16:uniqueId val="{00000007-415F-4FE6-9561-ADF067BE19D3}"/>
                </c:ext>
              </c:extLst>
            </c:dLbl>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 generales'!$G$7:$G$10</c:f>
              <c:strCache>
                <c:ptCount val="4"/>
                <c:pt idx="0">
                  <c:v>Monoparental jefatura femenina</c:v>
                </c:pt>
                <c:pt idx="1">
                  <c:v>Monoparental jefatura masculina</c:v>
                </c:pt>
                <c:pt idx="2">
                  <c:v>Nuclear con hijos</c:v>
                </c:pt>
                <c:pt idx="3">
                  <c:v>Nuclear sin hijos</c:v>
                </c:pt>
              </c:strCache>
            </c:strRef>
          </c:cat>
          <c:val>
            <c:numRef>
              <c:f>'datos generales'!$H$7:$H$10</c:f>
              <c:numCache>
                <c:formatCode>0.0%</c:formatCode>
                <c:ptCount val="4"/>
                <c:pt idx="0">
                  <c:v>0.11689308626351069</c:v>
                </c:pt>
                <c:pt idx="1">
                  <c:v>2.1028672522947038E-2</c:v>
                </c:pt>
                <c:pt idx="2">
                  <c:v>0.38392744833998882</c:v>
                </c:pt>
                <c:pt idx="3">
                  <c:v>0.11648061511537856</c:v>
                </c:pt>
              </c:numCache>
            </c:numRef>
          </c:val>
          <c:extLst>
            <c:ext xmlns:c16="http://schemas.microsoft.com/office/drawing/2014/chart" uri="{C3380CC4-5D6E-409C-BE32-E72D297353CC}">
              <c16:uniqueId val="{00000008-415F-4FE6-9561-ADF067BE19D3}"/>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sz="700">
          <a:latin typeface="Garamond" panose="02020404030301010803" pitchFamily="18" charset="0"/>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1.60393356740863E-4"/>
          <c:y val="3.5935459066647198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Garamond" panose="02020404030301010803" pitchFamily="18" charset="0"/>
              <a:ea typeface="+mn-ea"/>
              <a:cs typeface="+mn-cs"/>
            </a:defRPr>
          </a:pPr>
          <a:endParaRPr lang="es-CO"/>
        </a:p>
      </c:txPr>
    </c:title>
    <c:autoTitleDeleted val="0"/>
    <c:plotArea>
      <c:layout>
        <c:manualLayout>
          <c:layoutTarget val="inner"/>
          <c:xMode val="edge"/>
          <c:yMode val="edge"/>
          <c:x val="0.29900656167979001"/>
          <c:y val="0.13687335958005201"/>
          <c:w val="0.40476465441819798"/>
          <c:h val="0.67460775736366296"/>
        </c:manualLayout>
      </c:layout>
      <c:doughnutChart>
        <c:varyColors val="1"/>
        <c:ser>
          <c:idx val="0"/>
          <c:order val="0"/>
          <c:tx>
            <c:strRef>
              <c:f>localidades!$B$74</c:f>
              <c:strCache>
                <c:ptCount val="1"/>
                <c:pt idx="0">
                  <c:v>Usme: 100.117</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105-9D42-85BA-C57914ED14E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105-9D42-85BA-C57914ED14E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105-9D42-85BA-C57914ED14E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105-9D42-85BA-C57914ED14E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105-9D42-85BA-C57914ED14EC}"/>
              </c:ext>
            </c:extLst>
          </c:dPt>
          <c:dLbls>
            <c:dLbl>
              <c:idx val="0"/>
              <c:layout>
                <c:manualLayout>
                  <c:x val="0.134900372887999"/>
                  <c:y val="4.0427391449978103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8105-9D42-85BA-C57914ED14EC}"/>
                </c:ext>
              </c:extLst>
            </c:dLbl>
            <c:dLbl>
              <c:idx val="1"/>
              <c:layout>
                <c:manualLayout>
                  <c:x val="-0.16188044746559899"/>
                  <c:y val="4.4919323833309002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8105-9D42-85BA-C57914ED14EC}"/>
                </c:ext>
              </c:extLst>
            </c:dLbl>
            <c:dLbl>
              <c:idx val="2"/>
              <c:layout>
                <c:manualLayout>
                  <c:x val="-0.20909557797639899"/>
                  <c:y val="8.9838647666617994E-3"/>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8105-9D42-85BA-C57914ED14EC}"/>
                </c:ext>
              </c:extLst>
            </c:dLbl>
            <c:dLbl>
              <c:idx val="3"/>
              <c:layout>
                <c:manualLayout>
                  <c:x val="-0.11466531695479899"/>
                  <c:y val="-5.39031885999708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8105-9D42-85BA-C57914ED14EC}"/>
                </c:ext>
              </c:extLst>
            </c:dLbl>
            <c:dLbl>
              <c:idx val="4"/>
              <c:layout>
                <c:manualLayout>
                  <c:x val="3.3725093221999799E-3"/>
                  <c:y val="0.18416922771656699"/>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8105-9D42-85BA-C57914ED14EC}"/>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localidades!$A$75:$A$79</c:f>
              <c:strCache>
                <c:ptCount val="5"/>
                <c:pt idx="0">
                  <c:v>Familiar Nuclear</c:v>
                </c:pt>
                <c:pt idx="1">
                  <c:v>Familiar Amplio</c:v>
                </c:pt>
                <c:pt idx="2">
                  <c:v>Familiar sin núcleo</c:v>
                </c:pt>
                <c:pt idx="3">
                  <c:v>No FamiliarUnipersonal</c:v>
                </c:pt>
                <c:pt idx="4">
                  <c:v>No Familiar sin núcleo</c:v>
                </c:pt>
              </c:strCache>
            </c:strRef>
          </c:cat>
          <c:val>
            <c:numRef>
              <c:f>localidades!$B$75:$B$79</c:f>
              <c:numCache>
                <c:formatCode>_(* #,##0_);_(* \(#,##0\);_(* "-"_);_(@_)</c:formatCode>
                <c:ptCount val="5"/>
                <c:pt idx="0">
                  <c:v>68115.065000000002</c:v>
                </c:pt>
                <c:pt idx="1">
                  <c:v>19006.654000000002</c:v>
                </c:pt>
                <c:pt idx="2">
                  <c:v>2918.19</c:v>
                </c:pt>
                <c:pt idx="3">
                  <c:v>9740.0910000000003</c:v>
                </c:pt>
                <c:pt idx="4">
                  <c:v>337.39733000000001</c:v>
                </c:pt>
              </c:numCache>
            </c:numRef>
          </c:val>
          <c:extLst>
            <c:ext xmlns:c16="http://schemas.microsoft.com/office/drawing/2014/chart" uri="{C3380CC4-5D6E-409C-BE32-E72D297353CC}">
              <c16:uniqueId val="{0000000A-8105-9D42-85BA-C57914ED14EC}"/>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2.6008311461067401E-3"/>
          <c:y val="0.82296077573636595"/>
          <c:w val="0.99202034120734905"/>
          <c:h val="0.149261446485855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1.60393356740863E-4"/>
          <c:y val="3.5935459066647198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Garamond" panose="02020404030301010803" pitchFamily="18" charset="0"/>
              <a:ea typeface="+mn-ea"/>
              <a:cs typeface="+mn-cs"/>
            </a:defRPr>
          </a:pPr>
          <a:endParaRPr lang="es-CO"/>
        </a:p>
      </c:txPr>
    </c:title>
    <c:autoTitleDeleted val="0"/>
    <c:plotArea>
      <c:layout>
        <c:manualLayout>
          <c:layoutTarget val="inner"/>
          <c:xMode val="edge"/>
          <c:yMode val="edge"/>
          <c:x val="0.29900656167979001"/>
          <c:y val="0.13687335958005201"/>
          <c:w val="0.40476465441819798"/>
          <c:h val="0.67460775736366296"/>
        </c:manualLayout>
      </c:layout>
      <c:doughnutChart>
        <c:varyColors val="1"/>
        <c:ser>
          <c:idx val="0"/>
          <c:order val="0"/>
          <c:tx>
            <c:strRef>
              <c:f>localidades!$F$101</c:f>
              <c:strCache>
                <c:ptCount val="1"/>
                <c:pt idx="0">
                  <c:v>Barrios Unidos: 98.000</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1BD-624E-9684-C7244CD22D0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1BD-624E-9684-C7244CD22D0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1BD-624E-9684-C7244CD22D0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1BD-624E-9684-C7244CD22D0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1BD-624E-9684-C7244CD22D0E}"/>
              </c:ext>
            </c:extLst>
          </c:dPt>
          <c:dLbls>
            <c:dLbl>
              <c:idx val="0"/>
              <c:layout>
                <c:manualLayout>
                  <c:x val="0.11466531695479899"/>
                  <c:y val="1.34757971499927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01BD-624E-9684-C7244CD22D0E}"/>
                </c:ext>
              </c:extLst>
            </c:dLbl>
            <c:dLbl>
              <c:idx val="1"/>
              <c:layout>
                <c:manualLayout>
                  <c:x val="-0.104547788988199"/>
                  <c:y val="8.0854782899955999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01BD-624E-9684-C7244CD22D0E}"/>
                </c:ext>
              </c:extLst>
            </c:dLbl>
            <c:dLbl>
              <c:idx val="2"/>
              <c:layout>
                <c:manualLayout>
                  <c:x val="-0.104547788988199"/>
                  <c:y val="1.34757971499927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01BD-624E-9684-C7244CD22D0E}"/>
                </c:ext>
              </c:extLst>
            </c:dLbl>
            <c:dLbl>
              <c:idx val="3"/>
              <c:layout>
                <c:manualLayout>
                  <c:x val="-0.11466531695479899"/>
                  <c:y val="-2.69515942999854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01BD-624E-9684-C7244CD22D0E}"/>
                </c:ext>
              </c:extLst>
            </c:dLbl>
            <c:dLbl>
              <c:idx val="4"/>
              <c:layout>
                <c:manualLayout>
                  <c:x val="8.4312733054999506E-2"/>
                  <c:y val="-9.8822512433279802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01BD-624E-9684-C7244CD22D0E}"/>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localidades!$A$102:$A$106</c:f>
              <c:strCache>
                <c:ptCount val="5"/>
                <c:pt idx="0">
                  <c:v>Familiar Nuclear</c:v>
                </c:pt>
                <c:pt idx="1">
                  <c:v>Familiar Amplio</c:v>
                </c:pt>
                <c:pt idx="2">
                  <c:v>Familiar sin núcleo</c:v>
                </c:pt>
                <c:pt idx="3">
                  <c:v>No FamiliarUnipersonal</c:v>
                </c:pt>
                <c:pt idx="4">
                  <c:v>No Familiar sin núcleo</c:v>
                </c:pt>
              </c:strCache>
            </c:strRef>
          </c:cat>
          <c:val>
            <c:numRef>
              <c:f>localidades!$F$102:$F$106</c:f>
              <c:numCache>
                <c:formatCode>_(* #,##0_);_(* \(#,##0\);_(* "-"_);_(@_)</c:formatCode>
                <c:ptCount val="5"/>
                <c:pt idx="0">
                  <c:v>55728.031000000003</c:v>
                </c:pt>
                <c:pt idx="1">
                  <c:v>14277.702000000001</c:v>
                </c:pt>
                <c:pt idx="2">
                  <c:v>5976.1779999999999</c:v>
                </c:pt>
                <c:pt idx="3">
                  <c:v>20965.830000000002</c:v>
                </c:pt>
                <c:pt idx="4">
                  <c:v>1051.9770000000001</c:v>
                </c:pt>
              </c:numCache>
            </c:numRef>
          </c:val>
          <c:extLst>
            <c:ext xmlns:c16="http://schemas.microsoft.com/office/drawing/2014/chart" uri="{C3380CC4-5D6E-409C-BE32-E72D297353CC}">
              <c16:uniqueId val="{0000000A-01BD-624E-9684-C7244CD22D0E}"/>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2.6008311461067401E-3"/>
          <c:y val="0.82296077573636595"/>
          <c:w val="0.99202034120734905"/>
          <c:h val="0.149261446485855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1.60393356740863E-4"/>
          <c:y val="3.5935459066647198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Garamond" panose="02020404030301010803" pitchFamily="18" charset="0"/>
              <a:ea typeface="+mn-ea"/>
              <a:cs typeface="+mn-cs"/>
            </a:defRPr>
          </a:pPr>
          <a:endParaRPr lang="es-CO"/>
        </a:p>
      </c:txPr>
    </c:title>
    <c:autoTitleDeleted val="0"/>
    <c:plotArea>
      <c:layout>
        <c:manualLayout>
          <c:layoutTarget val="inner"/>
          <c:xMode val="edge"/>
          <c:yMode val="edge"/>
          <c:x val="0.29900656167979001"/>
          <c:y val="0.13687335958005201"/>
          <c:w val="0.40476465441819798"/>
          <c:h val="0.67460775736366296"/>
        </c:manualLayout>
      </c:layout>
      <c:doughnutChart>
        <c:varyColors val="1"/>
        <c:ser>
          <c:idx val="0"/>
          <c:order val="0"/>
          <c:tx>
            <c:strRef>
              <c:f>localidades!$E$101</c:f>
              <c:strCache>
                <c:ptCount val="1"/>
                <c:pt idx="0">
                  <c:v>Puente Aranda: 75.908</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5BB-C546-8D42-EDF043DC1FD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5BB-C546-8D42-EDF043DC1FD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5BB-C546-8D42-EDF043DC1FD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5BB-C546-8D42-EDF043DC1FD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5BB-C546-8D42-EDF043DC1FD9}"/>
              </c:ext>
            </c:extLst>
          </c:dPt>
          <c:dLbls>
            <c:dLbl>
              <c:idx val="0"/>
              <c:layout>
                <c:manualLayout>
                  <c:x val="9.7802770343799403E-2"/>
                  <c:y val="2.69515942999854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05BB-C546-8D42-EDF043DC1FD9}"/>
                </c:ext>
              </c:extLst>
            </c:dLbl>
            <c:dLbl>
              <c:idx val="1"/>
              <c:layout>
                <c:manualLayout>
                  <c:x val="-0.14501790085459901"/>
                  <c:y val="1.3475797149992599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05BB-C546-8D42-EDF043DC1FD9}"/>
                </c:ext>
              </c:extLst>
            </c:dLbl>
            <c:dLbl>
              <c:idx val="2"/>
              <c:layout>
                <c:manualLayout>
                  <c:x val="-0.16862546610999901"/>
                  <c:y val="4.4919323833308598E-3"/>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05BB-C546-8D42-EDF043DC1FD9}"/>
                </c:ext>
              </c:extLst>
            </c:dLbl>
            <c:dLbl>
              <c:idx val="3"/>
              <c:layout>
                <c:manualLayout>
                  <c:x val="-0.158507938143399"/>
                  <c:y val="-4.0427391449978103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05BB-C546-8D42-EDF043DC1FD9}"/>
                </c:ext>
              </c:extLst>
            </c:dLbl>
            <c:dLbl>
              <c:idx val="4"/>
              <c:layout>
                <c:manualLayout>
                  <c:x val="9.7802770343799306E-2"/>
                  <c:y val="-8.0854782899956207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05BB-C546-8D42-EDF043DC1FD9}"/>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localidades!$A$102:$A$106</c:f>
              <c:strCache>
                <c:ptCount val="5"/>
                <c:pt idx="0">
                  <c:v>Familiar Nuclear</c:v>
                </c:pt>
                <c:pt idx="1">
                  <c:v>Familiar Amplio</c:v>
                </c:pt>
                <c:pt idx="2">
                  <c:v>Familiar sin núcleo</c:v>
                </c:pt>
                <c:pt idx="3">
                  <c:v>No FamiliarUnipersonal</c:v>
                </c:pt>
                <c:pt idx="4">
                  <c:v>No Familiar sin núcleo</c:v>
                </c:pt>
              </c:strCache>
            </c:strRef>
          </c:cat>
          <c:val>
            <c:numRef>
              <c:f>localidades!$E$102:$E$106</c:f>
              <c:numCache>
                <c:formatCode>_(* #,##0_);_(* \(#,##0\);_(* "-"_);_(@_)</c:formatCode>
                <c:ptCount val="5"/>
                <c:pt idx="0">
                  <c:v>46580.498999999996</c:v>
                </c:pt>
                <c:pt idx="1">
                  <c:v>12564.369000000001</c:v>
                </c:pt>
                <c:pt idx="2">
                  <c:v>3933.7148999999999</c:v>
                </c:pt>
                <c:pt idx="3">
                  <c:v>12211.07</c:v>
                </c:pt>
                <c:pt idx="4">
                  <c:v>618.48868000000004</c:v>
                </c:pt>
              </c:numCache>
            </c:numRef>
          </c:val>
          <c:extLst>
            <c:ext xmlns:c16="http://schemas.microsoft.com/office/drawing/2014/chart" uri="{C3380CC4-5D6E-409C-BE32-E72D297353CC}">
              <c16:uniqueId val="{0000000A-05BB-C546-8D42-EDF043DC1FD9}"/>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2.6008311461067401E-3"/>
          <c:y val="0.82296077573636595"/>
          <c:w val="0.99202034120734905"/>
          <c:h val="0.149261446485855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1.60393356740863E-4"/>
          <c:y val="3.5935459066647198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Garamond" panose="02020404030301010803" pitchFamily="18" charset="0"/>
              <a:ea typeface="+mn-ea"/>
              <a:cs typeface="+mn-cs"/>
            </a:defRPr>
          </a:pPr>
          <a:endParaRPr lang="es-CO"/>
        </a:p>
      </c:txPr>
    </c:title>
    <c:autoTitleDeleted val="0"/>
    <c:plotArea>
      <c:layout>
        <c:manualLayout>
          <c:layoutTarget val="inner"/>
          <c:xMode val="edge"/>
          <c:yMode val="edge"/>
          <c:x val="0.29900656167979001"/>
          <c:y val="0.13687335958005201"/>
          <c:w val="0.40476465441819798"/>
          <c:h val="0.67460775736366296"/>
        </c:manualLayout>
      </c:layout>
      <c:doughnutChart>
        <c:varyColors val="1"/>
        <c:ser>
          <c:idx val="0"/>
          <c:order val="0"/>
          <c:tx>
            <c:strRef>
              <c:f>localidades!$D$101</c:f>
              <c:strCache>
                <c:ptCount val="1"/>
                <c:pt idx="0">
                  <c:v>Tunjuelito: 64.145</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A55-5044-A6FF-947D5E47CD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A55-5044-A6FF-947D5E47CDC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A55-5044-A6FF-947D5E47CDC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A55-5044-A6FF-947D5E47CDC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A55-5044-A6FF-947D5E47CDC0}"/>
              </c:ext>
            </c:extLst>
          </c:dPt>
          <c:dLbls>
            <c:dLbl>
              <c:idx val="0"/>
              <c:layout>
                <c:manualLayout>
                  <c:x val="0.134900372887999"/>
                  <c:y val="1.34757971499927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5A55-5044-A6FF-947D5E47CDC0}"/>
                </c:ext>
              </c:extLst>
            </c:dLbl>
            <c:dLbl>
              <c:idx val="1"/>
              <c:layout>
                <c:manualLayout>
                  <c:x val="-0.101175279665999"/>
                  <c:y val="8.9838647666617893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5A55-5044-A6FF-947D5E47CDC0}"/>
                </c:ext>
              </c:extLst>
            </c:dLbl>
            <c:dLbl>
              <c:idx val="2"/>
              <c:layout>
                <c:manualLayout>
                  <c:x val="-0.141645391532399"/>
                  <c:y val="-2.2459661916654501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5A55-5044-A6FF-947D5E47CDC0}"/>
                </c:ext>
              </c:extLst>
            </c:dLbl>
            <c:dLbl>
              <c:idx val="3"/>
              <c:layout>
                <c:manualLayout>
                  <c:x val="-0.13152786356579901"/>
                  <c:y val="-4.4919323833309002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5A55-5044-A6FF-947D5E47CDC0}"/>
                </c:ext>
              </c:extLst>
            </c:dLbl>
            <c:dLbl>
              <c:idx val="4"/>
              <c:layout>
                <c:manualLayout>
                  <c:x val="1.01175279665999E-2"/>
                  <c:y val="0.15721763341658099"/>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5A55-5044-A6FF-947D5E47CDC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localidades!$A$102:$A$106</c:f>
              <c:strCache>
                <c:ptCount val="5"/>
                <c:pt idx="0">
                  <c:v>Familiar Nuclear</c:v>
                </c:pt>
                <c:pt idx="1">
                  <c:v>Familiar Amplio</c:v>
                </c:pt>
                <c:pt idx="2">
                  <c:v>Familiar sin núcleo</c:v>
                </c:pt>
                <c:pt idx="3">
                  <c:v>No FamiliarUnipersonal</c:v>
                </c:pt>
                <c:pt idx="4">
                  <c:v>No Familiar sin núcleo</c:v>
                </c:pt>
              </c:strCache>
            </c:strRef>
          </c:cat>
          <c:val>
            <c:numRef>
              <c:f>localidades!$D$102:$D$106</c:f>
              <c:numCache>
                <c:formatCode>_(* #,##0_);_(* \(#,##0\);_(* "-"_);_(@_)</c:formatCode>
                <c:ptCount val="5"/>
                <c:pt idx="0">
                  <c:v>40806.637999999999</c:v>
                </c:pt>
                <c:pt idx="1">
                  <c:v>9510.6224600000005</c:v>
                </c:pt>
                <c:pt idx="2">
                  <c:v>2022.9559999999999</c:v>
                </c:pt>
                <c:pt idx="3">
                  <c:v>11423.16</c:v>
                </c:pt>
                <c:pt idx="4">
                  <c:v>381.26312000000001</c:v>
                </c:pt>
              </c:numCache>
            </c:numRef>
          </c:val>
          <c:extLst>
            <c:ext xmlns:c16="http://schemas.microsoft.com/office/drawing/2014/chart" uri="{C3380CC4-5D6E-409C-BE32-E72D297353CC}">
              <c16:uniqueId val="{0000000A-5A55-5044-A6FF-947D5E47CDC0}"/>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2.6008311461067401E-3"/>
          <c:y val="0.82296077573636595"/>
          <c:w val="0.99202034120734905"/>
          <c:h val="0.149261446485855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1.60393356740863E-4"/>
          <c:y val="3.5935459066647198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Garamond" panose="02020404030301010803" pitchFamily="18" charset="0"/>
              <a:ea typeface="+mn-ea"/>
              <a:cs typeface="+mn-cs"/>
            </a:defRPr>
          </a:pPr>
          <a:endParaRPr lang="es-CO"/>
        </a:p>
      </c:txPr>
    </c:title>
    <c:autoTitleDeleted val="0"/>
    <c:plotArea>
      <c:layout>
        <c:manualLayout>
          <c:layoutTarget val="inner"/>
          <c:xMode val="edge"/>
          <c:yMode val="edge"/>
          <c:x val="0.29900656167979001"/>
          <c:y val="0.13687335958005201"/>
          <c:w val="0.40476465441819798"/>
          <c:h val="0.67460775736366296"/>
        </c:manualLayout>
      </c:layout>
      <c:doughnutChart>
        <c:varyColors val="1"/>
        <c:ser>
          <c:idx val="0"/>
          <c:order val="0"/>
          <c:tx>
            <c:strRef>
              <c:f>localidades!$C$101</c:f>
              <c:strCache>
                <c:ptCount val="1"/>
                <c:pt idx="0">
                  <c:v>Chapinero: 58.554</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DDE-4049-AABB-E3E2D162673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DDE-4049-AABB-E3E2D162673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DDE-4049-AABB-E3E2D162673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DDE-4049-AABB-E3E2D162673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DDE-4049-AABB-E3E2D162673C}"/>
              </c:ext>
            </c:extLst>
          </c:dPt>
          <c:dLbls>
            <c:dLbl>
              <c:idx val="0"/>
              <c:layout>
                <c:manualLayout>
                  <c:x val="0.11466531695479899"/>
                  <c:y val="2.69515942999854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8DDE-4049-AABB-E3E2D162673C}"/>
                </c:ext>
              </c:extLst>
            </c:dLbl>
            <c:dLbl>
              <c:idx val="1"/>
              <c:layout>
                <c:manualLayout>
                  <c:x val="0.11129280763259899"/>
                  <c:y val="5.3903188599970703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8DDE-4049-AABB-E3E2D162673C}"/>
                </c:ext>
              </c:extLst>
            </c:dLbl>
            <c:dLbl>
              <c:idx val="2"/>
              <c:layout>
                <c:manualLayout>
                  <c:x val="-0.19223303136539899"/>
                  <c:y val="2.2459661916654401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8DDE-4049-AABB-E3E2D162673C}"/>
                </c:ext>
              </c:extLst>
            </c:dLbl>
            <c:dLbl>
              <c:idx val="3"/>
              <c:layout>
                <c:manualLayout>
                  <c:x val="-0.16862546610999901"/>
                  <c:y val="8.9838647666617994E-3"/>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8DDE-4049-AABB-E3E2D162673C}"/>
                </c:ext>
              </c:extLst>
            </c:dLbl>
            <c:dLbl>
              <c:idx val="4"/>
              <c:layout>
                <c:manualLayout>
                  <c:x val="6.7450186443999E-3"/>
                  <c:y val="0.152725701033251"/>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8DDE-4049-AABB-E3E2D162673C}"/>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localidades!$A$102:$A$106</c:f>
              <c:strCache>
                <c:ptCount val="5"/>
                <c:pt idx="0">
                  <c:v>Familiar Nuclear</c:v>
                </c:pt>
                <c:pt idx="1">
                  <c:v>Familiar Amplio</c:v>
                </c:pt>
                <c:pt idx="2">
                  <c:v>Familiar sin núcleo</c:v>
                </c:pt>
                <c:pt idx="3">
                  <c:v>No FamiliarUnipersonal</c:v>
                </c:pt>
                <c:pt idx="4">
                  <c:v>No Familiar sin núcleo</c:v>
                </c:pt>
              </c:strCache>
            </c:strRef>
          </c:cat>
          <c:val>
            <c:numRef>
              <c:f>localidades!$C$102:$C$106</c:f>
              <c:numCache>
                <c:formatCode>_(* #,##0_);_(* \(#,##0\);_(* "-"_);_(@_)</c:formatCode>
                <c:ptCount val="5"/>
                <c:pt idx="0">
                  <c:v>25953.025000000001</c:v>
                </c:pt>
                <c:pt idx="1">
                  <c:v>3825.8937999999998</c:v>
                </c:pt>
                <c:pt idx="2">
                  <c:v>3151.27</c:v>
                </c:pt>
                <c:pt idx="3">
                  <c:v>24372.222000000002</c:v>
                </c:pt>
                <c:pt idx="4">
                  <c:v>1251.2760000000001</c:v>
                </c:pt>
              </c:numCache>
            </c:numRef>
          </c:val>
          <c:extLst>
            <c:ext xmlns:c16="http://schemas.microsoft.com/office/drawing/2014/chart" uri="{C3380CC4-5D6E-409C-BE32-E72D297353CC}">
              <c16:uniqueId val="{0000000A-8DDE-4049-AABB-E3E2D162673C}"/>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2.6008311461067401E-3"/>
          <c:y val="0.82296077573636595"/>
          <c:w val="0.99202034120734905"/>
          <c:h val="0.149261446485855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1.60393356740863E-4"/>
          <c:y val="3.5935459066647198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Garamond" panose="02020404030301010803" pitchFamily="18" charset="0"/>
              <a:ea typeface="+mn-ea"/>
              <a:cs typeface="+mn-cs"/>
            </a:defRPr>
          </a:pPr>
          <a:endParaRPr lang="es-CO"/>
        </a:p>
      </c:txPr>
    </c:title>
    <c:autoTitleDeleted val="0"/>
    <c:plotArea>
      <c:layout>
        <c:manualLayout>
          <c:layoutTarget val="inner"/>
          <c:xMode val="edge"/>
          <c:yMode val="edge"/>
          <c:x val="0.29900656167979001"/>
          <c:y val="0.13687335958005201"/>
          <c:w val="0.40476465441819798"/>
          <c:h val="0.67460775736366296"/>
        </c:manualLayout>
      </c:layout>
      <c:doughnutChart>
        <c:varyColors val="1"/>
        <c:ser>
          <c:idx val="0"/>
          <c:order val="0"/>
          <c:tx>
            <c:strRef>
              <c:f>localidades!$B$101</c:f>
              <c:strCache>
                <c:ptCount val="1"/>
                <c:pt idx="0">
                  <c:v>Teusaquillo: 57.789</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EDC-684D-B561-F948CD0EA6C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EDC-684D-B561-F948CD0EA6C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EDC-684D-B561-F948CD0EA6C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EDC-684D-B561-F948CD0EA6C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EDC-684D-B561-F948CD0EA6CD}"/>
              </c:ext>
            </c:extLst>
          </c:dPt>
          <c:dLbls>
            <c:dLbl>
              <c:idx val="0"/>
              <c:layout>
                <c:manualLayout>
                  <c:x val="0.134900372887999"/>
                  <c:y val="4.0427391449977999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8EDC-684D-B561-F948CD0EA6CD}"/>
                </c:ext>
              </c:extLst>
            </c:dLbl>
            <c:dLbl>
              <c:idx val="1"/>
              <c:layout>
                <c:manualLayout>
                  <c:x val="-0.141645391532399"/>
                  <c:y val="6.7378985749963594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8EDC-684D-B561-F948CD0EA6CD}"/>
                </c:ext>
              </c:extLst>
            </c:dLbl>
            <c:dLbl>
              <c:idx val="2"/>
              <c:layout>
                <c:manualLayout>
                  <c:x val="-0.18211550339879901"/>
                  <c:y val="1.3475797149992599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8EDC-684D-B561-F948CD0EA6CD}"/>
                </c:ext>
              </c:extLst>
            </c:dLbl>
            <c:dLbl>
              <c:idx val="3"/>
              <c:layout>
                <c:manualLayout>
                  <c:x val="-0.14501790085459901"/>
                  <c:y val="-3.1443526683316299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8EDC-684D-B561-F948CD0EA6CD}"/>
                </c:ext>
              </c:extLst>
            </c:dLbl>
            <c:dLbl>
              <c:idx val="4"/>
              <c:layout>
                <c:manualLayout>
                  <c:x val="2.02350559331998E-2"/>
                  <c:y val="0.16620149818324301"/>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8EDC-684D-B561-F948CD0EA6CD}"/>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localidades!$A$102:$A$106</c:f>
              <c:strCache>
                <c:ptCount val="5"/>
                <c:pt idx="0">
                  <c:v>Familiar Nuclear</c:v>
                </c:pt>
                <c:pt idx="1">
                  <c:v>Familiar Amplio</c:v>
                </c:pt>
                <c:pt idx="2">
                  <c:v>Familiar sin núcleo</c:v>
                </c:pt>
                <c:pt idx="3">
                  <c:v>No FamiliarUnipersonal</c:v>
                </c:pt>
                <c:pt idx="4">
                  <c:v>No Familiar sin núcleo</c:v>
                </c:pt>
              </c:strCache>
            </c:strRef>
          </c:cat>
          <c:val>
            <c:numRef>
              <c:f>localidades!$B$102:$B$106</c:f>
              <c:numCache>
                <c:formatCode>_(* #,##0_);_(* \(#,##0\);_(* "-"_);_(@_)</c:formatCode>
                <c:ptCount val="5"/>
                <c:pt idx="0">
                  <c:v>32474.122000000003</c:v>
                </c:pt>
                <c:pt idx="1">
                  <c:v>4838.6110699999999</c:v>
                </c:pt>
                <c:pt idx="2">
                  <c:v>3031.5949999999998</c:v>
                </c:pt>
                <c:pt idx="3">
                  <c:v>16455.439999999999</c:v>
                </c:pt>
                <c:pt idx="4">
                  <c:v>989.19230000000005</c:v>
                </c:pt>
              </c:numCache>
            </c:numRef>
          </c:val>
          <c:extLst>
            <c:ext xmlns:c16="http://schemas.microsoft.com/office/drawing/2014/chart" uri="{C3380CC4-5D6E-409C-BE32-E72D297353CC}">
              <c16:uniqueId val="{0000000A-8EDC-684D-B561-F948CD0EA6CD}"/>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2.6008311461067401E-3"/>
          <c:y val="0.82296077573636595"/>
          <c:w val="0.99202034120734905"/>
          <c:h val="0.149261446485855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1.60393356740863E-4"/>
          <c:y val="3.5935459066647198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Garamond" panose="02020404030301010803" pitchFamily="18" charset="0"/>
              <a:ea typeface="+mn-ea"/>
              <a:cs typeface="+mn-cs"/>
            </a:defRPr>
          </a:pPr>
          <a:endParaRPr lang="es-CO"/>
        </a:p>
      </c:txPr>
    </c:title>
    <c:autoTitleDeleted val="0"/>
    <c:plotArea>
      <c:layout>
        <c:manualLayout>
          <c:layoutTarget val="inner"/>
          <c:xMode val="edge"/>
          <c:yMode val="edge"/>
          <c:x val="0.30575169515064998"/>
          <c:y val="0.16043343256849099"/>
          <c:w val="0.45197971608251403"/>
          <c:h val="0.602003472582058"/>
        </c:manualLayout>
      </c:layout>
      <c:doughnutChart>
        <c:varyColors val="1"/>
        <c:ser>
          <c:idx val="0"/>
          <c:order val="0"/>
          <c:tx>
            <c:strRef>
              <c:f>localidades!$F$128</c:f>
              <c:strCache>
                <c:ptCount val="1"/>
                <c:pt idx="0">
                  <c:v>Santa Fe: 35.512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F6A-9040-91E0-60BC37ADBE7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F6A-9040-91E0-60BC37ADBE7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F6A-9040-91E0-60BC37ADBE7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F6A-9040-91E0-60BC37ADBE7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F6A-9040-91E0-60BC37ADBE7A}"/>
              </c:ext>
            </c:extLst>
          </c:dPt>
          <c:dLbls>
            <c:dLbl>
              <c:idx val="0"/>
              <c:layout>
                <c:manualLayout>
                  <c:x val="0.11466531695479899"/>
                  <c:y val="1.7967729533323599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8F6A-9040-91E0-60BC37ADBE7A}"/>
                </c:ext>
              </c:extLst>
            </c:dLbl>
            <c:dLbl>
              <c:idx val="1"/>
              <c:layout>
                <c:manualLayout>
                  <c:x val="-0.25415347066856497"/>
                  <c:y val="2.7803088724734151E-2"/>
                </c:manualLayout>
              </c:layout>
              <c:showLegendKey val="0"/>
              <c:showVal val="1"/>
              <c:showCatName val="0"/>
              <c:showSerName val="0"/>
              <c:showPercent val="1"/>
              <c:showBubbleSize val="0"/>
              <c:separator>
</c:separator>
              <c:extLst>
                <c:ext xmlns:c15="http://schemas.microsoft.com/office/drawing/2012/chart" uri="{CE6537A1-D6FC-4f65-9D91-7224C49458BB}">
                  <c15:layout>
                    <c:manualLayout>
                      <c:w val="0.11445545321594948"/>
                      <c:h val="0.21375010146927512"/>
                    </c:manualLayout>
                  </c15:layout>
                </c:ext>
                <c:ext xmlns:c16="http://schemas.microsoft.com/office/drawing/2014/chart" uri="{C3380CC4-5D6E-409C-BE32-E72D297353CC}">
                  <c16:uniqueId val="{00000003-8F6A-9040-91E0-60BC37ADBE7A}"/>
                </c:ext>
              </c:extLst>
            </c:dLbl>
            <c:dLbl>
              <c:idx val="2"/>
              <c:layout>
                <c:manualLayout>
                  <c:x val="-0.19532827769222574"/>
                  <c:y val="-8.1038436561409327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8F6A-9040-91E0-60BC37ADBE7A}"/>
                </c:ext>
              </c:extLst>
            </c:dLbl>
            <c:dLbl>
              <c:idx val="3"/>
              <c:layout>
                <c:manualLayout>
                  <c:x val="-0.13152786356579901"/>
                  <c:y val="-4.1175571183488001E-17"/>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8F6A-9040-91E0-60BC37ADBE7A}"/>
                </c:ext>
              </c:extLst>
            </c:dLbl>
            <c:dLbl>
              <c:idx val="4"/>
              <c:layout>
                <c:manualLayout>
                  <c:x val="1.0117527966600001E-2"/>
                  <c:y val="0.13026603911659601"/>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8F6A-9040-91E0-60BC37ADBE7A}"/>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localidades!$A$129:$A$133</c:f>
              <c:strCache>
                <c:ptCount val="5"/>
                <c:pt idx="0">
                  <c:v>Familiar Nuclear</c:v>
                </c:pt>
                <c:pt idx="1">
                  <c:v>Familiar Amplio</c:v>
                </c:pt>
                <c:pt idx="2">
                  <c:v>Familiar sin núcleo</c:v>
                </c:pt>
                <c:pt idx="3">
                  <c:v>No FamiliarUnipersonal</c:v>
                </c:pt>
                <c:pt idx="4">
                  <c:v>No Familiar sin núcleo</c:v>
                </c:pt>
              </c:strCache>
            </c:strRef>
          </c:cat>
          <c:val>
            <c:numRef>
              <c:f>localidades!$F$129:$F$133</c:f>
              <c:numCache>
                <c:formatCode>_(* #,##0_);_(* \(#,##0\);_(* "-"_);_(@_)</c:formatCode>
                <c:ptCount val="5"/>
                <c:pt idx="0">
                  <c:v>17253.766510000001</c:v>
                </c:pt>
                <c:pt idx="1">
                  <c:v>4773.8535599999996</c:v>
                </c:pt>
                <c:pt idx="2">
                  <c:v>1446.4169999999999</c:v>
                </c:pt>
                <c:pt idx="3">
                  <c:v>11617.71</c:v>
                </c:pt>
                <c:pt idx="4">
                  <c:v>420.08084000000002</c:v>
                </c:pt>
              </c:numCache>
            </c:numRef>
          </c:val>
          <c:extLst>
            <c:ext xmlns:c16="http://schemas.microsoft.com/office/drawing/2014/chart" uri="{C3380CC4-5D6E-409C-BE32-E72D297353CC}">
              <c16:uniqueId val="{0000000A-8F6A-9040-91E0-60BC37ADBE7A}"/>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2.6008311461067401E-3"/>
          <c:y val="0.82296077573636595"/>
          <c:w val="0.99202034120734905"/>
          <c:h val="0.149261446485855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1.60393356740863E-4"/>
          <c:y val="3.5935459066647198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Garamond" panose="02020404030301010803" pitchFamily="18" charset="0"/>
              <a:ea typeface="+mn-ea"/>
              <a:cs typeface="+mn-cs"/>
            </a:defRPr>
          </a:pPr>
          <a:endParaRPr lang="es-CO"/>
        </a:p>
      </c:txPr>
    </c:title>
    <c:autoTitleDeleted val="0"/>
    <c:plotArea>
      <c:layout>
        <c:manualLayout>
          <c:layoutTarget val="inner"/>
          <c:xMode val="edge"/>
          <c:yMode val="edge"/>
          <c:x val="0.30575169515064998"/>
          <c:y val="0.16043343256849099"/>
          <c:w val="0.45197971608251403"/>
          <c:h val="0.602003472582058"/>
        </c:manualLayout>
      </c:layout>
      <c:doughnutChart>
        <c:varyColors val="1"/>
        <c:ser>
          <c:idx val="0"/>
          <c:order val="0"/>
          <c:tx>
            <c:strRef>
              <c:f>localidades!$E$128</c:f>
              <c:strCache>
                <c:ptCount val="1"/>
                <c:pt idx="0">
                  <c:v>Los Martires: 35.220</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AF9-864D-82DC-1A6FCF93F3F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AF9-864D-82DC-1A6FCF93F3F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AF9-864D-82DC-1A6FCF93F3F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AF9-864D-82DC-1A6FCF93F3F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AF9-864D-82DC-1A6FCF93F3F5}"/>
              </c:ext>
            </c:extLst>
          </c:dPt>
          <c:dLbls>
            <c:dLbl>
              <c:idx val="0"/>
              <c:layout>
                <c:manualLayout>
                  <c:x val="9.7802770343799306E-2"/>
                  <c:y val="9.4330580049948903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0AF9-864D-82DC-1A6FCF93F3F5}"/>
                </c:ext>
              </c:extLst>
            </c:dLbl>
            <c:dLbl>
              <c:idx val="1"/>
              <c:layout>
                <c:manualLayout>
                  <c:x val="-9.4430261021599404E-2"/>
                  <c:y val="7.6362850516625294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0AF9-864D-82DC-1A6FCF93F3F5}"/>
                </c:ext>
              </c:extLst>
            </c:dLbl>
            <c:dLbl>
              <c:idx val="2"/>
              <c:layout>
                <c:manualLayout>
                  <c:x val="-0.128155354243599"/>
                  <c:y val="8.9838647666617994E-3"/>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0AF9-864D-82DC-1A6FCF93F3F5}"/>
                </c:ext>
              </c:extLst>
            </c:dLbl>
            <c:dLbl>
              <c:idx val="3"/>
              <c:layout>
                <c:manualLayout>
                  <c:x val="-0.14501790085459901"/>
                  <c:y val="-4.4919323833308997E-3"/>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0AF9-864D-82DC-1A6FCF93F3F5}"/>
                </c:ext>
              </c:extLst>
            </c:dLbl>
            <c:dLbl>
              <c:idx val="4"/>
              <c:layout>
                <c:manualLayout>
                  <c:x val="0"/>
                  <c:y val="0.15721763341658099"/>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0AF9-864D-82DC-1A6FCF93F3F5}"/>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localidades!$A$129:$A$133</c:f>
              <c:strCache>
                <c:ptCount val="5"/>
                <c:pt idx="0">
                  <c:v>Familiar Nuclear</c:v>
                </c:pt>
                <c:pt idx="1">
                  <c:v>Familiar Amplio</c:v>
                </c:pt>
                <c:pt idx="2">
                  <c:v>Familiar sin núcleo</c:v>
                </c:pt>
                <c:pt idx="3">
                  <c:v>No FamiliarUnipersonal</c:v>
                </c:pt>
                <c:pt idx="4">
                  <c:v>No Familiar sin núcleo</c:v>
                </c:pt>
              </c:strCache>
            </c:strRef>
          </c:cat>
          <c:val>
            <c:numRef>
              <c:f>localidades!$E$129:$E$133</c:f>
              <c:numCache>
                <c:formatCode>_(* #,##0_);_(* \(#,##0\);_(* "-"_);_(@_)</c:formatCode>
                <c:ptCount val="5"/>
                <c:pt idx="0">
                  <c:v>20924.056137</c:v>
                </c:pt>
                <c:pt idx="1">
                  <c:v>4228.6821799999998</c:v>
                </c:pt>
                <c:pt idx="2">
                  <c:v>1750.673</c:v>
                </c:pt>
                <c:pt idx="3">
                  <c:v>7977.598</c:v>
                </c:pt>
                <c:pt idx="4">
                  <c:v>339.08273000000003</c:v>
                </c:pt>
              </c:numCache>
            </c:numRef>
          </c:val>
          <c:extLst>
            <c:ext xmlns:c16="http://schemas.microsoft.com/office/drawing/2014/chart" uri="{C3380CC4-5D6E-409C-BE32-E72D297353CC}">
              <c16:uniqueId val="{0000000A-0AF9-864D-82DC-1A6FCF93F3F5}"/>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2.6008311461067401E-3"/>
          <c:y val="0.82296077573636595"/>
          <c:w val="0.99202034120734905"/>
          <c:h val="0.149261446485855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1.60393356740863E-4"/>
          <c:y val="3.5935459066647198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Garamond" panose="02020404030301010803" pitchFamily="18" charset="0"/>
              <a:ea typeface="+mn-ea"/>
              <a:cs typeface="+mn-cs"/>
            </a:defRPr>
          </a:pPr>
          <a:endParaRPr lang="es-CO"/>
        </a:p>
      </c:txPr>
    </c:title>
    <c:autoTitleDeleted val="0"/>
    <c:plotArea>
      <c:layout>
        <c:manualLayout>
          <c:layoutTarget val="inner"/>
          <c:xMode val="edge"/>
          <c:yMode val="edge"/>
          <c:x val="0.30575169515064998"/>
          <c:y val="0.16043343256849099"/>
          <c:w val="0.45197971608251403"/>
          <c:h val="0.602003472582058"/>
        </c:manualLayout>
      </c:layout>
      <c:doughnutChart>
        <c:varyColors val="1"/>
        <c:ser>
          <c:idx val="0"/>
          <c:order val="0"/>
          <c:tx>
            <c:strRef>
              <c:f>localidades!$D$128</c:f>
              <c:strCache>
                <c:ptCount val="1"/>
                <c:pt idx="0">
                  <c:v>Antonio Nariño: 33.896</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3DE-864E-8282-49AF79AAB3A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3DE-864E-8282-49AF79AAB3A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3DE-864E-8282-49AF79AAB3A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3DE-864E-8282-49AF79AAB3A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3DE-864E-8282-49AF79AAB3AE}"/>
              </c:ext>
            </c:extLst>
          </c:dPt>
          <c:dLbls>
            <c:dLbl>
              <c:idx val="0"/>
              <c:layout>
                <c:manualLayout>
                  <c:x val="0.121410335599199"/>
                  <c:y val="4.4919323833308199E-3"/>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F3DE-864E-8282-49AF79AAB3AE}"/>
                </c:ext>
              </c:extLst>
            </c:dLbl>
            <c:dLbl>
              <c:idx val="1"/>
              <c:layout>
                <c:manualLayout>
                  <c:x val="-8.4312733054999506E-2"/>
                  <c:y val="0.20213695724989"/>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F3DE-864E-8282-49AF79AAB3AE}"/>
                </c:ext>
              </c:extLst>
            </c:dLbl>
            <c:dLbl>
              <c:idx val="2"/>
              <c:layout>
                <c:manualLayout>
                  <c:x val="-0.171997975432199"/>
                  <c:y val="9.4330580049948806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F3DE-864E-8282-49AF79AAB3AE}"/>
                </c:ext>
              </c:extLst>
            </c:dLbl>
            <c:dLbl>
              <c:idx val="3"/>
              <c:layout>
                <c:manualLayout>
                  <c:x val="-0.16188044746559899"/>
                  <c:y val="4.4919323833309197E-3"/>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F3DE-864E-8282-49AF79AAB3AE}"/>
                </c:ext>
              </c:extLst>
            </c:dLbl>
            <c:dLbl>
              <c:idx val="4"/>
              <c:layout>
                <c:manualLayout>
                  <c:x val="2.0235055933199901E-2"/>
                  <c:y val="0.19315309248322901"/>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F3DE-864E-8282-49AF79AAB3AE}"/>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localidades!$A$129:$A$133</c:f>
              <c:strCache>
                <c:ptCount val="5"/>
                <c:pt idx="0">
                  <c:v>Familiar Nuclear</c:v>
                </c:pt>
                <c:pt idx="1">
                  <c:v>Familiar Amplio</c:v>
                </c:pt>
                <c:pt idx="2">
                  <c:v>Familiar sin núcleo</c:v>
                </c:pt>
                <c:pt idx="3">
                  <c:v>No FamiliarUnipersonal</c:v>
                </c:pt>
                <c:pt idx="4">
                  <c:v>No Familiar sin núcleo</c:v>
                </c:pt>
              </c:strCache>
            </c:strRef>
          </c:cat>
          <c:val>
            <c:numRef>
              <c:f>localidades!$D$129:$D$133</c:f>
              <c:numCache>
                <c:formatCode>_(* #,##0_);_(* \(#,##0\);_(* "-"_);_(@_)</c:formatCode>
                <c:ptCount val="5"/>
                <c:pt idx="0">
                  <c:v>21648.096000000001</c:v>
                </c:pt>
                <c:pt idx="1">
                  <c:v>6594.1422599999996</c:v>
                </c:pt>
                <c:pt idx="2">
                  <c:v>1537.4290000000001</c:v>
                </c:pt>
                <c:pt idx="3">
                  <c:v>3715.3090000000002</c:v>
                </c:pt>
                <c:pt idx="4">
                  <c:v>400.85422</c:v>
                </c:pt>
              </c:numCache>
            </c:numRef>
          </c:val>
          <c:extLst>
            <c:ext xmlns:c16="http://schemas.microsoft.com/office/drawing/2014/chart" uri="{C3380CC4-5D6E-409C-BE32-E72D297353CC}">
              <c16:uniqueId val="{0000000A-F3DE-864E-8282-49AF79AAB3AE}"/>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2.6008311461067401E-3"/>
          <c:y val="0.82296077573636595"/>
          <c:w val="0.99202034120734905"/>
          <c:h val="0.149261446485855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1.60393356740863E-4"/>
          <c:y val="3.5935459066647198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Garamond" panose="02020404030301010803" pitchFamily="18" charset="0"/>
              <a:ea typeface="+mn-ea"/>
              <a:cs typeface="+mn-cs"/>
            </a:defRPr>
          </a:pPr>
          <a:endParaRPr lang="es-CO"/>
        </a:p>
      </c:txPr>
    </c:title>
    <c:autoTitleDeleted val="0"/>
    <c:plotArea>
      <c:layout>
        <c:manualLayout>
          <c:layoutTarget val="inner"/>
          <c:xMode val="edge"/>
          <c:yMode val="edge"/>
          <c:x val="0.30575169515064998"/>
          <c:y val="0.16043343256849099"/>
          <c:w val="0.45197971608251403"/>
          <c:h val="0.602003472582058"/>
        </c:manualLayout>
      </c:layout>
      <c:doughnutChart>
        <c:varyColors val="1"/>
        <c:ser>
          <c:idx val="0"/>
          <c:order val="0"/>
          <c:tx>
            <c:strRef>
              <c:f>localidades!$C$128</c:f>
              <c:strCache>
                <c:ptCount val="1"/>
                <c:pt idx="0">
                  <c:v>La Candelaria: 10.231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D0C-154D-9CBB-B46C5D8DA9E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D0C-154D-9CBB-B46C5D8DA9E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D0C-154D-9CBB-B46C5D8DA9E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D0C-154D-9CBB-B46C5D8DA9E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D0C-154D-9CBB-B46C5D8DA9E5}"/>
              </c:ext>
            </c:extLst>
          </c:dPt>
          <c:dLbls>
            <c:dLbl>
              <c:idx val="0"/>
              <c:layout>
                <c:manualLayout>
                  <c:x val="9.7802770343799306E-2"/>
                  <c:y val="4.4919323833308997E-3"/>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5D0C-154D-9CBB-B46C5D8DA9E5}"/>
                </c:ext>
              </c:extLst>
            </c:dLbl>
            <c:dLbl>
              <c:idx val="1"/>
              <c:layout>
                <c:manualLayout>
                  <c:x val="6.7450186443999E-3"/>
                  <c:y val="-0.11229830958327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5D0C-154D-9CBB-B46C5D8DA9E5}"/>
                </c:ext>
              </c:extLst>
            </c:dLbl>
            <c:dLbl>
              <c:idx val="2"/>
              <c:layout>
                <c:manualLayout>
                  <c:x val="-0.16862546610999901"/>
                  <c:y val="3.59354590666471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5D0C-154D-9CBB-B46C5D8DA9E5}"/>
                </c:ext>
              </c:extLst>
            </c:dLbl>
            <c:dLbl>
              <c:idx val="3"/>
              <c:layout>
                <c:manualLayout>
                  <c:x val="-0.104547788988199"/>
                  <c:y val="1.7967729533323599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5D0C-154D-9CBB-B46C5D8DA9E5}"/>
                </c:ext>
              </c:extLst>
            </c:dLbl>
            <c:dLbl>
              <c:idx val="4"/>
              <c:layout>
                <c:manualLayout>
                  <c:x val="1.01175279665999E-2"/>
                  <c:y val="0.15721763341658099"/>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5D0C-154D-9CBB-B46C5D8DA9E5}"/>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localidades!$A$129:$A$133</c:f>
              <c:strCache>
                <c:ptCount val="5"/>
                <c:pt idx="0">
                  <c:v>Familiar Nuclear</c:v>
                </c:pt>
                <c:pt idx="1">
                  <c:v>Familiar Amplio</c:v>
                </c:pt>
                <c:pt idx="2">
                  <c:v>Familiar sin núcleo</c:v>
                </c:pt>
                <c:pt idx="3">
                  <c:v>No FamiliarUnipersonal</c:v>
                </c:pt>
                <c:pt idx="4">
                  <c:v>No Familiar sin núcleo</c:v>
                </c:pt>
              </c:strCache>
            </c:strRef>
          </c:cat>
          <c:val>
            <c:numRef>
              <c:f>localidades!$C$129:$C$133</c:f>
              <c:numCache>
                <c:formatCode>_(* #,##0_);_(* \(#,##0\);_(* "-"_);_(@_)</c:formatCode>
                <c:ptCount val="5"/>
                <c:pt idx="0">
                  <c:v>4736.6384900000003</c:v>
                </c:pt>
                <c:pt idx="1">
                  <c:v>891.34641699999997</c:v>
                </c:pt>
                <c:pt idx="2">
                  <c:v>344.38323000000003</c:v>
                </c:pt>
                <c:pt idx="3">
                  <c:v>4049.116</c:v>
                </c:pt>
                <c:pt idx="4">
                  <c:v>209.43135000000001</c:v>
                </c:pt>
              </c:numCache>
            </c:numRef>
          </c:val>
          <c:extLst>
            <c:ext xmlns:c16="http://schemas.microsoft.com/office/drawing/2014/chart" uri="{C3380CC4-5D6E-409C-BE32-E72D297353CC}">
              <c16:uniqueId val="{0000000A-5D0C-154D-9CBB-B46C5D8DA9E5}"/>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2.6008311461067401E-3"/>
          <c:y val="0.82296077573636595"/>
          <c:w val="0.99202034120734905"/>
          <c:h val="0.149261446485855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8967629046369E-3"/>
          <c:y val="5.0925925925925902E-2"/>
          <c:w val="0.99166666666666703"/>
          <c:h val="0.73583223972003498"/>
        </c:manualLayout>
      </c:layout>
      <c:barChart>
        <c:barDir val="col"/>
        <c:grouping val="stacked"/>
        <c:varyColors val="0"/>
        <c:ser>
          <c:idx val="0"/>
          <c:order val="0"/>
          <c:tx>
            <c:strRef>
              <c:f>estrato!$A$11</c:f>
              <c:strCache>
                <c:ptCount val="1"/>
                <c:pt idx="0">
                  <c:v>Hogares familiares</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65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estrato!$B$10:$H$10</c:f>
              <c:strCache>
                <c:ptCount val="7"/>
                <c:pt idx="0">
                  <c:v>Estrato 1</c:v>
                </c:pt>
                <c:pt idx="1">
                  <c:v>Estrato 2</c:v>
                </c:pt>
                <c:pt idx="2">
                  <c:v>Estrato 3</c:v>
                </c:pt>
                <c:pt idx="3">
                  <c:v>Estrato 4</c:v>
                </c:pt>
                <c:pt idx="4">
                  <c:v>Estrato 5</c:v>
                </c:pt>
                <c:pt idx="5">
                  <c:v>Estrato 6</c:v>
                </c:pt>
                <c:pt idx="6">
                  <c:v>Bogotá</c:v>
                </c:pt>
              </c:strCache>
            </c:strRef>
          </c:cat>
          <c:val>
            <c:numRef>
              <c:f>estrato!$B$11:$H$11</c:f>
              <c:numCache>
                <c:formatCode>0.0%</c:formatCode>
                <c:ptCount val="7"/>
                <c:pt idx="0">
                  <c:v>0.87420546482794104</c:v>
                </c:pt>
                <c:pt idx="1">
                  <c:v>0.87282143943569612</c:v>
                </c:pt>
                <c:pt idx="2">
                  <c:v>0.82582986036714356</c:v>
                </c:pt>
                <c:pt idx="3">
                  <c:v>0.74098650497306617</c:v>
                </c:pt>
                <c:pt idx="4">
                  <c:v>0.69571863351311669</c:v>
                </c:pt>
                <c:pt idx="5">
                  <c:v>0.5573420286738775</c:v>
                </c:pt>
                <c:pt idx="6">
                  <c:v>0.82827520653994324</c:v>
                </c:pt>
              </c:numCache>
            </c:numRef>
          </c:val>
          <c:extLst>
            <c:ext xmlns:c16="http://schemas.microsoft.com/office/drawing/2014/chart" uri="{C3380CC4-5D6E-409C-BE32-E72D297353CC}">
              <c16:uniqueId val="{00000000-F007-924E-B84B-27D56D309668}"/>
            </c:ext>
          </c:extLst>
        </c:ser>
        <c:ser>
          <c:idx val="1"/>
          <c:order val="1"/>
          <c:tx>
            <c:strRef>
              <c:f>estrato!$A$12</c:f>
              <c:strCache>
                <c:ptCount val="1"/>
                <c:pt idx="0">
                  <c:v>Hogares No familiares</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65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estrato!$B$10:$H$10</c:f>
              <c:strCache>
                <c:ptCount val="7"/>
                <c:pt idx="0">
                  <c:v>Estrato 1</c:v>
                </c:pt>
                <c:pt idx="1">
                  <c:v>Estrato 2</c:v>
                </c:pt>
                <c:pt idx="2">
                  <c:v>Estrato 3</c:v>
                </c:pt>
                <c:pt idx="3">
                  <c:v>Estrato 4</c:v>
                </c:pt>
                <c:pt idx="4">
                  <c:v>Estrato 5</c:v>
                </c:pt>
                <c:pt idx="5">
                  <c:v>Estrato 6</c:v>
                </c:pt>
                <c:pt idx="6">
                  <c:v>Bogotá</c:v>
                </c:pt>
              </c:strCache>
            </c:strRef>
          </c:cat>
          <c:val>
            <c:numRef>
              <c:f>estrato!$B$12:$H$12</c:f>
              <c:numCache>
                <c:formatCode>0.0%</c:formatCode>
                <c:ptCount val="7"/>
                <c:pt idx="0">
                  <c:v>0.12579453517205899</c:v>
                </c:pt>
                <c:pt idx="1">
                  <c:v>0.12717856056430391</c:v>
                </c:pt>
                <c:pt idx="2">
                  <c:v>0.17417013963285649</c:v>
                </c:pt>
                <c:pt idx="3">
                  <c:v>0.25901349502693388</c:v>
                </c:pt>
                <c:pt idx="4">
                  <c:v>0.30428136648688342</c:v>
                </c:pt>
                <c:pt idx="5">
                  <c:v>0.44265797132612261</c:v>
                </c:pt>
                <c:pt idx="6">
                  <c:v>0.17172479346005667</c:v>
                </c:pt>
              </c:numCache>
            </c:numRef>
          </c:val>
          <c:extLst>
            <c:ext xmlns:c16="http://schemas.microsoft.com/office/drawing/2014/chart" uri="{C3380CC4-5D6E-409C-BE32-E72D297353CC}">
              <c16:uniqueId val="{00000001-F007-924E-B84B-27D56D309668}"/>
            </c:ext>
          </c:extLst>
        </c:ser>
        <c:dLbls>
          <c:showLegendKey val="0"/>
          <c:showVal val="0"/>
          <c:showCatName val="0"/>
          <c:showSerName val="0"/>
          <c:showPercent val="0"/>
          <c:showBubbleSize val="0"/>
        </c:dLbls>
        <c:gapWidth val="150"/>
        <c:overlap val="100"/>
        <c:axId val="2136024488"/>
        <c:axId val="2089622952"/>
      </c:barChart>
      <c:catAx>
        <c:axId val="2136024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5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089622952"/>
        <c:crosses val="autoZero"/>
        <c:auto val="1"/>
        <c:lblAlgn val="ctr"/>
        <c:lblOffset val="100"/>
        <c:noMultiLvlLbl val="0"/>
      </c:catAx>
      <c:valAx>
        <c:axId val="2089622952"/>
        <c:scaling>
          <c:orientation val="minMax"/>
          <c:max val="1"/>
        </c:scaling>
        <c:delete val="1"/>
        <c:axPos val="l"/>
        <c:numFmt formatCode="0.0%" sourceLinked="1"/>
        <c:majorTickMark val="none"/>
        <c:minorTickMark val="none"/>
        <c:tickLblPos val="nextTo"/>
        <c:crossAx val="2136024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5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noFill/>
    <a:ln w="9525" cap="flat" cmpd="sng" algn="ctr">
      <a:noFill/>
      <a:round/>
    </a:ln>
    <a:effectLst/>
  </c:spPr>
  <c:txPr>
    <a:bodyPr/>
    <a:lstStyle/>
    <a:p>
      <a:pPr>
        <a:defRPr sz="650">
          <a:latin typeface="Garamond" panose="02020404030301010803" pitchFamily="18" charset="0"/>
        </a:defRPr>
      </a:pPr>
      <a:endParaRPr lang="es-CO"/>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1.60393356740863E-4"/>
          <c:y val="3.5935459066647198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Garamond" panose="02020404030301010803" pitchFamily="18" charset="0"/>
              <a:ea typeface="+mn-ea"/>
              <a:cs typeface="+mn-cs"/>
            </a:defRPr>
          </a:pPr>
          <a:endParaRPr lang="es-CO"/>
        </a:p>
      </c:txPr>
    </c:title>
    <c:autoTitleDeleted val="0"/>
    <c:plotArea>
      <c:layout>
        <c:manualLayout>
          <c:layoutTarget val="inner"/>
          <c:xMode val="edge"/>
          <c:yMode val="edge"/>
          <c:x val="0.30575169515064998"/>
          <c:y val="0.16043343256849099"/>
          <c:w val="0.45197971608251403"/>
          <c:h val="0.602003472582058"/>
        </c:manualLayout>
      </c:layout>
      <c:doughnutChart>
        <c:varyColors val="1"/>
        <c:ser>
          <c:idx val="0"/>
          <c:order val="0"/>
          <c:tx>
            <c:strRef>
              <c:f>localidades!$B$128</c:f>
              <c:strCache>
                <c:ptCount val="1"/>
                <c:pt idx="0">
                  <c:v>Sumapaz: 378</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80F-7147-B31F-E3597DE7A44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80F-7147-B31F-E3597DE7A44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80F-7147-B31F-E3597DE7A44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80F-7147-B31F-E3597DE7A44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80F-7147-B31F-E3597DE7A443}"/>
              </c:ext>
            </c:extLst>
          </c:dPt>
          <c:dLbls>
            <c:dLbl>
              <c:idx val="0"/>
              <c:layout>
                <c:manualLayout>
                  <c:x val="0.134900372887999"/>
                  <c:y val="3.59354590666471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280F-7147-B31F-E3597DE7A443}"/>
                </c:ext>
              </c:extLst>
            </c:dLbl>
            <c:dLbl>
              <c:idx val="1"/>
              <c:layout>
                <c:manualLayout>
                  <c:x val="-0.107920298310399"/>
                  <c:y val="0.13026603911659601"/>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280F-7147-B31F-E3597DE7A443}"/>
                </c:ext>
              </c:extLst>
            </c:dLbl>
            <c:dLbl>
              <c:idx val="2"/>
              <c:layout>
                <c:manualLayout>
                  <c:x val="-0.11129280763259899"/>
                  <c:y val="-4.4919323833308997E-3"/>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280F-7147-B31F-E3597DE7A443}"/>
                </c:ext>
              </c:extLst>
            </c:dLbl>
            <c:dLbl>
              <c:idx val="3"/>
              <c:layout>
                <c:manualLayout>
                  <c:x val="-9.7802770343799403E-2"/>
                  <c:y val="-5.39031885999708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280F-7147-B31F-E3597DE7A443}"/>
                </c:ext>
              </c:extLst>
            </c:dLbl>
            <c:dLbl>
              <c:idx val="4"/>
              <c:layout>
                <c:manualLayout>
                  <c:x val="1.3490037288799999E-2"/>
                  <c:y val="0.139249903883258"/>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280F-7147-B31F-E3597DE7A443}"/>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localidades!$A$129:$A$133</c:f>
              <c:strCache>
                <c:ptCount val="5"/>
                <c:pt idx="0">
                  <c:v>Familiar Nuclear</c:v>
                </c:pt>
                <c:pt idx="1">
                  <c:v>Familiar Amplio</c:v>
                </c:pt>
                <c:pt idx="2">
                  <c:v>Familiar sin núcleo</c:v>
                </c:pt>
                <c:pt idx="3">
                  <c:v>No FamiliarUnipersonal</c:v>
                </c:pt>
                <c:pt idx="4">
                  <c:v>No Familiar sin núcleo</c:v>
                </c:pt>
              </c:strCache>
            </c:strRef>
          </c:cat>
          <c:val>
            <c:numRef>
              <c:f>localidades!$B$129:$B$133</c:f>
              <c:numCache>
                <c:formatCode>_(* #,##0_);_(* \(#,##0\);_(* "-"_);_(@_)</c:formatCode>
                <c:ptCount val="5"/>
                <c:pt idx="0">
                  <c:v>237</c:v>
                </c:pt>
                <c:pt idx="1">
                  <c:v>69</c:v>
                </c:pt>
                <c:pt idx="2">
                  <c:v>12</c:v>
                </c:pt>
                <c:pt idx="3">
                  <c:v>58</c:v>
                </c:pt>
                <c:pt idx="4">
                  <c:v>2</c:v>
                </c:pt>
              </c:numCache>
            </c:numRef>
          </c:val>
          <c:extLst>
            <c:ext xmlns:c16="http://schemas.microsoft.com/office/drawing/2014/chart" uri="{C3380CC4-5D6E-409C-BE32-E72D297353CC}">
              <c16:uniqueId val="{0000000A-280F-7147-B31F-E3597DE7A443}"/>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2.6008311461067401E-3"/>
          <c:y val="0.82296077573636595"/>
          <c:w val="0.99202034120734905"/>
          <c:h val="0.149261446485855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55555555555555E-2"/>
          <c:y val="1.8518518518518517E-2"/>
          <c:w val="0.93888888888888888"/>
          <c:h val="0.75157102696818534"/>
        </c:manualLayout>
      </c:layout>
      <c:barChart>
        <c:barDir val="col"/>
        <c:grouping val="stacked"/>
        <c:varyColors val="0"/>
        <c:ser>
          <c:idx val="0"/>
          <c:order val="0"/>
          <c:tx>
            <c:strRef>
              <c:f>estrato!$A$39</c:f>
              <c:strCache>
                <c:ptCount val="1"/>
                <c:pt idx="0">
                  <c:v>Familiar Nuclear</c:v>
                </c:pt>
              </c:strCache>
            </c:strRef>
          </c:tx>
          <c:spPr>
            <a:solidFill>
              <a:srgbClr val="00B0F0"/>
            </a:solidFill>
            <a:ln>
              <a:noFill/>
            </a:ln>
            <a:effectLst/>
          </c:spPr>
          <c:invertIfNegative val="0"/>
          <c:dLbls>
            <c:spPr>
              <a:noFill/>
              <a:ln>
                <a:noFill/>
              </a:ln>
              <a:effectLst/>
            </c:spPr>
            <c:txPr>
              <a:bodyPr rot="-5400000" vert="horz"/>
              <a:lstStyle/>
              <a:p>
                <a:pPr>
                  <a:defRPr>
                    <a:solidFill>
                      <a:schemeClr val="bg1"/>
                    </a:solidFil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estrato!$B$38:$H$38</c:f>
              <c:strCache>
                <c:ptCount val="7"/>
                <c:pt idx="0">
                  <c:v>Estrato 1</c:v>
                </c:pt>
                <c:pt idx="1">
                  <c:v>Estrato 2</c:v>
                </c:pt>
                <c:pt idx="2">
                  <c:v>Estrato 3</c:v>
                </c:pt>
                <c:pt idx="3">
                  <c:v>Estrato 4</c:v>
                </c:pt>
                <c:pt idx="4">
                  <c:v>Estrato 5</c:v>
                </c:pt>
                <c:pt idx="5">
                  <c:v>Estrato 6</c:v>
                </c:pt>
                <c:pt idx="6">
                  <c:v>Bogotá</c:v>
                </c:pt>
              </c:strCache>
            </c:strRef>
          </c:cat>
          <c:val>
            <c:numRef>
              <c:f>estrato!$B$39:$H$39</c:f>
              <c:numCache>
                <c:formatCode>0.0%</c:formatCode>
                <c:ptCount val="7"/>
                <c:pt idx="0">
                  <c:v>0.65432482614700327</c:v>
                </c:pt>
                <c:pt idx="1">
                  <c:v>0.66615098993848132</c:v>
                </c:pt>
                <c:pt idx="2">
                  <c:v>0.66917142060163715</c:v>
                </c:pt>
                <c:pt idx="3">
                  <c:v>0.75606619202554726</c:v>
                </c:pt>
                <c:pt idx="4">
                  <c:v>0.80145494100272741</c:v>
                </c:pt>
                <c:pt idx="5">
                  <c:v>0.8422395196960335</c:v>
                </c:pt>
                <c:pt idx="6">
                  <c:v>0.63832982224182511</c:v>
                </c:pt>
              </c:numCache>
            </c:numRef>
          </c:val>
          <c:extLst>
            <c:ext xmlns:c16="http://schemas.microsoft.com/office/drawing/2014/chart" uri="{C3380CC4-5D6E-409C-BE32-E72D297353CC}">
              <c16:uniqueId val="{00000000-9F94-7E40-A144-1DA6463F715A}"/>
            </c:ext>
          </c:extLst>
        </c:ser>
        <c:ser>
          <c:idx val="1"/>
          <c:order val="1"/>
          <c:tx>
            <c:strRef>
              <c:f>estrato!$A$40</c:f>
              <c:strCache>
                <c:ptCount val="1"/>
                <c:pt idx="0">
                  <c:v>Familiar Amplio</c:v>
                </c:pt>
              </c:strCache>
            </c:strRef>
          </c:tx>
          <c:spPr>
            <a:solidFill>
              <a:schemeClr val="accent5"/>
            </a:solidFill>
            <a:ln>
              <a:noFill/>
            </a:ln>
            <a:effectLst/>
          </c:spPr>
          <c:invertIfNegative val="0"/>
          <c:dLbls>
            <c:dLbl>
              <c:idx val="0"/>
              <c:layout>
                <c:manualLayout>
                  <c:x val="0"/>
                  <c:y val="1.14716764639090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94-7E40-A144-1DA6463F715A}"/>
                </c:ext>
              </c:extLst>
            </c:dLbl>
            <c:spPr>
              <a:noFill/>
              <a:ln>
                <a:noFill/>
              </a:ln>
              <a:effectLst/>
            </c:spPr>
            <c:txPr>
              <a:bodyPr rot="-5400000" vert="horz"/>
              <a:lstStyle/>
              <a:p>
                <a:pPr>
                  <a:defRPr>
                    <a:solidFill>
                      <a:schemeClr val="bg1"/>
                    </a:solidFil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estrato!$B$38:$H$38</c:f>
              <c:strCache>
                <c:ptCount val="7"/>
                <c:pt idx="0">
                  <c:v>Estrato 1</c:v>
                </c:pt>
                <c:pt idx="1">
                  <c:v>Estrato 2</c:v>
                </c:pt>
                <c:pt idx="2">
                  <c:v>Estrato 3</c:v>
                </c:pt>
                <c:pt idx="3">
                  <c:v>Estrato 4</c:v>
                </c:pt>
                <c:pt idx="4">
                  <c:v>Estrato 5</c:v>
                </c:pt>
                <c:pt idx="5">
                  <c:v>Estrato 6</c:v>
                </c:pt>
                <c:pt idx="6">
                  <c:v>Bogotá</c:v>
                </c:pt>
              </c:strCache>
            </c:strRef>
          </c:cat>
          <c:val>
            <c:numRef>
              <c:f>estrato!$B$40:$H$40</c:f>
              <c:numCache>
                <c:formatCode>0.0%</c:formatCode>
                <c:ptCount val="7"/>
                <c:pt idx="0">
                  <c:v>0.17747900384423784</c:v>
                </c:pt>
                <c:pt idx="1">
                  <c:v>0.17388562203313179</c:v>
                </c:pt>
                <c:pt idx="2">
                  <c:v>0.15855976872969657</c:v>
                </c:pt>
                <c:pt idx="3">
                  <c:v>8.9606550104143715E-2</c:v>
                </c:pt>
                <c:pt idx="4">
                  <c:v>6.4780221713529706E-2</c:v>
                </c:pt>
                <c:pt idx="5">
                  <c:v>4.9547058959367826E-2</c:v>
                </c:pt>
                <c:pt idx="6">
                  <c:v>0.15285821467256469</c:v>
                </c:pt>
              </c:numCache>
            </c:numRef>
          </c:val>
          <c:extLst>
            <c:ext xmlns:c16="http://schemas.microsoft.com/office/drawing/2014/chart" uri="{C3380CC4-5D6E-409C-BE32-E72D297353CC}">
              <c16:uniqueId val="{00000002-9F94-7E40-A144-1DA6463F715A}"/>
            </c:ext>
          </c:extLst>
        </c:ser>
        <c:ser>
          <c:idx val="2"/>
          <c:order val="2"/>
          <c:tx>
            <c:strRef>
              <c:f>estrato!$A$41</c:f>
              <c:strCache>
                <c:ptCount val="1"/>
                <c:pt idx="0">
                  <c:v>Familiar sin núcleo</c:v>
                </c:pt>
              </c:strCache>
            </c:strRef>
          </c:tx>
          <c:spPr>
            <a:solidFill>
              <a:schemeClr val="accent1"/>
            </a:solidFill>
            <a:ln>
              <a:noFill/>
            </a:ln>
            <a:effectLst/>
          </c:spPr>
          <c:invertIfNegative val="0"/>
          <c:dLbls>
            <c:dLbl>
              <c:idx val="0"/>
              <c:layout>
                <c:manualLayout>
                  <c:x val="6.1111111111111109E-2"/>
                  <c:y val="3.89213216209778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94-7E40-A144-1DA6463F715A}"/>
                </c:ext>
              </c:extLst>
            </c:dLbl>
            <c:dLbl>
              <c:idx val="1"/>
              <c:layout>
                <c:manualLayout>
                  <c:x val="5.8333333333333334E-2"/>
                  <c:y val="7.78426432419560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F94-7E40-A144-1DA6463F715A}"/>
                </c:ext>
              </c:extLst>
            </c:dLbl>
            <c:dLbl>
              <c:idx val="2"/>
              <c:layout>
                <c:manualLayout>
                  <c:x val="5.5555555555555552E-2"/>
                  <c:y val="3.89213216209780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F94-7E40-A144-1DA6463F715A}"/>
                </c:ext>
              </c:extLst>
            </c:dLbl>
            <c:dLbl>
              <c:idx val="3"/>
              <c:layout>
                <c:manualLayout>
                  <c:x val="5.277777777777777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F94-7E40-A144-1DA6463F715A}"/>
                </c:ext>
              </c:extLst>
            </c:dLbl>
            <c:dLbl>
              <c:idx val="4"/>
              <c:layout>
                <c:manualLayout>
                  <c:x val="6.1111111111111109E-2"/>
                  <c:y val="-3.89213216209783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F94-7E40-A144-1DA6463F715A}"/>
                </c:ext>
              </c:extLst>
            </c:dLbl>
            <c:dLbl>
              <c:idx val="5"/>
              <c:layout>
                <c:manualLayout>
                  <c:x val="5.5555555555555657E-2"/>
                  <c:y val="-3.567746600343145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F94-7E40-A144-1DA6463F715A}"/>
                </c:ext>
              </c:extLst>
            </c:dLbl>
            <c:dLbl>
              <c:idx val="6"/>
              <c:layout>
                <c:manualLayout>
                  <c:x val="5.5555555555555552E-2"/>
                  <c:y val="7.78426432419559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F94-7E40-A144-1DA6463F715A}"/>
                </c:ext>
              </c:extLst>
            </c:dLbl>
            <c:spPr>
              <a:noFill/>
              <a:ln>
                <a:noFill/>
              </a:ln>
              <a:effectLst/>
            </c:spPr>
            <c:txPr>
              <a:bodyPr rot="0" vert="horz"/>
              <a:lstStyle/>
              <a:p>
                <a:pPr>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estrato!$B$38:$H$38</c:f>
              <c:strCache>
                <c:ptCount val="7"/>
                <c:pt idx="0">
                  <c:v>Estrato 1</c:v>
                </c:pt>
                <c:pt idx="1">
                  <c:v>Estrato 2</c:v>
                </c:pt>
                <c:pt idx="2">
                  <c:v>Estrato 3</c:v>
                </c:pt>
                <c:pt idx="3">
                  <c:v>Estrato 4</c:v>
                </c:pt>
                <c:pt idx="4">
                  <c:v>Estrato 5</c:v>
                </c:pt>
                <c:pt idx="5">
                  <c:v>Estrato 6</c:v>
                </c:pt>
                <c:pt idx="6">
                  <c:v>Bogotá</c:v>
                </c:pt>
              </c:strCache>
            </c:strRef>
          </c:cat>
          <c:val>
            <c:numRef>
              <c:f>estrato!$B$41:$H$41</c:f>
              <c:numCache>
                <c:formatCode>0.0%</c:formatCode>
                <c:ptCount val="7"/>
                <c:pt idx="0">
                  <c:v>2.5378699370103612E-2</c:v>
                </c:pt>
                <c:pt idx="1">
                  <c:v>2.8885285275244567E-2</c:v>
                </c:pt>
                <c:pt idx="2">
                  <c:v>4.5800767346543397E-2</c:v>
                </c:pt>
                <c:pt idx="3">
                  <c:v>4.7463875705069554E-2</c:v>
                </c:pt>
                <c:pt idx="4">
                  <c:v>3.2535027902688932E-2</c:v>
                </c:pt>
                <c:pt idx="5">
                  <c:v>3.4312109688833317E-2</c:v>
                </c:pt>
                <c:pt idx="6">
                  <c:v>3.708717882920716E-2</c:v>
                </c:pt>
              </c:numCache>
            </c:numRef>
          </c:val>
          <c:extLst>
            <c:ext xmlns:c16="http://schemas.microsoft.com/office/drawing/2014/chart" uri="{C3380CC4-5D6E-409C-BE32-E72D297353CC}">
              <c16:uniqueId val="{0000000A-9F94-7E40-A144-1DA6463F715A}"/>
            </c:ext>
          </c:extLst>
        </c:ser>
        <c:ser>
          <c:idx val="3"/>
          <c:order val="3"/>
          <c:tx>
            <c:strRef>
              <c:f>estrato!$A$42</c:f>
              <c:strCache>
                <c:ptCount val="1"/>
                <c:pt idx="0">
                  <c:v>No Familiar Unipersonal</c:v>
                </c:pt>
              </c:strCache>
            </c:strRef>
          </c:tx>
          <c:spPr>
            <a:solidFill>
              <a:schemeClr val="accent4"/>
            </a:solidFill>
            <a:ln>
              <a:noFill/>
            </a:ln>
            <a:effectLst/>
          </c:spPr>
          <c:invertIfNegative val="0"/>
          <c:dLbls>
            <c:spPr>
              <a:noFill/>
              <a:ln>
                <a:noFill/>
              </a:ln>
              <a:effectLst/>
            </c:spPr>
            <c:txPr>
              <a:bodyPr rot="-5400000" vert="horz"/>
              <a:lstStyle/>
              <a:p>
                <a:pPr>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estrato!$B$38:$H$38</c:f>
              <c:strCache>
                <c:ptCount val="7"/>
                <c:pt idx="0">
                  <c:v>Estrato 1</c:v>
                </c:pt>
                <c:pt idx="1">
                  <c:v>Estrato 2</c:v>
                </c:pt>
                <c:pt idx="2">
                  <c:v>Estrato 3</c:v>
                </c:pt>
                <c:pt idx="3">
                  <c:v>Estrato 4</c:v>
                </c:pt>
                <c:pt idx="4">
                  <c:v>Estrato 5</c:v>
                </c:pt>
                <c:pt idx="5">
                  <c:v>Estrato 6</c:v>
                </c:pt>
                <c:pt idx="6">
                  <c:v>Bogotá</c:v>
                </c:pt>
              </c:strCache>
            </c:strRef>
          </c:cat>
          <c:val>
            <c:numRef>
              <c:f>estrato!$B$42:$H$42</c:f>
              <c:numCache>
                <c:formatCode>0.0%</c:formatCode>
                <c:ptCount val="7"/>
                <c:pt idx="0">
                  <c:v>0.13994951831039115</c:v>
                </c:pt>
                <c:pt idx="1">
                  <c:v>0.12521282762194838</c:v>
                </c:pt>
                <c:pt idx="2">
                  <c:v>0.11659404091099754</c:v>
                </c:pt>
                <c:pt idx="3">
                  <c:v>9.1274996793125021E-2</c:v>
                </c:pt>
                <c:pt idx="4">
                  <c:v>8.8917902457708656E-2</c:v>
                </c:pt>
                <c:pt idx="5">
                  <c:v>5.9411102544279927E-2</c:v>
                </c:pt>
                <c:pt idx="6">
                  <c:v>0.16316919332407148</c:v>
                </c:pt>
              </c:numCache>
            </c:numRef>
          </c:val>
          <c:extLst>
            <c:ext xmlns:c16="http://schemas.microsoft.com/office/drawing/2014/chart" uri="{C3380CC4-5D6E-409C-BE32-E72D297353CC}">
              <c16:uniqueId val="{0000000B-9F94-7E40-A144-1DA6463F715A}"/>
            </c:ext>
          </c:extLst>
        </c:ser>
        <c:ser>
          <c:idx val="4"/>
          <c:order val="4"/>
          <c:tx>
            <c:strRef>
              <c:f>estrato!$A$43</c:f>
              <c:strCache>
                <c:ptCount val="1"/>
                <c:pt idx="0">
                  <c:v>No Familiar sin núcleo</c:v>
                </c:pt>
              </c:strCache>
            </c:strRef>
          </c:tx>
          <c:spPr>
            <a:solidFill>
              <a:schemeClr val="accent2"/>
            </a:solidFill>
            <a:ln>
              <a:noFill/>
            </a:ln>
            <a:effectLst/>
          </c:spPr>
          <c:invertIfNegative val="0"/>
          <c:dLbls>
            <c:dLbl>
              <c:idx val="0"/>
              <c:layout>
                <c:manualLayout>
                  <c:x val="6.1111111111111109E-2"/>
                  <c:y val="3.89213216209780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F94-7E40-A144-1DA6463F715A}"/>
                </c:ext>
              </c:extLst>
            </c:dLbl>
            <c:dLbl>
              <c:idx val="1"/>
              <c:layout>
                <c:manualLayout>
                  <c:x val="6.111111111111106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F94-7E40-A144-1DA6463F715A}"/>
                </c:ext>
              </c:extLst>
            </c:dLbl>
            <c:dLbl>
              <c:idx val="2"/>
              <c:layout>
                <c:manualLayout>
                  <c:x val="5.8333333333333286E-2"/>
                  <c:y val="3.89213216209780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F94-7E40-A144-1DA6463F715A}"/>
                </c:ext>
              </c:extLst>
            </c:dLbl>
            <c:dLbl>
              <c:idx val="3"/>
              <c:layout>
                <c:manualLayout>
                  <c:x val="6.1111111111111012E-2"/>
                  <c:y val="7.78426432419560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F94-7E40-A144-1DA6463F715A}"/>
                </c:ext>
              </c:extLst>
            </c:dLbl>
            <c:dLbl>
              <c:idx val="4"/>
              <c:layout>
                <c:manualLayout>
                  <c:x val="5.5555555555555455E-2"/>
                  <c:y val="3.89213216209780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F94-7E40-A144-1DA6463F715A}"/>
                </c:ext>
              </c:extLst>
            </c:dLbl>
            <c:dLbl>
              <c:idx val="5"/>
              <c:layout>
                <c:manualLayout>
                  <c:x val="5.5555555555555657E-2"/>
                  <c:y val="1.1676396486293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F94-7E40-A144-1DA6463F715A}"/>
                </c:ext>
              </c:extLst>
            </c:dLbl>
            <c:dLbl>
              <c:idx val="6"/>
              <c:layout>
                <c:manualLayout>
                  <c:x val="5.8333333333333133E-2"/>
                  <c:y val="1.1676396486293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F94-7E40-A144-1DA6463F715A}"/>
                </c:ext>
              </c:extLst>
            </c:dLbl>
            <c:spPr>
              <a:noFill/>
              <a:ln>
                <a:noFill/>
              </a:ln>
              <a:effectLst/>
            </c:spPr>
            <c:txPr>
              <a:bodyPr rot="0" vert="horz"/>
              <a:lstStyle/>
              <a:p>
                <a:pPr>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estrato!$B$38:$H$38</c:f>
              <c:strCache>
                <c:ptCount val="7"/>
                <c:pt idx="0">
                  <c:v>Estrato 1</c:v>
                </c:pt>
                <c:pt idx="1">
                  <c:v>Estrato 2</c:v>
                </c:pt>
                <c:pt idx="2">
                  <c:v>Estrato 3</c:v>
                </c:pt>
                <c:pt idx="3">
                  <c:v>Estrato 4</c:v>
                </c:pt>
                <c:pt idx="4">
                  <c:v>Estrato 5</c:v>
                </c:pt>
                <c:pt idx="5">
                  <c:v>Estrato 6</c:v>
                </c:pt>
                <c:pt idx="6">
                  <c:v>Bogotá</c:v>
                </c:pt>
              </c:strCache>
            </c:strRef>
          </c:cat>
          <c:val>
            <c:numRef>
              <c:f>estrato!$B$43:$H$43</c:f>
              <c:numCache>
                <c:formatCode>0.0%</c:formatCode>
                <c:ptCount val="7"/>
                <c:pt idx="0">
                  <c:v>2.8679138999448415E-3</c:v>
                </c:pt>
                <c:pt idx="1">
                  <c:v>5.865306837357278E-3</c:v>
                </c:pt>
                <c:pt idx="2">
                  <c:v>9.8739844726881808E-3</c:v>
                </c:pt>
                <c:pt idx="3">
                  <c:v>1.5588314501949281E-2</c:v>
                </c:pt>
                <c:pt idx="4">
                  <c:v>1.2311856657287021E-2</c:v>
                </c:pt>
                <c:pt idx="5">
                  <c:v>1.4490226689382364E-2</c:v>
                </c:pt>
                <c:pt idx="6">
                  <c:v>8.5556020441619699E-3</c:v>
                </c:pt>
              </c:numCache>
            </c:numRef>
          </c:val>
          <c:extLst>
            <c:ext xmlns:c16="http://schemas.microsoft.com/office/drawing/2014/chart" uri="{C3380CC4-5D6E-409C-BE32-E72D297353CC}">
              <c16:uniqueId val="{00000013-9F94-7E40-A144-1DA6463F715A}"/>
            </c:ext>
          </c:extLst>
        </c:ser>
        <c:ser>
          <c:idx val="5"/>
          <c:order val="5"/>
          <c:tx>
            <c:strRef>
              <c:f>estrato!$A$44</c:f>
              <c:strCache>
                <c:ptCount val="1"/>
                <c:pt idx="0">
                  <c:v> Total general </c:v>
                </c:pt>
              </c:strCache>
            </c:strRef>
          </c:tx>
          <c:invertIfNegative val="0"/>
          <c:cat>
            <c:strRef>
              <c:f>estrato!$B$38:$H$38</c:f>
              <c:strCache>
                <c:ptCount val="7"/>
                <c:pt idx="0">
                  <c:v>Estrato 1</c:v>
                </c:pt>
                <c:pt idx="1">
                  <c:v>Estrato 2</c:v>
                </c:pt>
                <c:pt idx="2">
                  <c:v>Estrato 3</c:v>
                </c:pt>
                <c:pt idx="3">
                  <c:v>Estrato 4</c:v>
                </c:pt>
                <c:pt idx="4">
                  <c:v>Estrato 5</c:v>
                </c:pt>
                <c:pt idx="5">
                  <c:v>Estrato 6</c:v>
                </c:pt>
                <c:pt idx="6">
                  <c:v>Bogotá</c:v>
                </c:pt>
              </c:strCache>
            </c:strRef>
          </c:cat>
          <c:val>
            <c:numRef>
              <c:f>estrato!$B$44:$H$44</c:f>
              <c:numCache>
                <c:formatCode>0.0%</c:formatCode>
                <c:ptCount val="7"/>
                <c:pt idx="0">
                  <c:v>1</c:v>
                </c:pt>
                <c:pt idx="1">
                  <c:v>1</c:v>
                </c:pt>
                <c:pt idx="2">
                  <c:v>1</c:v>
                </c:pt>
                <c:pt idx="3">
                  <c:v>1</c:v>
                </c:pt>
                <c:pt idx="4">
                  <c:v>1</c:v>
                </c:pt>
                <c:pt idx="5">
                  <c:v>1</c:v>
                </c:pt>
                <c:pt idx="6">
                  <c:v>1</c:v>
                </c:pt>
              </c:numCache>
            </c:numRef>
          </c:val>
          <c:extLst>
            <c:ext xmlns:c16="http://schemas.microsoft.com/office/drawing/2014/chart" uri="{C3380CC4-5D6E-409C-BE32-E72D297353CC}">
              <c16:uniqueId val="{00000014-9F94-7E40-A144-1DA6463F715A}"/>
            </c:ext>
          </c:extLst>
        </c:ser>
        <c:dLbls>
          <c:showLegendKey val="0"/>
          <c:showVal val="0"/>
          <c:showCatName val="0"/>
          <c:showSerName val="0"/>
          <c:showPercent val="0"/>
          <c:showBubbleSize val="0"/>
        </c:dLbls>
        <c:gapWidth val="150"/>
        <c:overlap val="100"/>
        <c:axId val="107551487"/>
        <c:axId val="107637631"/>
      </c:barChart>
      <c:catAx>
        <c:axId val="107551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650"/>
            </a:pPr>
            <a:endParaRPr lang="es-CO"/>
          </a:p>
        </c:txPr>
        <c:crossAx val="107637631"/>
        <c:crosses val="autoZero"/>
        <c:auto val="1"/>
        <c:lblAlgn val="ctr"/>
        <c:lblOffset val="100"/>
        <c:noMultiLvlLbl val="0"/>
      </c:catAx>
      <c:valAx>
        <c:axId val="107637631"/>
        <c:scaling>
          <c:orientation val="minMax"/>
          <c:max val="1"/>
        </c:scaling>
        <c:delete val="1"/>
        <c:axPos val="l"/>
        <c:numFmt formatCode="0.0%" sourceLinked="1"/>
        <c:majorTickMark val="none"/>
        <c:minorTickMark val="none"/>
        <c:tickLblPos val="nextTo"/>
        <c:crossAx val="107551487"/>
        <c:crosses val="autoZero"/>
        <c:crossBetween val="between"/>
      </c:valAx>
      <c:spPr>
        <a:noFill/>
        <a:ln>
          <a:noFill/>
        </a:ln>
        <a:effectLst/>
      </c:spPr>
    </c:plotArea>
    <c:legend>
      <c:legendPos val="b"/>
      <c:layout>
        <c:manualLayout>
          <c:xMode val="edge"/>
          <c:yMode val="edge"/>
          <c:x val="1.8703160259949052E-2"/>
          <c:y val="0.86983102602370788"/>
          <c:w val="0.97735343967612909"/>
          <c:h val="0.10402518312661897"/>
        </c:manualLayout>
      </c:layout>
      <c:overlay val="0"/>
      <c:spPr>
        <a:noFill/>
        <a:ln>
          <a:noFill/>
        </a:ln>
        <a:effectLst/>
      </c:spPr>
      <c:txPr>
        <a:bodyPr rot="0" vert="horz"/>
        <a:lstStyle/>
        <a:p>
          <a:pPr>
            <a:defRPr/>
          </a:pPr>
          <a:endParaRPr lang="es-CO"/>
        </a:p>
      </c:txPr>
    </c:legend>
    <c:plotVisOnly val="1"/>
    <c:dispBlanksAs val="gap"/>
    <c:showDLblsOverMax val="0"/>
  </c:chart>
  <c:spPr>
    <a:noFill/>
    <a:ln w="9525" cap="flat" cmpd="sng" algn="ctr">
      <a:noFill/>
      <a:round/>
    </a:ln>
    <a:effectLst/>
  </c:spPr>
  <c:txPr>
    <a:bodyPr/>
    <a:lstStyle/>
    <a:p>
      <a:pPr>
        <a:defRPr sz="700">
          <a:latin typeface="Garamond" panose="02020404030301010803" pitchFamily="18" charset="0"/>
        </a:defRPr>
      </a:pPr>
      <a:endParaRPr lang="es-C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988288143543965"/>
          <c:y val="6.462379702537184E-2"/>
          <c:w val="0.67011711856456035"/>
          <c:h val="0.89814814814814814"/>
        </c:manualLayout>
      </c:layout>
      <c:barChart>
        <c:barDir val="bar"/>
        <c:grouping val="clustered"/>
        <c:varyColors val="0"/>
        <c:ser>
          <c:idx val="0"/>
          <c:order val="0"/>
          <c:tx>
            <c:strRef>
              <c:f>estrato!$B$62</c:f>
              <c:strCache>
                <c:ptCount val="1"/>
                <c:pt idx="0">
                  <c:v>Porcentaje</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8B32-0E46-9878-BAB6097E31E5}"/>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3-8B32-0E46-9878-BAB6097E31E5}"/>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estrato!$A$63:$A$70</c:f>
              <c:strCache>
                <c:ptCount val="8"/>
                <c:pt idx="0">
                  <c:v>No Familar sin núcleo</c:v>
                </c:pt>
                <c:pt idx="1">
                  <c:v>Familiar Compuesto</c:v>
                </c:pt>
                <c:pt idx="2">
                  <c:v>Familiar sin núcleo</c:v>
                </c:pt>
                <c:pt idx="3">
                  <c:v>Nuclear sin hijos</c:v>
                </c:pt>
                <c:pt idx="4">
                  <c:v>No Familiar Unipersonal</c:v>
                </c:pt>
                <c:pt idx="5">
                  <c:v>Familiar Extenso</c:v>
                </c:pt>
                <c:pt idx="6">
                  <c:v>Nuclear monoparental</c:v>
                </c:pt>
                <c:pt idx="7">
                  <c:v>Nuclear con hijos</c:v>
                </c:pt>
              </c:strCache>
            </c:strRef>
          </c:cat>
          <c:val>
            <c:numRef>
              <c:f>estrato!$B$63:$B$70</c:f>
              <c:numCache>
                <c:formatCode>0.0%</c:formatCode>
                <c:ptCount val="8"/>
                <c:pt idx="0">
                  <c:v>2.8679138999448415E-3</c:v>
                </c:pt>
                <c:pt idx="1">
                  <c:v>1.4186390470151741E-2</c:v>
                </c:pt>
                <c:pt idx="2">
                  <c:v>2.5378699370103612E-2</c:v>
                </c:pt>
                <c:pt idx="3">
                  <c:v>9.8095361280094176E-2</c:v>
                </c:pt>
                <c:pt idx="4">
                  <c:v>0.12292661643804161</c:v>
                </c:pt>
                <c:pt idx="5">
                  <c:v>0.16329261337408613</c:v>
                </c:pt>
                <c:pt idx="6">
                  <c:v>0.16419940454850707</c:v>
                </c:pt>
                <c:pt idx="7">
                  <c:v>0.4090529621907516</c:v>
                </c:pt>
              </c:numCache>
            </c:numRef>
          </c:val>
          <c:extLst>
            <c:ext xmlns:c16="http://schemas.microsoft.com/office/drawing/2014/chart" uri="{C3380CC4-5D6E-409C-BE32-E72D297353CC}">
              <c16:uniqueId val="{00000004-8B32-0E46-9878-BAB6097E31E5}"/>
            </c:ext>
          </c:extLst>
        </c:ser>
        <c:dLbls>
          <c:showLegendKey val="0"/>
          <c:showVal val="0"/>
          <c:showCatName val="0"/>
          <c:showSerName val="0"/>
          <c:showPercent val="0"/>
          <c:showBubbleSize val="0"/>
        </c:dLbls>
        <c:gapWidth val="182"/>
        <c:axId val="122149055"/>
        <c:axId val="122150735"/>
      </c:barChart>
      <c:catAx>
        <c:axId val="1221490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122150735"/>
        <c:crosses val="autoZero"/>
        <c:auto val="1"/>
        <c:lblAlgn val="ctr"/>
        <c:lblOffset val="100"/>
        <c:noMultiLvlLbl val="0"/>
      </c:catAx>
      <c:valAx>
        <c:axId val="122150735"/>
        <c:scaling>
          <c:orientation val="minMax"/>
        </c:scaling>
        <c:delete val="1"/>
        <c:axPos val="b"/>
        <c:numFmt formatCode="0.0%" sourceLinked="1"/>
        <c:majorTickMark val="none"/>
        <c:minorTickMark val="none"/>
        <c:tickLblPos val="nextTo"/>
        <c:crossAx val="122149055"/>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700">
          <a:latin typeface="Garamond" panose="02020404030301010803" pitchFamily="18" charset="0"/>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988288143543965"/>
          <c:y val="6.462379702537184E-2"/>
          <c:w val="0.67011711856456035"/>
          <c:h val="0.89814814814814814"/>
        </c:manualLayout>
      </c:layout>
      <c:barChart>
        <c:barDir val="bar"/>
        <c:grouping val="clustered"/>
        <c:varyColors val="0"/>
        <c:ser>
          <c:idx val="0"/>
          <c:order val="0"/>
          <c:tx>
            <c:strRef>
              <c:f>estrato!$B$75</c:f>
              <c:strCache>
                <c:ptCount val="1"/>
                <c:pt idx="0">
                  <c:v>Porcentaje</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72BF-4D42-905C-97DE14DEF0C3}"/>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3-72BF-4D42-905C-97DE14DEF0C3}"/>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estrato!$A$76:$A$83</c:f>
              <c:strCache>
                <c:ptCount val="8"/>
                <c:pt idx="0">
                  <c:v>No Familar sin núcleo</c:v>
                </c:pt>
                <c:pt idx="1">
                  <c:v>Familiar Compuesto</c:v>
                </c:pt>
                <c:pt idx="2">
                  <c:v>Familiar sin núcleo</c:v>
                </c:pt>
                <c:pt idx="3">
                  <c:v>Nuclear sin hijos</c:v>
                </c:pt>
                <c:pt idx="4">
                  <c:v>No Familiar Unipersonal</c:v>
                </c:pt>
                <c:pt idx="5">
                  <c:v>Nuclear monoparental</c:v>
                </c:pt>
                <c:pt idx="6">
                  <c:v>Familiar Extenso</c:v>
                </c:pt>
                <c:pt idx="7">
                  <c:v>Nuclear con hijos</c:v>
                </c:pt>
              </c:strCache>
            </c:strRef>
          </c:cat>
          <c:val>
            <c:numRef>
              <c:f>estrato!$B$76:$B$83</c:f>
              <c:numCache>
                <c:formatCode>0.0%</c:formatCode>
                <c:ptCount val="8"/>
                <c:pt idx="0">
                  <c:v>5.865306837357278E-3</c:v>
                </c:pt>
                <c:pt idx="1">
                  <c:v>1.2548329080383867E-2</c:v>
                </c:pt>
                <c:pt idx="2">
                  <c:v>2.8885285275244567E-2</c:v>
                </c:pt>
                <c:pt idx="3">
                  <c:v>0.10090996689011826</c:v>
                </c:pt>
                <c:pt idx="4">
                  <c:v>0.12131325775929085</c:v>
                </c:pt>
                <c:pt idx="5">
                  <c:v>0.14619843581005548</c:v>
                </c:pt>
                <c:pt idx="6">
                  <c:v>0.16133729295274793</c:v>
                </c:pt>
                <c:pt idx="7">
                  <c:v>0.42294215710096522</c:v>
                </c:pt>
              </c:numCache>
            </c:numRef>
          </c:val>
          <c:extLst>
            <c:ext xmlns:c16="http://schemas.microsoft.com/office/drawing/2014/chart" uri="{C3380CC4-5D6E-409C-BE32-E72D297353CC}">
              <c16:uniqueId val="{00000004-72BF-4D42-905C-97DE14DEF0C3}"/>
            </c:ext>
          </c:extLst>
        </c:ser>
        <c:dLbls>
          <c:showLegendKey val="0"/>
          <c:showVal val="0"/>
          <c:showCatName val="0"/>
          <c:showSerName val="0"/>
          <c:showPercent val="0"/>
          <c:showBubbleSize val="0"/>
        </c:dLbls>
        <c:gapWidth val="182"/>
        <c:axId val="122149055"/>
        <c:axId val="122150735"/>
      </c:barChart>
      <c:catAx>
        <c:axId val="1221490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122150735"/>
        <c:crosses val="autoZero"/>
        <c:auto val="1"/>
        <c:lblAlgn val="ctr"/>
        <c:lblOffset val="100"/>
        <c:noMultiLvlLbl val="0"/>
      </c:catAx>
      <c:valAx>
        <c:axId val="122150735"/>
        <c:scaling>
          <c:orientation val="minMax"/>
        </c:scaling>
        <c:delete val="1"/>
        <c:axPos val="b"/>
        <c:numFmt formatCode="0.0%" sourceLinked="1"/>
        <c:majorTickMark val="none"/>
        <c:minorTickMark val="none"/>
        <c:tickLblPos val="nextTo"/>
        <c:crossAx val="122149055"/>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700">
          <a:latin typeface="Garamond" panose="02020404030301010803" pitchFamily="18" charset="0"/>
        </a:defRPr>
      </a:pPr>
      <a:endParaRPr lang="es-C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988285874854534"/>
          <c:y val="7.3883056284631085E-2"/>
          <c:w val="0.56836330882993868"/>
          <c:h val="0.89814814814814814"/>
        </c:manualLayout>
      </c:layout>
      <c:barChart>
        <c:barDir val="bar"/>
        <c:grouping val="clustered"/>
        <c:varyColors val="0"/>
        <c:ser>
          <c:idx val="0"/>
          <c:order val="0"/>
          <c:tx>
            <c:strRef>
              <c:f>estrato!$B$90</c:f>
              <c:strCache>
                <c:ptCount val="1"/>
                <c:pt idx="0">
                  <c:v>Porcentaje</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B8C8-D84D-A864-C77992FF7CE9}"/>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3-B8C8-D84D-A864-C77992FF7CE9}"/>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estrato!$A$91:$A$98</c:f>
              <c:strCache>
                <c:ptCount val="8"/>
                <c:pt idx="0">
                  <c:v>No Familar sin núcleo</c:v>
                </c:pt>
                <c:pt idx="1">
                  <c:v>Familiar Compuesto</c:v>
                </c:pt>
                <c:pt idx="2">
                  <c:v>Familiar sin núcleo</c:v>
                </c:pt>
                <c:pt idx="3">
                  <c:v>Nuclear sin hijos</c:v>
                </c:pt>
                <c:pt idx="4">
                  <c:v>Nuclear monoparental</c:v>
                </c:pt>
                <c:pt idx="5">
                  <c:v>Familiar Extenso</c:v>
                </c:pt>
                <c:pt idx="6">
                  <c:v>No Familiar Unipersonal</c:v>
                </c:pt>
                <c:pt idx="7">
                  <c:v>Nuclear con hijos</c:v>
                </c:pt>
              </c:strCache>
            </c:strRef>
          </c:cat>
          <c:val>
            <c:numRef>
              <c:f>estrato!$B$91:$B$98</c:f>
              <c:numCache>
                <c:formatCode>0.0%</c:formatCode>
                <c:ptCount val="8"/>
                <c:pt idx="0">
                  <c:v>9.8739844726881808E-3</c:v>
                </c:pt>
                <c:pt idx="1">
                  <c:v>1.3106250658365555E-2</c:v>
                </c:pt>
                <c:pt idx="2">
                  <c:v>4.5800767346543397E-2</c:v>
                </c:pt>
                <c:pt idx="3">
                  <c:v>0.11739979564133848</c:v>
                </c:pt>
                <c:pt idx="4">
                  <c:v>0.13863504837747334</c:v>
                </c:pt>
                <c:pt idx="5">
                  <c:v>0.145453518071331</c:v>
                </c:pt>
                <c:pt idx="6">
                  <c:v>0.16429615203582823</c:v>
                </c:pt>
                <c:pt idx="7">
                  <c:v>0.36543446545799468</c:v>
                </c:pt>
              </c:numCache>
            </c:numRef>
          </c:val>
          <c:extLst>
            <c:ext xmlns:c16="http://schemas.microsoft.com/office/drawing/2014/chart" uri="{C3380CC4-5D6E-409C-BE32-E72D297353CC}">
              <c16:uniqueId val="{00000004-B8C8-D84D-A864-C77992FF7CE9}"/>
            </c:ext>
          </c:extLst>
        </c:ser>
        <c:dLbls>
          <c:showLegendKey val="0"/>
          <c:showVal val="0"/>
          <c:showCatName val="0"/>
          <c:showSerName val="0"/>
          <c:showPercent val="0"/>
          <c:showBubbleSize val="0"/>
        </c:dLbls>
        <c:gapWidth val="182"/>
        <c:axId val="122149055"/>
        <c:axId val="122150735"/>
      </c:barChart>
      <c:catAx>
        <c:axId val="1221490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122150735"/>
        <c:crosses val="autoZero"/>
        <c:auto val="1"/>
        <c:lblAlgn val="ctr"/>
        <c:lblOffset val="100"/>
        <c:noMultiLvlLbl val="0"/>
      </c:catAx>
      <c:valAx>
        <c:axId val="122150735"/>
        <c:scaling>
          <c:orientation val="minMax"/>
        </c:scaling>
        <c:delete val="1"/>
        <c:axPos val="b"/>
        <c:numFmt formatCode="0.0%" sourceLinked="1"/>
        <c:majorTickMark val="none"/>
        <c:minorTickMark val="none"/>
        <c:tickLblPos val="nextTo"/>
        <c:crossAx val="122149055"/>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700">
          <a:latin typeface="Garamond" panose="02020404030301010803" pitchFamily="18" charset="0"/>
        </a:defRPr>
      </a:pPr>
      <a:endParaRPr lang="es-C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988285874854534"/>
          <c:y val="7.3883056284631085E-2"/>
          <c:w val="0.65176150292690527"/>
          <c:h val="0.89814814814814814"/>
        </c:manualLayout>
      </c:layout>
      <c:barChart>
        <c:barDir val="bar"/>
        <c:grouping val="clustered"/>
        <c:varyColors val="0"/>
        <c:ser>
          <c:idx val="0"/>
          <c:order val="0"/>
          <c:tx>
            <c:strRef>
              <c:f>estrato!$B$106</c:f>
              <c:strCache>
                <c:ptCount val="1"/>
                <c:pt idx="0">
                  <c:v>Porcentaje</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C79D-7846-8149-71CB72E16D5C}"/>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3-C79D-7846-8149-71CB72E16D5C}"/>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estrato!$A$107:$A$114</c:f>
              <c:strCache>
                <c:ptCount val="8"/>
                <c:pt idx="0">
                  <c:v>Familiar Compuesto</c:v>
                </c:pt>
                <c:pt idx="1">
                  <c:v>No Familar sin núcleo</c:v>
                </c:pt>
                <c:pt idx="2">
                  <c:v>Familiar sin núcleo</c:v>
                </c:pt>
                <c:pt idx="3">
                  <c:v>Familiar Extenso</c:v>
                </c:pt>
                <c:pt idx="4">
                  <c:v>Nuclear monoparental</c:v>
                </c:pt>
                <c:pt idx="5">
                  <c:v>Nuclear sin hijos</c:v>
                </c:pt>
                <c:pt idx="6">
                  <c:v>No Familiar Unipersonal</c:v>
                </c:pt>
                <c:pt idx="7">
                  <c:v>Nuclear con hijos</c:v>
                </c:pt>
              </c:strCache>
            </c:strRef>
          </c:cat>
          <c:val>
            <c:numRef>
              <c:f>estrato!$B$107:$B$114</c:f>
              <c:numCache>
                <c:formatCode>0.0%</c:formatCode>
                <c:ptCount val="8"/>
                <c:pt idx="0">
                  <c:v>1.4497817553264243E-2</c:v>
                </c:pt>
                <c:pt idx="1">
                  <c:v>1.5588314501949281E-2</c:v>
                </c:pt>
                <c:pt idx="2">
                  <c:v>4.7463875705069554E-2</c:v>
                </c:pt>
                <c:pt idx="3">
                  <c:v>7.5108732550879465E-2</c:v>
                </c:pt>
                <c:pt idx="4">
                  <c:v>0.10838109509996591</c:v>
                </c:pt>
                <c:pt idx="5">
                  <c:v>0.15523149385095011</c:v>
                </c:pt>
                <c:pt idx="6">
                  <c:v>0.24342516216865537</c:v>
                </c:pt>
                <c:pt idx="7">
                  <c:v>0.34030343769910087</c:v>
                </c:pt>
              </c:numCache>
            </c:numRef>
          </c:val>
          <c:extLst>
            <c:ext xmlns:c16="http://schemas.microsoft.com/office/drawing/2014/chart" uri="{C3380CC4-5D6E-409C-BE32-E72D297353CC}">
              <c16:uniqueId val="{00000004-C79D-7846-8149-71CB72E16D5C}"/>
            </c:ext>
          </c:extLst>
        </c:ser>
        <c:dLbls>
          <c:showLegendKey val="0"/>
          <c:showVal val="0"/>
          <c:showCatName val="0"/>
          <c:showSerName val="0"/>
          <c:showPercent val="0"/>
          <c:showBubbleSize val="0"/>
        </c:dLbls>
        <c:gapWidth val="182"/>
        <c:axId val="122149055"/>
        <c:axId val="122150735"/>
      </c:barChart>
      <c:catAx>
        <c:axId val="1221490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122150735"/>
        <c:crosses val="autoZero"/>
        <c:auto val="1"/>
        <c:lblAlgn val="ctr"/>
        <c:lblOffset val="100"/>
        <c:noMultiLvlLbl val="0"/>
      </c:catAx>
      <c:valAx>
        <c:axId val="122150735"/>
        <c:scaling>
          <c:orientation val="minMax"/>
        </c:scaling>
        <c:delete val="1"/>
        <c:axPos val="b"/>
        <c:numFmt formatCode="0.0%" sourceLinked="1"/>
        <c:majorTickMark val="none"/>
        <c:minorTickMark val="none"/>
        <c:tickLblPos val="nextTo"/>
        <c:crossAx val="122149055"/>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700">
          <a:latin typeface="Garamond" panose="02020404030301010803" pitchFamily="18" charset="0"/>
        </a:defRPr>
      </a:pPr>
      <a:endParaRPr lang="es-C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988285874854534"/>
          <c:y val="7.3883056284631085E-2"/>
          <c:w val="0.65176150292690527"/>
          <c:h val="0.89814814814814814"/>
        </c:manualLayout>
      </c:layout>
      <c:barChart>
        <c:barDir val="bar"/>
        <c:grouping val="clustered"/>
        <c:varyColors val="0"/>
        <c:ser>
          <c:idx val="0"/>
          <c:order val="0"/>
          <c:tx>
            <c:strRef>
              <c:f>estrato!$B$123</c:f>
              <c:strCache>
                <c:ptCount val="1"/>
                <c:pt idx="0">
                  <c:v>Porcentaje</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755A-E84B-A163-A5470876A32F}"/>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3-755A-E84B-A163-A5470876A32F}"/>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estrato!$A$124:$A$131</c:f>
              <c:strCache>
                <c:ptCount val="8"/>
                <c:pt idx="0">
                  <c:v>No Familar sin núcleo</c:v>
                </c:pt>
                <c:pt idx="1">
                  <c:v>Familiar Compuesto</c:v>
                </c:pt>
                <c:pt idx="2">
                  <c:v>Familiar sin núcleo</c:v>
                </c:pt>
                <c:pt idx="3">
                  <c:v>Familiar Extenso</c:v>
                </c:pt>
                <c:pt idx="4">
                  <c:v>Nuclear monoparental</c:v>
                </c:pt>
                <c:pt idx="5">
                  <c:v>Nuclear sin hijos</c:v>
                </c:pt>
                <c:pt idx="6">
                  <c:v>No Familiar Unipersonal</c:v>
                </c:pt>
                <c:pt idx="7">
                  <c:v>Nuclear con hijos</c:v>
                </c:pt>
              </c:strCache>
            </c:strRef>
          </c:cat>
          <c:val>
            <c:numRef>
              <c:f>estrato!$B$124:$B$131</c:f>
              <c:numCache>
                <c:formatCode>0.0%</c:formatCode>
                <c:ptCount val="8"/>
                <c:pt idx="0">
                  <c:v>1.2311856657287021E-2</c:v>
                </c:pt>
                <c:pt idx="1">
                  <c:v>2.3207296218886567E-2</c:v>
                </c:pt>
                <c:pt idx="2">
                  <c:v>3.2535027902688932E-2</c:v>
                </c:pt>
                <c:pt idx="3">
                  <c:v>4.1572925494643143E-2</c:v>
                </c:pt>
                <c:pt idx="4">
                  <c:v>0.10682542698503178</c:v>
                </c:pt>
                <c:pt idx="5">
                  <c:v>0.17523632587284499</c:v>
                </c:pt>
                <c:pt idx="6">
                  <c:v>0.29196949453457149</c:v>
                </c:pt>
                <c:pt idx="7">
                  <c:v>0.3163415960679879</c:v>
                </c:pt>
              </c:numCache>
            </c:numRef>
          </c:val>
          <c:extLst>
            <c:ext xmlns:c16="http://schemas.microsoft.com/office/drawing/2014/chart" uri="{C3380CC4-5D6E-409C-BE32-E72D297353CC}">
              <c16:uniqueId val="{00000004-755A-E84B-A163-A5470876A32F}"/>
            </c:ext>
          </c:extLst>
        </c:ser>
        <c:dLbls>
          <c:showLegendKey val="0"/>
          <c:showVal val="0"/>
          <c:showCatName val="0"/>
          <c:showSerName val="0"/>
          <c:showPercent val="0"/>
          <c:showBubbleSize val="0"/>
        </c:dLbls>
        <c:gapWidth val="182"/>
        <c:axId val="122149055"/>
        <c:axId val="122150735"/>
      </c:barChart>
      <c:catAx>
        <c:axId val="1221490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122150735"/>
        <c:crosses val="autoZero"/>
        <c:auto val="1"/>
        <c:lblAlgn val="ctr"/>
        <c:lblOffset val="100"/>
        <c:noMultiLvlLbl val="0"/>
      </c:catAx>
      <c:valAx>
        <c:axId val="122150735"/>
        <c:scaling>
          <c:orientation val="minMax"/>
        </c:scaling>
        <c:delete val="1"/>
        <c:axPos val="b"/>
        <c:numFmt formatCode="0.0%" sourceLinked="1"/>
        <c:majorTickMark val="none"/>
        <c:minorTickMark val="none"/>
        <c:tickLblPos val="nextTo"/>
        <c:crossAx val="122149055"/>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700">
          <a:latin typeface="Garamond" panose="02020404030301010803" pitchFamily="18" charset="0"/>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63FD2-7AA6-374D-99C9-826698CE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18</Pages>
  <Words>4258</Words>
  <Characters>23420</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la Encuesta Multipropósito de Bogotá- EMB 2017 sobre tipología de estructura familiar basada en la relación de parentesco.</dc:title>
  <dc:subject>Boletín 5.</dc:subject>
  <dc:creator>Myriam</dc:creator>
  <cp:lastModifiedBy>Juliana Moncada</cp:lastModifiedBy>
  <cp:revision>8</cp:revision>
  <dcterms:created xsi:type="dcterms:W3CDTF">2019-06-25T17:06:00Z</dcterms:created>
  <dcterms:modified xsi:type="dcterms:W3CDTF">2020-07-22T16:27:00Z</dcterms:modified>
</cp:coreProperties>
</file>