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67081392"/>
        <w:docPartObj>
          <w:docPartGallery w:val="Cover Pages"/>
          <w:docPartUnique/>
        </w:docPartObj>
      </w:sdtPr>
      <w:sdtEndPr>
        <w:rPr>
          <w:lang w:val="es-MX"/>
        </w:rPr>
      </w:sdtEndPr>
      <w:sdtContent>
        <w:p w14:paraId="3D0605CC" w14:textId="77777777" w:rsidR="00AB7524" w:rsidRDefault="00AB7524"/>
        <w:p w14:paraId="53B014C1" w14:textId="07C6A90D" w:rsidR="00AB7524" w:rsidRDefault="00AB7524">
          <w:r>
            <w:rPr>
              <w:noProof/>
            </w:rPr>
            <mc:AlternateContent>
              <mc:Choice Requires="wpg">
                <w:drawing>
                  <wp:anchor distT="0" distB="0" distL="114300" distR="114300" simplePos="0" relativeHeight="251662336" behindDoc="0" locked="0" layoutInCell="1" allowOverlap="1" wp14:anchorId="25191AAA" wp14:editId="7CA5265B">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19D6B2F"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">
                    <v:shape id="Rectángulo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" path="m,l7312660,r,1129665l3619500,733425,,1091565,,xe" fillcolor="#4f81bd [3204]" stroked="f" strokeweight="2pt">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" stroked="f" strokeweight="2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7632A384" wp14:editId="0AFC32CE">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DE466" w14:textId="130CA8D4" w:rsidR="00AB7524" w:rsidRDefault="00AB7524">
                                <w:pPr>
                                  <w:jc w:val="right"/>
                                  <w:rPr>
                                    <w:color w:val="4F81BD" w:themeColor="accent1"/>
                                    <w:sz w:val="64"/>
                                    <w:szCs w:val="64"/>
                                  </w:rPr>
                                </w:pPr>
                                <w:sdt>
                                  <w:sdtPr>
                                    <w:rPr>
                                      <w:rFonts w:ascii="OpenSans-Bold" w:eastAsia="Times New Roman" w:hAnsi="OpenSans-Bold" w:cs="Times New Roman"/>
                                      <w:color w:val="00253F"/>
                                      <w:sz w:val="34"/>
                                      <w:szCs w:val="34"/>
                                      <w:lang w:eastAsia="es-ES_tradnl"/>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AB7524">
                                      <w:rPr>
                                        <w:rFonts w:ascii="OpenSans-Bold" w:eastAsia="Times New Roman" w:hAnsi="OpenSans-Bold" w:cs="Times New Roman"/>
                                        <w:color w:val="00253F"/>
                                        <w:sz w:val="34"/>
                                        <w:szCs w:val="34"/>
                                        <w:lang w:eastAsia="es-ES_tradnl"/>
                                      </w:rPr>
                                      <w:t>Análisis de la encuesta a familias del distrito: Conformación familiar de los hogares bogotanos</w:t>
                                    </w:r>
                                    <w:r>
                                      <w:rPr>
                                        <w:rFonts w:ascii="OpenSans-Bold" w:eastAsia="Times New Roman" w:hAnsi="OpenSans-Bold" w:cs="Times New Roman"/>
                                        <w:color w:val="00253F"/>
                                        <w:sz w:val="34"/>
                                        <w:szCs w:val="34"/>
                                        <w:lang w:eastAsia="es-ES_tradnl"/>
                                      </w:rPr>
                                      <w:t>.</w:t>
                                    </w:r>
                                  </w:sdtContent>
                                </w:sdt>
                              </w:p>
                              <w:sdt>
                                <w:sdtPr>
                                  <w:rPr>
                                    <w:color w:val="404040" w:themeColor="text1" w:themeTint="BF"/>
                                    <w:sz w:val="32"/>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15FFA45" w14:textId="392F766D" w:rsidR="00AB7524" w:rsidRPr="00AB7524" w:rsidRDefault="00AB7524">
                                    <w:pPr>
                                      <w:jc w:val="right"/>
                                      <w:rPr>
                                        <w:smallCaps/>
                                        <w:color w:val="404040" w:themeColor="text1" w:themeTint="BF"/>
                                        <w:sz w:val="32"/>
                                        <w:szCs w:val="36"/>
                                      </w:rPr>
                                    </w:pPr>
                                    <w:r w:rsidRPr="00AB7524">
                                      <w:rPr>
                                        <w:color w:val="404040" w:themeColor="text1" w:themeTint="BF"/>
                                        <w:sz w:val="32"/>
                                        <w:szCs w:val="36"/>
                                      </w:rPr>
                                      <w:t>Boletín 2</w:t>
                                    </w:r>
                                    <w:r>
                                      <w:rPr>
                                        <w:color w:val="404040" w:themeColor="text1" w:themeTint="BF"/>
                                        <w:sz w:val="32"/>
                                        <w:szCs w:val="36"/>
                                      </w:rPr>
                                      <w: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7632A384" id="_x0000_t202" coordsize="21600,21600" o:spt="202" path="m,l,21600r21600,l21600,xe">
                    <v:stroke joinstyle="miter"/>
                    <v:path gradientshapeok="t" o:connecttype="rect"/>
                  </v:shapetype>
                  <v:shape id="Cuadro de texto 154" o:spid="_x0000_s1026"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" filled="f" stroked="f" strokeweight=".5pt">
                    <v:textbox inset="126pt,0,54pt,0">
                      <w:txbxContent>
                        <w:p w14:paraId="40EDE466" w14:textId="130CA8D4" w:rsidR="00AB7524" w:rsidRDefault="00AB7524">
                          <w:pPr>
                            <w:jc w:val="right"/>
                            <w:rPr>
                              <w:color w:val="4F81BD" w:themeColor="accent1"/>
                              <w:sz w:val="64"/>
                              <w:szCs w:val="64"/>
                            </w:rPr>
                          </w:pPr>
                          <w:sdt>
                            <w:sdtPr>
                              <w:rPr>
                                <w:rFonts w:ascii="OpenSans-Bold" w:eastAsia="Times New Roman" w:hAnsi="OpenSans-Bold" w:cs="Times New Roman"/>
                                <w:color w:val="00253F"/>
                                <w:sz w:val="34"/>
                                <w:szCs w:val="34"/>
                                <w:lang w:eastAsia="es-ES_tradnl"/>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AB7524">
                                <w:rPr>
                                  <w:rFonts w:ascii="OpenSans-Bold" w:eastAsia="Times New Roman" w:hAnsi="OpenSans-Bold" w:cs="Times New Roman"/>
                                  <w:color w:val="00253F"/>
                                  <w:sz w:val="34"/>
                                  <w:szCs w:val="34"/>
                                  <w:lang w:eastAsia="es-ES_tradnl"/>
                                </w:rPr>
                                <w:t>Análisis de la encuesta a familias del distrito: Conformación familiar de los hogares bogotanos</w:t>
                              </w:r>
                              <w:r>
                                <w:rPr>
                                  <w:rFonts w:ascii="OpenSans-Bold" w:eastAsia="Times New Roman" w:hAnsi="OpenSans-Bold" w:cs="Times New Roman"/>
                                  <w:color w:val="00253F"/>
                                  <w:sz w:val="34"/>
                                  <w:szCs w:val="34"/>
                                  <w:lang w:eastAsia="es-ES_tradnl"/>
                                </w:rPr>
                                <w:t>.</w:t>
                              </w:r>
                            </w:sdtContent>
                          </w:sdt>
                        </w:p>
                        <w:sdt>
                          <w:sdtPr>
                            <w:rPr>
                              <w:color w:val="404040" w:themeColor="text1" w:themeTint="BF"/>
                              <w:sz w:val="32"/>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15FFA45" w14:textId="392F766D" w:rsidR="00AB7524" w:rsidRPr="00AB7524" w:rsidRDefault="00AB7524">
                              <w:pPr>
                                <w:jc w:val="right"/>
                                <w:rPr>
                                  <w:smallCaps/>
                                  <w:color w:val="404040" w:themeColor="text1" w:themeTint="BF"/>
                                  <w:sz w:val="32"/>
                                  <w:szCs w:val="36"/>
                                </w:rPr>
                              </w:pPr>
                              <w:r w:rsidRPr="00AB7524">
                                <w:rPr>
                                  <w:color w:val="404040" w:themeColor="text1" w:themeTint="BF"/>
                                  <w:sz w:val="32"/>
                                  <w:szCs w:val="36"/>
                                </w:rPr>
                                <w:t>Boletín 2</w:t>
                              </w:r>
                              <w:r>
                                <w:rPr>
                                  <w:color w:val="404040" w:themeColor="text1" w:themeTint="BF"/>
                                  <w:sz w:val="32"/>
                                  <w:szCs w:val="36"/>
                                </w:rPr>
                                <w:t>.</w:t>
                              </w:r>
                            </w:p>
                          </w:sdtContent>
                        </w:sdt>
                      </w:txbxContent>
                    </v:textbox>
                    <w10:wrap type="square" anchorx="page" anchory="page"/>
                  </v:shape>
                </w:pict>
              </mc:Fallback>
            </mc:AlternateContent>
          </w:r>
        </w:p>
        <w:p w14:paraId="0CC87AF5" w14:textId="6B5002F4" w:rsidR="00AB7524" w:rsidRDefault="00AB7524">
          <w:pPr>
            <w:rPr>
              <w:rFonts w:asciiTheme="majorHAnsi" w:eastAsiaTheme="majorEastAsia" w:hAnsiTheme="majorHAnsi" w:cstheme="majorBidi"/>
              <w:color w:val="365F91" w:themeColor="accent1" w:themeShade="BF"/>
              <w:sz w:val="32"/>
              <w:szCs w:val="32"/>
              <w:lang w:val="es-MX"/>
            </w:rPr>
          </w:pPr>
          <w:r>
            <w:rPr>
              <w:noProof/>
            </w:rPr>
            <mc:AlternateContent>
              <mc:Choice Requires="wps">
                <w:drawing>
                  <wp:anchor distT="0" distB="0" distL="114300" distR="114300" simplePos="0" relativeHeight="251666432" behindDoc="0" locked="0" layoutInCell="1" allowOverlap="1" wp14:anchorId="33B4F29E" wp14:editId="1EA777B6">
                    <wp:simplePos x="0" y="0"/>
                    <wp:positionH relativeFrom="page">
                      <wp:posOffset>153670</wp:posOffset>
                    </wp:positionH>
                    <wp:positionV relativeFrom="page">
                      <wp:posOffset>8050843</wp:posOffset>
                    </wp:positionV>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1DF6C" w14:textId="77777777" w:rsidR="00AB7524" w:rsidRPr="00CE0B27" w:rsidRDefault="00AB7524" w:rsidP="00AB7524">
                                <w:pPr>
                                  <w:pStyle w:val="Sinespaciado"/>
                                  <w:jc w:val="center"/>
                                  <w:rPr>
                                    <w:color w:val="4F81BD" w:themeColor="accent1"/>
                                    <w:sz w:val="32"/>
                                    <w:szCs w:val="28"/>
                                    <w:lang w:val="es-ES"/>
                                  </w:rPr>
                                </w:pPr>
                                <w:r w:rsidRPr="00CE0B27">
                                  <w:rPr>
                                    <w:color w:val="4F81BD" w:themeColor="accent1"/>
                                    <w:sz w:val="32"/>
                                    <w:szCs w:val="28"/>
                                    <w:lang w:val="es-ES"/>
                                  </w:rPr>
                                  <w:t>Secretaría Distrital de Planeación.</w:t>
                                </w:r>
                              </w:p>
                              <w:p w14:paraId="4A24F5D2" w14:textId="77777777" w:rsidR="00AB7524" w:rsidRPr="00CE0B27" w:rsidRDefault="00AB7524" w:rsidP="00AB7524">
                                <w:pPr>
                                  <w:pStyle w:val="Sinespaciado"/>
                                  <w:jc w:val="center"/>
                                  <w:rPr>
                                    <w:color w:val="595959" w:themeColor="text1" w:themeTint="A6"/>
                                    <w:sz w:val="32"/>
                                    <w:szCs w:val="20"/>
                                    <w:lang w:val="es-ES"/>
                                  </w:rPr>
                                </w:pPr>
                                <w:r w:rsidRPr="00CE0B27">
                                  <w:rPr>
                                    <w:color w:val="595959" w:themeColor="text1" w:themeTint="A6"/>
                                    <w:sz w:val="32"/>
                                    <w:szCs w:val="20"/>
                                    <w:lang w:val="es-ES"/>
                                  </w:rPr>
                                  <w:t>Alcaldía Mayor de Bogotá.</w:t>
                                </w:r>
                              </w:p>
                              <w:p w14:paraId="06F74CFD" w14:textId="77777777" w:rsidR="00AB7524" w:rsidRPr="00CE0B27" w:rsidRDefault="00AB7524" w:rsidP="00AB7524">
                                <w:pPr>
                                  <w:pStyle w:val="Sinespaciado"/>
                                  <w:jc w:val="center"/>
                                  <w:rPr>
                                    <w:color w:val="595959" w:themeColor="text1" w:themeTint="A6"/>
                                    <w:sz w:val="21"/>
                                    <w:szCs w:val="20"/>
                                    <w:lang w:val="es-ES"/>
                                  </w:rPr>
                                </w:pPr>
                              </w:p>
                              <w:p w14:paraId="58513544" w14:textId="670A44F7" w:rsidR="00AB7524" w:rsidRPr="00CE0B27" w:rsidRDefault="00AB7524" w:rsidP="00AB7524">
                                <w:pPr>
                                  <w:pStyle w:val="Sinespaciado"/>
                                  <w:jc w:val="center"/>
                                  <w:rPr>
                                    <w:color w:val="595959" w:themeColor="text1" w:themeTint="A6"/>
                                    <w:sz w:val="32"/>
                                    <w:szCs w:val="20"/>
                                    <w:lang w:val="es-ES"/>
                                  </w:rPr>
                                </w:pPr>
                                <w:r w:rsidRPr="00CE0B27">
                                  <w:rPr>
                                    <w:color w:val="595959" w:themeColor="text1" w:themeTint="A6"/>
                                    <w:sz w:val="32"/>
                                    <w:szCs w:val="20"/>
                                    <w:lang w:val="es-ES"/>
                                  </w:rPr>
                                  <w:t>201</w:t>
                                </w:r>
                                <w:r>
                                  <w:rPr>
                                    <w:color w:val="595959" w:themeColor="text1" w:themeTint="A6"/>
                                    <w:sz w:val="32"/>
                                    <w:szCs w:val="20"/>
                                    <w:lang w:val="es-ES"/>
                                  </w:rPr>
                                  <w:t>8</w:t>
                                </w:r>
                                <w:r w:rsidRPr="00CE0B27">
                                  <w:rPr>
                                    <w:color w:val="595959" w:themeColor="text1" w:themeTint="A6"/>
                                    <w:sz w:val="32"/>
                                    <w:szCs w:val="20"/>
                                    <w:lang w:val="es-ES"/>
                                  </w:rPr>
                                  <w:t>.</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3B4F29E" id="Cuadro de texto 153" o:spid="_x0000_s1027" type="#_x0000_t202" style="position:absolute;margin-left:12.1pt;margin-top:633.9pt;width:8in;height:79.5pt;z-index:25166643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" filled="f" stroked="f" strokeweight=".5pt">
                    <v:textbox style="mso-fit-shape-to-text:t" inset="126pt,0,54pt,0">
                      <w:txbxContent>
                        <w:p w14:paraId="1041DF6C" w14:textId="77777777" w:rsidR="00AB7524" w:rsidRPr="00CE0B27" w:rsidRDefault="00AB7524" w:rsidP="00AB7524">
                          <w:pPr>
                            <w:pStyle w:val="Sinespaciado"/>
                            <w:jc w:val="center"/>
                            <w:rPr>
                              <w:color w:val="4F81BD" w:themeColor="accent1"/>
                              <w:sz w:val="32"/>
                              <w:szCs w:val="28"/>
                              <w:lang w:val="es-ES"/>
                            </w:rPr>
                          </w:pPr>
                          <w:r w:rsidRPr="00CE0B27">
                            <w:rPr>
                              <w:color w:val="4F81BD" w:themeColor="accent1"/>
                              <w:sz w:val="32"/>
                              <w:szCs w:val="28"/>
                              <w:lang w:val="es-ES"/>
                            </w:rPr>
                            <w:t>Secretaría Distrital de Planeación.</w:t>
                          </w:r>
                        </w:p>
                        <w:p w14:paraId="4A24F5D2" w14:textId="77777777" w:rsidR="00AB7524" w:rsidRPr="00CE0B27" w:rsidRDefault="00AB7524" w:rsidP="00AB7524">
                          <w:pPr>
                            <w:pStyle w:val="Sinespaciado"/>
                            <w:jc w:val="center"/>
                            <w:rPr>
                              <w:color w:val="595959" w:themeColor="text1" w:themeTint="A6"/>
                              <w:sz w:val="32"/>
                              <w:szCs w:val="20"/>
                              <w:lang w:val="es-ES"/>
                            </w:rPr>
                          </w:pPr>
                          <w:r w:rsidRPr="00CE0B27">
                            <w:rPr>
                              <w:color w:val="595959" w:themeColor="text1" w:themeTint="A6"/>
                              <w:sz w:val="32"/>
                              <w:szCs w:val="20"/>
                              <w:lang w:val="es-ES"/>
                            </w:rPr>
                            <w:t>Alcaldía Mayor de Bogotá.</w:t>
                          </w:r>
                        </w:p>
                        <w:p w14:paraId="06F74CFD" w14:textId="77777777" w:rsidR="00AB7524" w:rsidRPr="00CE0B27" w:rsidRDefault="00AB7524" w:rsidP="00AB7524">
                          <w:pPr>
                            <w:pStyle w:val="Sinespaciado"/>
                            <w:jc w:val="center"/>
                            <w:rPr>
                              <w:color w:val="595959" w:themeColor="text1" w:themeTint="A6"/>
                              <w:sz w:val="21"/>
                              <w:szCs w:val="20"/>
                              <w:lang w:val="es-ES"/>
                            </w:rPr>
                          </w:pPr>
                        </w:p>
                        <w:p w14:paraId="58513544" w14:textId="670A44F7" w:rsidR="00AB7524" w:rsidRPr="00CE0B27" w:rsidRDefault="00AB7524" w:rsidP="00AB7524">
                          <w:pPr>
                            <w:pStyle w:val="Sinespaciado"/>
                            <w:jc w:val="center"/>
                            <w:rPr>
                              <w:color w:val="595959" w:themeColor="text1" w:themeTint="A6"/>
                              <w:sz w:val="32"/>
                              <w:szCs w:val="20"/>
                              <w:lang w:val="es-ES"/>
                            </w:rPr>
                          </w:pPr>
                          <w:r w:rsidRPr="00CE0B27">
                            <w:rPr>
                              <w:color w:val="595959" w:themeColor="text1" w:themeTint="A6"/>
                              <w:sz w:val="32"/>
                              <w:szCs w:val="20"/>
                              <w:lang w:val="es-ES"/>
                            </w:rPr>
                            <w:t>201</w:t>
                          </w:r>
                          <w:r>
                            <w:rPr>
                              <w:color w:val="595959" w:themeColor="text1" w:themeTint="A6"/>
                              <w:sz w:val="32"/>
                              <w:szCs w:val="20"/>
                              <w:lang w:val="es-ES"/>
                            </w:rPr>
                            <w:t>8</w:t>
                          </w:r>
                          <w:r w:rsidRPr="00CE0B27">
                            <w:rPr>
                              <w:color w:val="595959" w:themeColor="text1" w:themeTint="A6"/>
                              <w:sz w:val="32"/>
                              <w:szCs w:val="20"/>
                              <w:lang w:val="es-ES"/>
                            </w:rPr>
                            <w:t>.</w:t>
                          </w:r>
                        </w:p>
                      </w:txbxContent>
                    </v:textbox>
                    <w10:wrap type="square" anchorx="page" anchory="page"/>
                  </v:shape>
                </w:pict>
              </mc:Fallback>
            </mc:AlternateContent>
          </w:r>
          <w:r>
            <w:rPr>
              <w:noProof/>
              <w:lang w:val="es-MX"/>
            </w:rPr>
            <w:drawing>
              <wp:anchor distT="0" distB="0" distL="114300" distR="114300" simplePos="0" relativeHeight="251664384" behindDoc="0" locked="0" layoutInCell="1" allowOverlap="1" wp14:anchorId="70726BEE" wp14:editId="4CECD0F5">
                <wp:simplePos x="0" y="0"/>
                <wp:positionH relativeFrom="column">
                  <wp:posOffset>-12049</wp:posOffset>
                </wp:positionH>
                <wp:positionV relativeFrom="paragraph">
                  <wp:posOffset>302268</wp:posOffset>
                </wp:positionV>
                <wp:extent cx="5282631" cy="3352814"/>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bservatorio Poblacional.png"/>
                        <pic:cNvPicPr/>
                      </pic:nvPicPr>
                      <pic:blipFill>
                        <a:blip r:embed="rId10"/>
                        <a:stretch>
                          <a:fillRect/>
                        </a:stretch>
                      </pic:blipFill>
                      <pic:spPr>
                        <a:xfrm>
                          <a:off x="0" y="0"/>
                          <a:ext cx="5282631" cy="3352814"/>
                        </a:xfrm>
                        <a:prstGeom prst="rect">
                          <a:avLst/>
                        </a:prstGeom>
                      </pic:spPr>
                    </pic:pic>
                  </a:graphicData>
                </a:graphic>
                <wp14:sizeRelH relativeFrom="page">
                  <wp14:pctWidth>0</wp14:pctWidth>
                </wp14:sizeRelH>
                <wp14:sizeRelV relativeFrom="page">
                  <wp14:pctHeight>0</wp14:pctHeight>
                </wp14:sizeRelV>
              </wp:anchor>
            </w:drawing>
          </w:r>
          <w:r>
            <w:rPr>
              <w:lang w:val="es-MX"/>
            </w:rPr>
            <w:br w:type="page"/>
          </w:r>
        </w:p>
      </w:sdtContent>
    </w:sdt>
    <w:p w14:paraId="6B1644A7" w14:textId="77777777" w:rsidR="00AB7524" w:rsidRDefault="00AB7524" w:rsidP="00DD5DB3">
      <w:pPr>
        <w:pStyle w:val="Ttulo1"/>
        <w:rPr>
          <w:lang w:val="es-MX"/>
        </w:rPr>
        <w:sectPr w:rsidR="00AB7524" w:rsidSect="00AB7524">
          <w:footerReference w:type="default" r:id="rId11"/>
          <w:pgSz w:w="12240" w:h="15840"/>
          <w:pgMar w:top="1417" w:right="1701" w:bottom="1417" w:left="1701" w:header="708" w:footer="708" w:gutter="0"/>
          <w:pgNumType w:start="0"/>
          <w:cols w:num="2" w:space="708"/>
          <w:titlePg/>
          <w:docGrid w:linePitch="360"/>
        </w:sectPr>
      </w:pPr>
    </w:p>
    <w:p w14:paraId="4E3DB8CD" w14:textId="77777777" w:rsidR="00AB7524" w:rsidRPr="00CE0B27" w:rsidRDefault="00AB7524" w:rsidP="00AB7524">
      <w:pPr>
        <w:jc w:val="right"/>
        <w:rPr>
          <w:rFonts w:ascii="Calibri" w:eastAsia="Times New Roman" w:hAnsi="Calibri" w:cs="Arial"/>
          <w:b/>
          <w:bCs/>
          <w:color w:val="222222"/>
          <w:sz w:val="32"/>
          <w:lang w:eastAsia="es-ES_tradnl"/>
        </w:rPr>
      </w:pPr>
      <w:r w:rsidRPr="00CE0B27">
        <w:rPr>
          <w:rFonts w:ascii="Calibri" w:eastAsia="Times New Roman" w:hAnsi="Calibri" w:cs="Arial"/>
          <w:b/>
          <w:color w:val="222222"/>
          <w:sz w:val="32"/>
          <w:lang w:eastAsia="es-ES_tradnl"/>
        </w:rPr>
        <w:lastRenderedPageBreak/>
        <w:t>Enrique Peñalosa Londoño</w:t>
      </w:r>
      <w:r w:rsidRPr="00CE0B27">
        <w:rPr>
          <w:rFonts w:ascii="Calibri" w:eastAsia="Times New Roman" w:hAnsi="Calibri" w:cs="Arial"/>
          <w:b/>
          <w:bCs/>
          <w:color w:val="222222"/>
          <w:sz w:val="32"/>
          <w:lang w:eastAsia="es-ES_tradnl"/>
        </w:rPr>
        <w:t xml:space="preserve"> </w:t>
      </w:r>
    </w:p>
    <w:p w14:paraId="30E75DBA" w14:textId="77777777" w:rsidR="00AB7524" w:rsidRPr="00CE0B27" w:rsidRDefault="00AB7524" w:rsidP="00AB7524">
      <w:pPr>
        <w:jc w:val="right"/>
        <w:rPr>
          <w:rFonts w:ascii="Calibri" w:eastAsia="Times New Roman" w:hAnsi="Calibri" w:cs="Arial"/>
          <w:color w:val="1F497D" w:themeColor="text2"/>
          <w:sz w:val="28"/>
          <w:lang w:eastAsia="es-ES_tradnl"/>
        </w:rPr>
      </w:pPr>
      <w:r w:rsidRPr="00CE0B27">
        <w:rPr>
          <w:rFonts w:ascii="Calibri" w:eastAsia="Times New Roman" w:hAnsi="Calibri" w:cs="Arial"/>
          <w:b/>
          <w:bCs/>
          <w:color w:val="1F497D" w:themeColor="text2"/>
          <w:sz w:val="28"/>
          <w:lang w:eastAsia="es-ES_tradnl"/>
        </w:rPr>
        <w:t>Alcalde Mayor de Bogotá D.C.</w:t>
      </w:r>
    </w:p>
    <w:p w14:paraId="37036676" w14:textId="77777777" w:rsidR="00AB7524" w:rsidRPr="00CE0B27" w:rsidRDefault="00AB7524" w:rsidP="00AB7524">
      <w:pPr>
        <w:spacing w:after="0" w:line="240" w:lineRule="auto"/>
        <w:jc w:val="right"/>
        <w:rPr>
          <w:rFonts w:ascii="Calibri" w:eastAsia="Times New Roman" w:hAnsi="Calibri" w:cs="Arial"/>
          <w:color w:val="222222"/>
          <w:sz w:val="24"/>
          <w:lang w:eastAsia="es-ES_tradnl"/>
        </w:rPr>
      </w:pPr>
    </w:p>
    <w:p w14:paraId="187E980F" w14:textId="77777777" w:rsidR="00AB7524" w:rsidRPr="00CE0B27" w:rsidRDefault="00AB7524" w:rsidP="00AB7524">
      <w:pPr>
        <w:jc w:val="right"/>
        <w:rPr>
          <w:rFonts w:ascii="Calibri" w:eastAsia="Times New Roman" w:hAnsi="Calibri" w:cs="Arial"/>
          <w:b/>
          <w:color w:val="222222"/>
          <w:sz w:val="32"/>
          <w:lang w:eastAsia="es-ES_tradnl"/>
        </w:rPr>
      </w:pPr>
      <w:r w:rsidRPr="00CE0B27">
        <w:rPr>
          <w:rFonts w:ascii="Calibri" w:eastAsia="Times New Roman" w:hAnsi="Calibri" w:cs="Arial"/>
          <w:b/>
          <w:color w:val="222222"/>
          <w:sz w:val="32"/>
          <w:lang w:eastAsia="es-ES_tradnl"/>
        </w:rPr>
        <w:t>Andrés Ortiz Gómez </w:t>
      </w:r>
    </w:p>
    <w:p w14:paraId="4B9C2D19" w14:textId="77777777" w:rsidR="00AB7524" w:rsidRPr="00CE0B27" w:rsidRDefault="00AB7524" w:rsidP="00AB7524">
      <w:pPr>
        <w:jc w:val="right"/>
        <w:rPr>
          <w:rFonts w:ascii="Calibri" w:eastAsia="Times New Roman" w:hAnsi="Calibri" w:cs="Arial"/>
          <w:color w:val="1F497D" w:themeColor="text2"/>
          <w:sz w:val="28"/>
          <w:lang w:eastAsia="es-ES_tradnl"/>
        </w:rPr>
      </w:pPr>
      <w:r w:rsidRPr="00CE0B27">
        <w:rPr>
          <w:rFonts w:ascii="Calibri" w:eastAsia="Times New Roman" w:hAnsi="Calibri" w:cs="Arial"/>
          <w:b/>
          <w:bCs/>
          <w:color w:val="1F497D" w:themeColor="text2"/>
          <w:sz w:val="28"/>
          <w:lang w:eastAsia="es-ES_tradnl"/>
        </w:rPr>
        <w:t>Secretario Distrital de Planeación</w:t>
      </w:r>
    </w:p>
    <w:p w14:paraId="417AF405" w14:textId="77777777" w:rsidR="00AB7524" w:rsidRPr="00CE0B27" w:rsidRDefault="00AB7524" w:rsidP="00AB7524">
      <w:pPr>
        <w:spacing w:after="0" w:line="240" w:lineRule="auto"/>
        <w:jc w:val="right"/>
        <w:rPr>
          <w:rFonts w:ascii="Calibri" w:eastAsia="Times New Roman" w:hAnsi="Calibri" w:cs="Arial"/>
          <w:color w:val="222222"/>
          <w:sz w:val="24"/>
          <w:lang w:eastAsia="es-ES_tradnl"/>
        </w:rPr>
      </w:pPr>
    </w:p>
    <w:p w14:paraId="24F038C9" w14:textId="77777777" w:rsidR="00AB7524" w:rsidRPr="00CE0B27" w:rsidRDefault="00AB7524" w:rsidP="00AB7524">
      <w:pPr>
        <w:spacing w:after="0" w:line="240" w:lineRule="auto"/>
        <w:jc w:val="right"/>
        <w:rPr>
          <w:rFonts w:ascii="Calibri" w:eastAsia="Times New Roman" w:hAnsi="Calibri" w:cs="Arial"/>
          <w:color w:val="222222"/>
          <w:sz w:val="24"/>
          <w:lang w:eastAsia="es-ES_tradnl"/>
        </w:rPr>
      </w:pPr>
    </w:p>
    <w:p w14:paraId="2EBF501C" w14:textId="77777777" w:rsidR="00AB7524" w:rsidRPr="00CE0B27" w:rsidRDefault="00AB7524" w:rsidP="00AB7524">
      <w:pPr>
        <w:spacing w:after="0" w:line="240" w:lineRule="auto"/>
        <w:jc w:val="right"/>
        <w:rPr>
          <w:rFonts w:ascii="Calibri" w:eastAsia="Times New Roman" w:hAnsi="Calibri" w:cs="Arial"/>
          <w:color w:val="222222"/>
          <w:sz w:val="24"/>
          <w:lang w:eastAsia="es-ES_tradnl"/>
        </w:rPr>
      </w:pPr>
    </w:p>
    <w:p w14:paraId="7C711AE2" w14:textId="77777777" w:rsidR="00AB7524" w:rsidRPr="00CE0B27" w:rsidRDefault="00AB7524" w:rsidP="00AB7524">
      <w:pPr>
        <w:jc w:val="right"/>
        <w:rPr>
          <w:rFonts w:ascii="Calibri" w:eastAsia="Times New Roman" w:hAnsi="Calibri" w:cs="Arial"/>
          <w:b/>
          <w:color w:val="222222"/>
          <w:sz w:val="28"/>
          <w:lang w:eastAsia="es-ES_tradnl"/>
        </w:rPr>
      </w:pPr>
      <w:r w:rsidRPr="00CE0B27">
        <w:rPr>
          <w:rFonts w:ascii="Calibri" w:eastAsia="Times New Roman" w:hAnsi="Calibri" w:cs="Arial"/>
          <w:b/>
          <w:color w:val="222222"/>
          <w:sz w:val="28"/>
          <w:lang w:eastAsia="es-ES_tradnl"/>
        </w:rPr>
        <w:t>Paola Gómez Campos </w:t>
      </w:r>
    </w:p>
    <w:p w14:paraId="1A2152B4" w14:textId="77777777" w:rsidR="00AB7524" w:rsidRPr="00CE0B27" w:rsidRDefault="00AB7524" w:rsidP="00AB7524">
      <w:pPr>
        <w:jc w:val="right"/>
        <w:rPr>
          <w:rFonts w:ascii="Calibri" w:eastAsia="Times New Roman" w:hAnsi="Calibri" w:cs="Arial"/>
          <w:color w:val="1F497D" w:themeColor="text2"/>
          <w:sz w:val="24"/>
          <w:lang w:eastAsia="es-ES_tradnl"/>
        </w:rPr>
      </w:pPr>
      <w:r w:rsidRPr="00CE0B27">
        <w:rPr>
          <w:rFonts w:ascii="Calibri" w:eastAsia="Times New Roman" w:hAnsi="Calibri" w:cs="Arial"/>
          <w:b/>
          <w:bCs/>
          <w:color w:val="1F497D" w:themeColor="text2"/>
          <w:sz w:val="24"/>
          <w:lang w:eastAsia="es-ES_tradnl"/>
        </w:rPr>
        <w:t>Subsecretaria de Planeación Socioeconómica</w:t>
      </w:r>
      <w:r w:rsidRPr="00CE0B27">
        <w:rPr>
          <w:rFonts w:ascii="Calibri" w:eastAsia="Times New Roman" w:hAnsi="Calibri" w:cs="Arial"/>
          <w:color w:val="1F497D" w:themeColor="text2"/>
          <w:sz w:val="24"/>
          <w:lang w:eastAsia="es-ES_tradnl"/>
        </w:rPr>
        <w:t> </w:t>
      </w:r>
    </w:p>
    <w:p w14:paraId="0B6E8DF3" w14:textId="77777777" w:rsidR="00AB7524" w:rsidRPr="00CE0B27" w:rsidRDefault="00AB7524" w:rsidP="00AB7524">
      <w:pPr>
        <w:spacing w:after="0" w:line="240" w:lineRule="auto"/>
        <w:jc w:val="right"/>
        <w:rPr>
          <w:rFonts w:ascii="Calibri" w:eastAsia="Times New Roman" w:hAnsi="Calibri" w:cs="Arial"/>
          <w:color w:val="222222"/>
          <w:sz w:val="24"/>
          <w:lang w:eastAsia="es-ES_tradnl"/>
        </w:rPr>
      </w:pPr>
    </w:p>
    <w:p w14:paraId="2B484C7D" w14:textId="77777777" w:rsidR="00AB7524" w:rsidRPr="00CE0B27" w:rsidRDefault="00AB7524" w:rsidP="00AB7524">
      <w:pPr>
        <w:spacing w:after="0" w:line="240" w:lineRule="auto"/>
        <w:jc w:val="right"/>
        <w:rPr>
          <w:rFonts w:ascii="Calibri" w:eastAsia="Times New Roman" w:hAnsi="Calibri" w:cs="Arial"/>
          <w:color w:val="222222"/>
          <w:sz w:val="24"/>
          <w:lang w:eastAsia="es-ES_tradnl"/>
        </w:rPr>
      </w:pPr>
    </w:p>
    <w:p w14:paraId="0FAB2D82" w14:textId="77777777" w:rsidR="00AB7524" w:rsidRPr="00CE0B27" w:rsidRDefault="00AB7524" w:rsidP="00AB7524">
      <w:pPr>
        <w:jc w:val="right"/>
        <w:rPr>
          <w:rFonts w:ascii="Calibri" w:eastAsia="Times New Roman" w:hAnsi="Calibri" w:cs="Arial"/>
          <w:b/>
          <w:color w:val="222222"/>
          <w:sz w:val="28"/>
          <w:lang w:eastAsia="es-ES_tradnl"/>
        </w:rPr>
      </w:pPr>
      <w:r w:rsidRPr="00CE0B27">
        <w:rPr>
          <w:rFonts w:ascii="Calibri" w:eastAsia="Times New Roman" w:hAnsi="Calibri" w:cs="Arial"/>
          <w:b/>
          <w:color w:val="222222"/>
          <w:sz w:val="28"/>
          <w:lang w:eastAsia="es-ES_tradnl"/>
        </w:rPr>
        <w:t>Diego Alejandro Peña Restrepo</w:t>
      </w:r>
    </w:p>
    <w:p w14:paraId="34FD7C64" w14:textId="2DEDF4F5" w:rsidR="00AB7524" w:rsidRPr="00CE0B27" w:rsidRDefault="00AB7524" w:rsidP="00AB7524">
      <w:pPr>
        <w:jc w:val="right"/>
        <w:rPr>
          <w:rFonts w:ascii="Calibri" w:eastAsia="Times New Roman" w:hAnsi="Calibri" w:cs="Arial"/>
          <w:b/>
          <w:bCs/>
          <w:color w:val="1F497D" w:themeColor="text2"/>
          <w:sz w:val="24"/>
          <w:lang w:eastAsia="es-ES_tradnl"/>
        </w:rPr>
      </w:pPr>
      <w:r w:rsidRPr="00CE0B27">
        <w:rPr>
          <w:rFonts w:ascii="Calibri" w:eastAsia="Times New Roman" w:hAnsi="Calibri" w:cs="Arial"/>
          <w:b/>
          <w:bCs/>
          <w:color w:val="1F497D" w:themeColor="text2"/>
          <w:sz w:val="24"/>
          <w:lang w:eastAsia="es-ES_tradnl"/>
        </w:rPr>
        <w:t>Director de Equidad y Políticas Poblacionales</w:t>
      </w:r>
    </w:p>
    <w:p w14:paraId="7B99C996" w14:textId="77777777" w:rsidR="00AB7524" w:rsidRPr="00CE0B27" w:rsidRDefault="00AB7524" w:rsidP="00AB7524">
      <w:pPr>
        <w:spacing w:after="0" w:line="240" w:lineRule="auto"/>
        <w:jc w:val="right"/>
        <w:rPr>
          <w:rFonts w:ascii="Calibri" w:eastAsia="Times New Roman" w:hAnsi="Calibri" w:cs="Arial"/>
          <w:color w:val="1F497D" w:themeColor="text2"/>
          <w:sz w:val="24"/>
          <w:lang w:eastAsia="es-ES_tradnl"/>
        </w:rPr>
      </w:pPr>
    </w:p>
    <w:p w14:paraId="55D787B6" w14:textId="77777777" w:rsidR="00AB7524" w:rsidRPr="00CE0B27" w:rsidRDefault="00AB7524" w:rsidP="00AB7524">
      <w:pPr>
        <w:spacing w:after="0" w:line="240" w:lineRule="auto"/>
        <w:jc w:val="right"/>
        <w:rPr>
          <w:rFonts w:ascii="Calibri" w:eastAsia="Times New Roman" w:hAnsi="Calibri" w:cs="Arial"/>
          <w:color w:val="222222"/>
          <w:sz w:val="24"/>
          <w:lang w:eastAsia="es-ES_tradnl"/>
        </w:rPr>
      </w:pPr>
      <w:r w:rsidRPr="00CE0B27">
        <w:rPr>
          <w:rFonts w:ascii="Calibri" w:eastAsia="Times New Roman" w:hAnsi="Calibri" w:cs="Arial"/>
          <w:color w:val="1F497D" w:themeColor="text2"/>
          <w:sz w:val="24"/>
          <w:lang w:eastAsia="es-ES_tradnl"/>
        </w:rPr>
        <w:t> </w:t>
      </w:r>
    </w:p>
    <w:p w14:paraId="487E33A6" w14:textId="77777777" w:rsidR="00AB7524" w:rsidRPr="00CE0B27" w:rsidRDefault="00AB7524" w:rsidP="00AB7524">
      <w:pPr>
        <w:jc w:val="right"/>
        <w:rPr>
          <w:rFonts w:ascii="Calibri" w:eastAsia="Times New Roman" w:hAnsi="Calibri" w:cs="Arial"/>
          <w:b/>
          <w:color w:val="222222"/>
          <w:sz w:val="28"/>
          <w:lang w:eastAsia="es-ES_tradnl"/>
        </w:rPr>
      </w:pPr>
      <w:r w:rsidRPr="00CE0B27">
        <w:rPr>
          <w:rFonts w:ascii="Calibri" w:eastAsia="Times New Roman" w:hAnsi="Calibri" w:cs="Arial"/>
          <w:b/>
          <w:color w:val="222222"/>
          <w:sz w:val="28"/>
          <w:lang w:eastAsia="es-ES_tradnl"/>
        </w:rPr>
        <w:t>Juliana Moncada Guayazán</w:t>
      </w:r>
    </w:p>
    <w:p w14:paraId="2C903BAD" w14:textId="77777777" w:rsidR="00AB7524" w:rsidRPr="00CE0B27" w:rsidRDefault="00AB7524" w:rsidP="00AB7524">
      <w:pPr>
        <w:jc w:val="right"/>
        <w:rPr>
          <w:rFonts w:ascii="Calibri" w:eastAsia="Times New Roman" w:hAnsi="Calibri" w:cs="Arial"/>
          <w:color w:val="1F497D" w:themeColor="text2"/>
          <w:sz w:val="24"/>
          <w:lang w:eastAsia="es-ES_tradnl"/>
        </w:rPr>
      </w:pPr>
      <w:bookmarkStart w:id="0" w:name="_GoBack"/>
      <w:r w:rsidRPr="00CE0B27">
        <w:rPr>
          <w:rFonts w:ascii="Calibri" w:eastAsia="Times New Roman" w:hAnsi="Calibri" w:cs="Arial"/>
          <w:b/>
          <w:bCs/>
          <w:color w:val="1F497D" w:themeColor="text2"/>
          <w:sz w:val="24"/>
          <w:lang w:eastAsia="es-ES_tradnl"/>
        </w:rPr>
        <w:t>Equipo de trabajo del Observatorio Poblacional Diferencial y de Familias</w:t>
      </w:r>
    </w:p>
    <w:bookmarkEnd w:id="0"/>
    <w:p w14:paraId="344E238E" w14:textId="77777777" w:rsidR="00AB7524" w:rsidRPr="00CE0B27" w:rsidRDefault="00AB7524" w:rsidP="00AB7524">
      <w:pPr>
        <w:rPr>
          <w:rFonts w:ascii="Calibri" w:eastAsia="Times New Roman" w:hAnsi="Calibri" w:cs="Arial"/>
          <w:b/>
          <w:bCs/>
          <w:color w:val="222222"/>
          <w:sz w:val="24"/>
          <w:lang w:eastAsia="es-ES_tradnl"/>
        </w:rPr>
      </w:pPr>
    </w:p>
    <w:p w14:paraId="34B6D1E8" w14:textId="77777777" w:rsidR="00AB7524" w:rsidRPr="00CE0B27" w:rsidRDefault="00AB7524" w:rsidP="00AB7524">
      <w:pPr>
        <w:jc w:val="right"/>
        <w:rPr>
          <w:rFonts w:ascii="Calibri" w:eastAsia="Times New Roman" w:hAnsi="Calibri" w:cs="Arial"/>
          <w:b/>
          <w:bCs/>
          <w:color w:val="1F497D" w:themeColor="text2"/>
          <w:sz w:val="28"/>
          <w:lang w:eastAsia="es-ES_tradnl"/>
        </w:rPr>
      </w:pPr>
      <w:r w:rsidRPr="00CE0B27">
        <w:rPr>
          <w:rFonts w:ascii="Calibri" w:eastAsia="Times New Roman" w:hAnsi="Calibri" w:cs="Arial"/>
          <w:b/>
          <w:bCs/>
          <w:color w:val="1F497D" w:themeColor="text2"/>
          <w:sz w:val="28"/>
          <w:lang w:eastAsia="es-ES_tradnl"/>
        </w:rPr>
        <w:t xml:space="preserve">Coordinación Editorial </w:t>
      </w:r>
    </w:p>
    <w:p w14:paraId="649F8A85" w14:textId="77777777" w:rsidR="00AB7524" w:rsidRPr="00AB7524" w:rsidRDefault="00AB7524" w:rsidP="00AB7524">
      <w:pPr>
        <w:jc w:val="right"/>
        <w:rPr>
          <w:rFonts w:ascii="Calibri" w:eastAsia="Times New Roman" w:hAnsi="Calibri" w:cs="Arial"/>
          <w:b/>
          <w:color w:val="222222"/>
          <w:sz w:val="28"/>
          <w:lang w:eastAsia="es-ES_tradnl"/>
        </w:rPr>
      </w:pPr>
      <w:r w:rsidRPr="00AB7524">
        <w:rPr>
          <w:rFonts w:ascii="Calibri" w:eastAsia="Times New Roman" w:hAnsi="Calibri" w:cs="Arial"/>
          <w:b/>
          <w:bCs/>
          <w:color w:val="222222"/>
          <w:sz w:val="28"/>
          <w:lang w:eastAsia="es-ES_tradnl"/>
        </w:rPr>
        <w:t>Oficina Asesora de Prensa y Comunicaciones - SDP</w:t>
      </w:r>
    </w:p>
    <w:p w14:paraId="5791F6F8" w14:textId="77777777" w:rsidR="00AB7524" w:rsidRPr="00CE0B27" w:rsidRDefault="00AB7524" w:rsidP="00AB7524">
      <w:pPr>
        <w:jc w:val="right"/>
        <w:rPr>
          <w:rFonts w:ascii="Calibri" w:eastAsia="Times New Roman" w:hAnsi="Calibri" w:cs="Arial"/>
          <w:color w:val="1F497D" w:themeColor="text2"/>
          <w:sz w:val="28"/>
          <w:lang w:eastAsia="es-ES_tradnl"/>
        </w:rPr>
      </w:pPr>
      <w:r w:rsidRPr="00CE0B27">
        <w:rPr>
          <w:rFonts w:ascii="Calibri" w:eastAsia="Times New Roman" w:hAnsi="Calibri" w:cs="Arial"/>
          <w:b/>
          <w:bCs/>
          <w:color w:val="1F497D" w:themeColor="text2"/>
          <w:sz w:val="28"/>
          <w:lang w:eastAsia="es-ES_tradnl"/>
        </w:rPr>
        <w:t xml:space="preserve">Diseño y diagramación </w:t>
      </w:r>
    </w:p>
    <w:p w14:paraId="15BC5C17" w14:textId="77777777" w:rsidR="00AB7524" w:rsidRPr="00AB7524" w:rsidRDefault="00AB7524" w:rsidP="00AB7524">
      <w:pPr>
        <w:jc w:val="right"/>
        <w:rPr>
          <w:rFonts w:ascii="Calibri" w:eastAsia="Times New Roman" w:hAnsi="Calibri" w:cs="Arial"/>
          <w:b/>
          <w:color w:val="222222"/>
          <w:sz w:val="28"/>
          <w:lang w:eastAsia="es-ES_tradnl"/>
        </w:rPr>
      </w:pPr>
      <w:r w:rsidRPr="00AB7524">
        <w:rPr>
          <w:rFonts w:ascii="Calibri" w:eastAsia="Times New Roman" w:hAnsi="Calibri" w:cs="Arial"/>
          <w:b/>
          <w:bCs/>
          <w:color w:val="222222"/>
          <w:sz w:val="28"/>
          <w:lang w:eastAsia="es-ES_tradnl"/>
        </w:rPr>
        <w:t>Oficina Asesora de Prensa y Comunicaciones - SDP</w:t>
      </w:r>
    </w:p>
    <w:p w14:paraId="7625A995" w14:textId="77777777" w:rsidR="00AB7524" w:rsidRPr="00CE0B27" w:rsidRDefault="00AB7524" w:rsidP="00AB7524">
      <w:pPr>
        <w:jc w:val="center"/>
        <w:rPr>
          <w:rFonts w:ascii="Calibri" w:eastAsia="Times New Roman" w:hAnsi="Calibri" w:cs="Arial"/>
          <w:b/>
          <w:bCs/>
          <w:color w:val="222222"/>
          <w:sz w:val="24"/>
          <w:lang w:eastAsia="es-ES_tradnl"/>
        </w:rPr>
      </w:pPr>
    </w:p>
    <w:p w14:paraId="1DE7A10F" w14:textId="77777777" w:rsidR="00AB7524" w:rsidRPr="00CE0B27" w:rsidRDefault="00AB7524" w:rsidP="00AB7524">
      <w:pPr>
        <w:jc w:val="right"/>
        <w:rPr>
          <w:rFonts w:ascii="Calibri" w:eastAsia="Times New Roman" w:hAnsi="Calibri" w:cs="Arial"/>
          <w:color w:val="808080" w:themeColor="background1" w:themeShade="80"/>
          <w:sz w:val="28"/>
          <w:lang w:eastAsia="es-ES_tradnl"/>
        </w:rPr>
      </w:pPr>
      <w:r w:rsidRPr="00CE0B27">
        <w:rPr>
          <w:rFonts w:ascii="Calibri" w:eastAsia="Times New Roman" w:hAnsi="Calibri" w:cs="Arial"/>
          <w:color w:val="808080" w:themeColor="background1" w:themeShade="80"/>
          <w:sz w:val="28"/>
          <w:lang w:eastAsia="es-ES_tradnl"/>
        </w:rPr>
        <w:t>Año de publicación 2019 Bogotá D.C.  </w:t>
      </w:r>
    </w:p>
    <w:p w14:paraId="5CA6195D" w14:textId="4BCB385A" w:rsidR="00AB7524" w:rsidRDefault="00AB7524" w:rsidP="00DD5DB3">
      <w:pPr>
        <w:pStyle w:val="Ttulo1"/>
        <w:rPr>
          <w:lang w:val="es-MX"/>
        </w:rPr>
        <w:sectPr w:rsidR="00AB7524" w:rsidSect="00AB7524">
          <w:pgSz w:w="12240" w:h="15840"/>
          <w:pgMar w:top="1417" w:right="1701" w:bottom="1417" w:left="1701" w:header="708" w:footer="708" w:gutter="0"/>
          <w:pgNumType w:start="0"/>
          <w:cols w:space="708"/>
          <w:titlePg/>
          <w:docGrid w:linePitch="360"/>
        </w:sectPr>
      </w:pPr>
    </w:p>
    <w:p w14:paraId="104C5554" w14:textId="5054B4BA" w:rsidR="00DD5DB3" w:rsidRDefault="00202972" w:rsidP="00DD5DB3">
      <w:pPr>
        <w:pStyle w:val="Ttulo1"/>
        <w:rPr>
          <w:lang w:val="es-MX"/>
        </w:rPr>
      </w:pPr>
      <w:r>
        <w:rPr>
          <w:lang w:val="es-MX"/>
        </w:rPr>
        <w:lastRenderedPageBreak/>
        <w:t>Introducción</w:t>
      </w:r>
    </w:p>
    <w:p w14:paraId="752030D7" w14:textId="6B965D05" w:rsidR="00202972" w:rsidRDefault="00202972" w:rsidP="00202972">
      <w:pPr>
        <w:spacing w:line="360" w:lineRule="auto"/>
        <w:jc w:val="both"/>
        <w:rPr>
          <w:rFonts w:ascii="Garamond" w:hAnsi="Garamond"/>
          <w:sz w:val="20"/>
          <w:szCs w:val="20"/>
          <w:lang w:val="es-MX"/>
        </w:rPr>
      </w:pPr>
      <w:r>
        <w:rPr>
          <w:rFonts w:ascii="Garamond" w:hAnsi="Garamond"/>
          <w:sz w:val="20"/>
          <w:szCs w:val="20"/>
          <w:lang w:val="es-MX"/>
        </w:rPr>
        <w:t>Este boletín se centra</w:t>
      </w:r>
      <w:r w:rsidR="00C4181F">
        <w:rPr>
          <w:rFonts w:ascii="Garamond" w:hAnsi="Garamond"/>
          <w:sz w:val="20"/>
          <w:szCs w:val="20"/>
          <w:lang w:val="es-MX"/>
        </w:rPr>
        <w:t xml:space="preserve"> en presentar los resultados</w:t>
      </w:r>
      <w:r w:rsidR="00DC7E8D">
        <w:rPr>
          <w:rFonts w:ascii="Garamond" w:hAnsi="Garamond"/>
          <w:sz w:val="20"/>
          <w:szCs w:val="20"/>
          <w:lang w:val="es-MX"/>
        </w:rPr>
        <w:t xml:space="preserve"> relacionados con la </w:t>
      </w:r>
      <w:r w:rsidR="00C4181F">
        <w:rPr>
          <w:rFonts w:ascii="Garamond" w:hAnsi="Garamond"/>
          <w:sz w:val="20"/>
          <w:szCs w:val="20"/>
          <w:lang w:val="es-MX"/>
        </w:rPr>
        <w:t xml:space="preserve">conformación familiar de </w:t>
      </w:r>
      <w:r w:rsidR="00DC7E8D">
        <w:rPr>
          <w:rFonts w:ascii="Garamond" w:hAnsi="Garamond"/>
          <w:sz w:val="20"/>
          <w:szCs w:val="20"/>
          <w:lang w:val="es-MX"/>
        </w:rPr>
        <w:t xml:space="preserve">la </w:t>
      </w:r>
      <w:r w:rsidR="00130F60">
        <w:rPr>
          <w:rFonts w:ascii="Garamond" w:hAnsi="Garamond"/>
          <w:sz w:val="20"/>
          <w:szCs w:val="20"/>
          <w:lang w:val="es-MX"/>
        </w:rPr>
        <w:t>E</w:t>
      </w:r>
      <w:r>
        <w:rPr>
          <w:rFonts w:ascii="Garamond" w:hAnsi="Garamond"/>
          <w:sz w:val="20"/>
          <w:szCs w:val="20"/>
          <w:lang w:val="es-MX"/>
        </w:rPr>
        <w:t xml:space="preserve">ncuesta </w:t>
      </w:r>
      <w:r w:rsidR="00DC7E8D">
        <w:rPr>
          <w:rFonts w:ascii="Garamond" w:hAnsi="Garamond"/>
          <w:sz w:val="20"/>
          <w:szCs w:val="20"/>
          <w:lang w:val="es-MX"/>
        </w:rPr>
        <w:t>a</w:t>
      </w:r>
      <w:r>
        <w:rPr>
          <w:rFonts w:ascii="Garamond" w:hAnsi="Garamond"/>
          <w:sz w:val="20"/>
          <w:szCs w:val="20"/>
          <w:lang w:val="es-MX"/>
        </w:rPr>
        <w:t xml:space="preserve"> </w:t>
      </w:r>
      <w:r w:rsidR="00130F60">
        <w:rPr>
          <w:rFonts w:ascii="Garamond" w:hAnsi="Garamond"/>
          <w:sz w:val="20"/>
          <w:szCs w:val="20"/>
          <w:lang w:val="es-MX"/>
        </w:rPr>
        <w:t>Familas</w:t>
      </w:r>
      <w:r w:rsidR="00DC7E8D">
        <w:rPr>
          <w:rFonts w:ascii="Garamond" w:hAnsi="Garamond"/>
          <w:sz w:val="20"/>
          <w:szCs w:val="20"/>
          <w:lang w:val="es-MX"/>
        </w:rPr>
        <w:t xml:space="preserve"> </w:t>
      </w:r>
      <w:r w:rsidR="00DC7E8D" w:rsidRPr="00130F60">
        <w:rPr>
          <w:rFonts w:ascii="Garamond" w:hAnsi="Garamond"/>
          <w:sz w:val="20"/>
          <w:szCs w:val="20"/>
          <w:lang w:val="es-MX"/>
        </w:rPr>
        <w:t>(Encaf) realizada</w:t>
      </w:r>
      <w:r w:rsidR="00DC7E8D">
        <w:rPr>
          <w:rFonts w:ascii="Garamond" w:hAnsi="Garamond"/>
          <w:sz w:val="20"/>
          <w:szCs w:val="20"/>
          <w:lang w:val="es-MX"/>
        </w:rPr>
        <w:t xml:space="preserve"> en </w:t>
      </w:r>
      <w:r>
        <w:rPr>
          <w:rFonts w:ascii="Garamond" w:hAnsi="Garamond"/>
          <w:sz w:val="20"/>
          <w:szCs w:val="20"/>
          <w:lang w:val="es-MX"/>
        </w:rPr>
        <w:t>el Distrito</w:t>
      </w:r>
      <w:r w:rsidR="00835744">
        <w:rPr>
          <w:rFonts w:ascii="Garamond" w:hAnsi="Garamond"/>
          <w:sz w:val="20"/>
          <w:szCs w:val="20"/>
          <w:lang w:val="es-MX"/>
        </w:rPr>
        <w:t xml:space="preserve"> a finales de 2016 y comienzos de 2017</w:t>
      </w:r>
      <w:r>
        <w:rPr>
          <w:rFonts w:ascii="Garamond" w:hAnsi="Garamond"/>
          <w:sz w:val="20"/>
          <w:szCs w:val="20"/>
          <w:lang w:val="es-MX"/>
        </w:rPr>
        <w:t xml:space="preserve">, que son de interés especial para la </w:t>
      </w:r>
      <w:r w:rsidR="00624D9B" w:rsidRPr="00624D9B">
        <w:rPr>
          <w:rFonts w:ascii="Garamond" w:hAnsi="Garamond"/>
          <w:sz w:val="20"/>
          <w:szCs w:val="20"/>
          <w:lang w:val="es-MX"/>
        </w:rPr>
        <w:t>Política Pública para las Familias de Bogotá</w:t>
      </w:r>
      <w:r>
        <w:rPr>
          <w:rFonts w:ascii="Garamond" w:hAnsi="Garamond"/>
          <w:sz w:val="20"/>
          <w:szCs w:val="20"/>
          <w:lang w:val="es-MX"/>
        </w:rPr>
        <w:t xml:space="preserve">. </w:t>
      </w:r>
    </w:p>
    <w:p w14:paraId="3A0D3623" w14:textId="098F31B8" w:rsidR="00202972" w:rsidRDefault="00202972" w:rsidP="00202972">
      <w:pPr>
        <w:spacing w:line="360" w:lineRule="auto"/>
        <w:jc w:val="both"/>
        <w:rPr>
          <w:rFonts w:ascii="Garamond" w:hAnsi="Garamond"/>
          <w:sz w:val="20"/>
          <w:szCs w:val="20"/>
          <w:lang w:val="es-MX"/>
        </w:rPr>
      </w:pPr>
      <w:r>
        <w:rPr>
          <w:rFonts w:ascii="Garamond" w:hAnsi="Garamond"/>
          <w:sz w:val="20"/>
          <w:szCs w:val="20"/>
          <w:lang w:val="es-MX"/>
        </w:rPr>
        <w:t xml:space="preserve">Dicha encuesta fue implementada en las 20 localidades de Bogotá, a partir de un </w:t>
      </w:r>
      <w:r w:rsidRPr="00357ECA">
        <w:rPr>
          <w:rFonts w:ascii="Garamond" w:hAnsi="Garamond"/>
          <w:sz w:val="20"/>
          <w:szCs w:val="20"/>
          <w:lang w:val="es-MX"/>
        </w:rPr>
        <w:t>muestreo estratificado por conglomerados y multietápico (estratos</w:t>
      </w:r>
      <w:r w:rsidR="00B943CF">
        <w:rPr>
          <w:rFonts w:ascii="Garamond" w:hAnsi="Garamond"/>
          <w:sz w:val="20"/>
          <w:szCs w:val="20"/>
          <w:lang w:val="es-MX"/>
        </w:rPr>
        <w:t xml:space="preserve"> socioeconómicos</w:t>
      </w:r>
      <w:r w:rsidRPr="00357ECA">
        <w:rPr>
          <w:rFonts w:ascii="Garamond" w:hAnsi="Garamond"/>
          <w:sz w:val="20"/>
          <w:szCs w:val="20"/>
          <w:lang w:val="es-MX"/>
        </w:rPr>
        <w:t>, manzanas y predios) en la cual se seleccionaron 465 manzanas en 111 barrios</w:t>
      </w:r>
      <w:r>
        <w:rPr>
          <w:rFonts w:ascii="Garamond" w:hAnsi="Garamond"/>
          <w:sz w:val="20"/>
          <w:szCs w:val="20"/>
          <w:lang w:val="es-MX"/>
        </w:rPr>
        <w:t xml:space="preserve"> del Distrito. </w:t>
      </w:r>
    </w:p>
    <w:p w14:paraId="27637B2C" w14:textId="5957E3F9" w:rsidR="00202972" w:rsidRDefault="00202972" w:rsidP="00202972">
      <w:pPr>
        <w:spacing w:line="360" w:lineRule="auto"/>
        <w:jc w:val="both"/>
        <w:rPr>
          <w:rFonts w:ascii="Garamond" w:hAnsi="Garamond"/>
          <w:sz w:val="20"/>
          <w:szCs w:val="20"/>
          <w:lang w:val="es-MX"/>
        </w:rPr>
      </w:pPr>
      <w:r>
        <w:rPr>
          <w:rFonts w:ascii="Garamond" w:hAnsi="Garamond"/>
          <w:sz w:val="20"/>
          <w:szCs w:val="20"/>
          <w:lang w:val="es-MX"/>
        </w:rPr>
        <w:t>Esta encuesta se estructuró en dos conjuntos</w:t>
      </w:r>
      <w:r w:rsidRPr="00357ECA">
        <w:rPr>
          <w:rFonts w:ascii="Garamond" w:hAnsi="Garamond"/>
          <w:sz w:val="20"/>
          <w:szCs w:val="20"/>
          <w:lang w:val="es-MX"/>
        </w:rPr>
        <w:t xml:space="preserve"> de preguntas</w:t>
      </w:r>
      <w:r>
        <w:rPr>
          <w:rFonts w:ascii="Garamond" w:hAnsi="Garamond"/>
          <w:sz w:val="20"/>
          <w:szCs w:val="20"/>
          <w:lang w:val="es-MX"/>
        </w:rPr>
        <w:t>, el primer grupo</w:t>
      </w:r>
      <w:r w:rsidRPr="00357ECA">
        <w:rPr>
          <w:rFonts w:ascii="Garamond" w:hAnsi="Garamond"/>
          <w:sz w:val="20"/>
          <w:szCs w:val="20"/>
          <w:lang w:val="es-MX"/>
        </w:rPr>
        <w:t xml:space="preserve"> para ser </w:t>
      </w:r>
      <w:r w:rsidR="00130F60">
        <w:rPr>
          <w:rFonts w:ascii="Garamond" w:hAnsi="Garamond"/>
          <w:sz w:val="20"/>
          <w:szCs w:val="20"/>
          <w:lang w:val="es-MX"/>
        </w:rPr>
        <w:t>contestadas</w:t>
      </w:r>
      <w:r w:rsidRPr="00357ECA">
        <w:rPr>
          <w:rFonts w:ascii="Garamond" w:hAnsi="Garamond"/>
          <w:sz w:val="20"/>
          <w:szCs w:val="20"/>
          <w:lang w:val="es-MX"/>
        </w:rPr>
        <w:t xml:space="preserve"> por la persona (mayor de edad) que respon</w:t>
      </w:r>
      <w:r>
        <w:rPr>
          <w:rFonts w:ascii="Garamond" w:hAnsi="Garamond"/>
          <w:sz w:val="20"/>
          <w:szCs w:val="20"/>
          <w:lang w:val="es-MX"/>
        </w:rPr>
        <w:t>de a título de la familia y el segundo grupo para ser respondido</w:t>
      </w:r>
      <w:r w:rsidRPr="00357ECA">
        <w:rPr>
          <w:rFonts w:ascii="Garamond" w:hAnsi="Garamond"/>
          <w:sz w:val="20"/>
          <w:szCs w:val="20"/>
          <w:lang w:val="es-MX"/>
        </w:rPr>
        <w:t xml:space="preserve"> </w:t>
      </w:r>
      <w:r>
        <w:rPr>
          <w:rFonts w:ascii="Garamond" w:hAnsi="Garamond"/>
          <w:sz w:val="20"/>
          <w:szCs w:val="20"/>
          <w:lang w:val="es-MX"/>
        </w:rPr>
        <w:t>con información de cada</w:t>
      </w:r>
      <w:r w:rsidRPr="00357ECA">
        <w:rPr>
          <w:rFonts w:ascii="Garamond" w:hAnsi="Garamond"/>
          <w:sz w:val="20"/>
          <w:szCs w:val="20"/>
          <w:lang w:val="es-MX"/>
        </w:rPr>
        <w:t xml:space="preserve"> integrante de la familia</w:t>
      </w:r>
      <w:r>
        <w:rPr>
          <w:rFonts w:ascii="Garamond" w:hAnsi="Garamond"/>
          <w:sz w:val="20"/>
          <w:szCs w:val="20"/>
          <w:lang w:val="es-MX"/>
        </w:rPr>
        <w:t xml:space="preserve"> que habitaba en esa vivienda</w:t>
      </w:r>
      <w:r w:rsidRPr="00357ECA">
        <w:rPr>
          <w:rFonts w:ascii="Garamond" w:hAnsi="Garamond"/>
          <w:sz w:val="20"/>
          <w:szCs w:val="20"/>
          <w:lang w:val="es-MX"/>
        </w:rPr>
        <w:t xml:space="preserve">. </w:t>
      </w:r>
    </w:p>
    <w:p w14:paraId="53A961B4" w14:textId="0F3B6DC1" w:rsidR="00525D7E" w:rsidRPr="00525D7E" w:rsidRDefault="00525D7E" w:rsidP="00525D7E">
      <w:pPr>
        <w:pStyle w:val="Ttulo1"/>
        <w:rPr>
          <w:lang w:val="es-MX"/>
        </w:rPr>
      </w:pPr>
      <w:r>
        <w:rPr>
          <w:lang w:val="es-MX"/>
        </w:rPr>
        <w:t>Antecedentes</w:t>
      </w:r>
    </w:p>
    <w:p w14:paraId="2E2A0A19" w14:textId="568834D4" w:rsidR="00525D7E" w:rsidRDefault="00DC35EB" w:rsidP="00A16521">
      <w:pPr>
        <w:spacing w:line="360" w:lineRule="auto"/>
        <w:jc w:val="both"/>
        <w:rPr>
          <w:rFonts w:ascii="Garamond" w:hAnsi="Garamond"/>
          <w:sz w:val="20"/>
          <w:szCs w:val="20"/>
          <w:lang w:val="es-MX"/>
        </w:rPr>
      </w:pPr>
      <w:r w:rsidRPr="00357ECA">
        <w:rPr>
          <w:rFonts w:ascii="Garamond" w:hAnsi="Garamond"/>
          <w:sz w:val="20"/>
          <w:szCs w:val="20"/>
          <w:lang w:val="es-MX"/>
        </w:rPr>
        <w:t xml:space="preserve">De acuerdo con </w:t>
      </w:r>
      <w:r w:rsidR="00DD5DB3" w:rsidRPr="00357ECA">
        <w:rPr>
          <w:rFonts w:ascii="Garamond" w:hAnsi="Garamond"/>
          <w:sz w:val="20"/>
          <w:szCs w:val="20"/>
          <w:lang w:val="es-MX"/>
        </w:rPr>
        <w:t xml:space="preserve">investigaciones realizadas por </w:t>
      </w:r>
      <w:r w:rsidRPr="00357ECA">
        <w:rPr>
          <w:rFonts w:ascii="Garamond" w:hAnsi="Garamond"/>
          <w:sz w:val="20"/>
          <w:szCs w:val="20"/>
          <w:lang w:val="es-MX"/>
        </w:rPr>
        <w:t>el Obs</w:t>
      </w:r>
      <w:r w:rsidR="00DD5DB3" w:rsidRPr="00357ECA">
        <w:rPr>
          <w:rFonts w:ascii="Garamond" w:hAnsi="Garamond"/>
          <w:sz w:val="20"/>
          <w:szCs w:val="20"/>
          <w:lang w:val="es-MX"/>
        </w:rPr>
        <w:t>ervatorio para la Política de</w:t>
      </w:r>
      <w:r w:rsidRPr="00357ECA">
        <w:rPr>
          <w:rFonts w:ascii="Garamond" w:hAnsi="Garamond"/>
          <w:sz w:val="20"/>
          <w:szCs w:val="20"/>
          <w:lang w:val="es-MX"/>
        </w:rPr>
        <w:t xml:space="preserve"> Familia </w:t>
      </w:r>
      <w:r w:rsidR="00DD5DB3" w:rsidRPr="00357ECA">
        <w:rPr>
          <w:rFonts w:ascii="Garamond" w:hAnsi="Garamond"/>
          <w:sz w:val="20"/>
          <w:szCs w:val="20"/>
          <w:lang w:val="es-MX"/>
        </w:rPr>
        <w:t>del</w:t>
      </w:r>
      <w:r w:rsidRPr="00357ECA">
        <w:rPr>
          <w:rFonts w:ascii="Garamond" w:hAnsi="Garamond"/>
          <w:sz w:val="20"/>
          <w:szCs w:val="20"/>
          <w:lang w:val="es-MX"/>
        </w:rPr>
        <w:t xml:space="preserve"> Departamento Nacional de </w:t>
      </w:r>
      <w:r w:rsidR="00DD5DB3" w:rsidRPr="00357ECA">
        <w:rPr>
          <w:rFonts w:ascii="Garamond" w:hAnsi="Garamond"/>
          <w:sz w:val="20"/>
          <w:szCs w:val="20"/>
          <w:lang w:val="es-MX"/>
        </w:rPr>
        <w:t>Planeación</w:t>
      </w:r>
      <w:r w:rsidRPr="00357ECA">
        <w:rPr>
          <w:rFonts w:ascii="Garamond" w:hAnsi="Garamond"/>
          <w:sz w:val="20"/>
          <w:szCs w:val="20"/>
          <w:lang w:val="es-MX"/>
        </w:rPr>
        <w:t>, e</w:t>
      </w:r>
      <w:r w:rsidR="000A1067" w:rsidRPr="00357ECA">
        <w:rPr>
          <w:rFonts w:ascii="Garamond" w:hAnsi="Garamond"/>
          <w:sz w:val="20"/>
          <w:szCs w:val="20"/>
          <w:lang w:val="es-MX"/>
        </w:rPr>
        <w:t xml:space="preserve">n las últimas décadas la composición y lo que tradicionalmente se ha entendido </w:t>
      </w:r>
      <w:r w:rsidR="00DD5DB3" w:rsidRPr="00357ECA">
        <w:rPr>
          <w:rFonts w:ascii="Garamond" w:hAnsi="Garamond"/>
          <w:sz w:val="20"/>
          <w:szCs w:val="20"/>
          <w:lang w:val="es-MX"/>
        </w:rPr>
        <w:t>como</w:t>
      </w:r>
      <w:r w:rsidR="000A1067" w:rsidRPr="00357ECA">
        <w:rPr>
          <w:rFonts w:ascii="Garamond" w:hAnsi="Garamond"/>
          <w:sz w:val="20"/>
          <w:szCs w:val="20"/>
          <w:lang w:val="es-MX"/>
        </w:rPr>
        <w:t xml:space="preserve"> </w:t>
      </w:r>
      <w:r w:rsidR="000A1067" w:rsidRPr="00357ECA">
        <w:rPr>
          <w:rFonts w:ascii="Garamond" w:hAnsi="Garamond"/>
          <w:i/>
          <w:sz w:val="20"/>
          <w:szCs w:val="20"/>
          <w:lang w:val="es-MX"/>
        </w:rPr>
        <w:t>familia</w:t>
      </w:r>
      <w:r w:rsidR="000A1067" w:rsidRPr="00357ECA">
        <w:rPr>
          <w:rFonts w:ascii="Garamond" w:hAnsi="Garamond"/>
          <w:sz w:val="20"/>
          <w:szCs w:val="20"/>
          <w:lang w:val="es-MX"/>
        </w:rPr>
        <w:t xml:space="preserve"> </w:t>
      </w:r>
      <w:r w:rsidR="00225A0B" w:rsidRPr="00357ECA">
        <w:rPr>
          <w:rFonts w:ascii="Garamond" w:hAnsi="Garamond"/>
          <w:sz w:val="20"/>
          <w:szCs w:val="20"/>
          <w:lang w:val="es-MX"/>
        </w:rPr>
        <w:t xml:space="preserve">se </w:t>
      </w:r>
      <w:r w:rsidR="00DD5DB3" w:rsidRPr="00357ECA">
        <w:rPr>
          <w:rFonts w:ascii="Garamond" w:hAnsi="Garamond"/>
          <w:sz w:val="20"/>
          <w:szCs w:val="20"/>
          <w:lang w:val="es-MX"/>
        </w:rPr>
        <w:t xml:space="preserve">ha </w:t>
      </w:r>
      <w:r w:rsidR="00A16521" w:rsidRPr="00357ECA">
        <w:rPr>
          <w:rFonts w:ascii="Garamond" w:hAnsi="Garamond"/>
          <w:sz w:val="20"/>
          <w:szCs w:val="20"/>
          <w:lang w:val="es-MX"/>
        </w:rPr>
        <w:t>modifica</w:t>
      </w:r>
      <w:r w:rsidR="00225A0B" w:rsidRPr="00357ECA">
        <w:rPr>
          <w:rFonts w:ascii="Garamond" w:hAnsi="Garamond"/>
          <w:sz w:val="20"/>
          <w:szCs w:val="20"/>
          <w:lang w:val="es-MX"/>
        </w:rPr>
        <w:t>do sustancialmente</w:t>
      </w:r>
      <w:r w:rsidR="009176E7">
        <w:rPr>
          <w:rStyle w:val="Refdenotaalpie"/>
          <w:rFonts w:ascii="Garamond" w:hAnsi="Garamond"/>
          <w:sz w:val="20"/>
          <w:szCs w:val="20"/>
          <w:lang w:val="es-MX"/>
        </w:rPr>
        <w:footnoteReference w:id="1"/>
      </w:r>
      <w:r w:rsidR="00A16521" w:rsidRPr="00357ECA">
        <w:rPr>
          <w:rFonts w:ascii="Garamond" w:hAnsi="Garamond"/>
          <w:sz w:val="20"/>
          <w:szCs w:val="20"/>
          <w:lang w:val="es-MX"/>
        </w:rPr>
        <w:t xml:space="preserve">. </w:t>
      </w:r>
    </w:p>
    <w:p w14:paraId="37AAC394" w14:textId="2F260E8E" w:rsidR="00525D7E" w:rsidRPr="00525D7E" w:rsidRDefault="00525D7E" w:rsidP="00525D7E">
      <w:pPr>
        <w:spacing w:line="360" w:lineRule="auto"/>
        <w:jc w:val="both"/>
        <w:rPr>
          <w:rFonts w:ascii="Garamond" w:hAnsi="Garamond"/>
          <w:sz w:val="20"/>
          <w:szCs w:val="20"/>
          <w:lang w:val="es-MX"/>
        </w:rPr>
      </w:pPr>
      <w:r>
        <w:rPr>
          <w:rFonts w:ascii="Garamond" w:hAnsi="Garamond"/>
          <w:sz w:val="20"/>
          <w:szCs w:val="20"/>
          <w:lang w:val="es-MX"/>
        </w:rPr>
        <w:t xml:space="preserve">La Política Pública para </w:t>
      </w:r>
      <w:r w:rsidR="00503FAA">
        <w:rPr>
          <w:rFonts w:ascii="Garamond" w:hAnsi="Garamond"/>
          <w:sz w:val="20"/>
          <w:szCs w:val="20"/>
          <w:lang w:val="es-MX"/>
        </w:rPr>
        <w:t>las familias</w:t>
      </w:r>
      <w:r>
        <w:rPr>
          <w:rFonts w:ascii="Garamond" w:hAnsi="Garamond"/>
          <w:sz w:val="20"/>
          <w:szCs w:val="20"/>
          <w:lang w:val="es-MX"/>
        </w:rPr>
        <w:t xml:space="preserve"> del Distrito</w:t>
      </w:r>
      <w:r w:rsidRPr="00525D7E">
        <w:rPr>
          <w:rFonts w:ascii="Garamond" w:hAnsi="Garamond"/>
          <w:sz w:val="20"/>
          <w:szCs w:val="20"/>
          <w:lang w:val="es-MX"/>
        </w:rPr>
        <w:t xml:space="preserve"> se sustenta desde la concepción misma de familia a partir de la Constitución Política de Colombia de</w:t>
      </w:r>
      <w:r>
        <w:rPr>
          <w:rFonts w:ascii="Garamond" w:hAnsi="Garamond"/>
          <w:sz w:val="20"/>
          <w:szCs w:val="20"/>
          <w:lang w:val="es-MX"/>
        </w:rPr>
        <w:t xml:space="preserve"> 1991 en sus artículos 5° y 42°. </w:t>
      </w:r>
      <w:r w:rsidRPr="00525D7E">
        <w:rPr>
          <w:rFonts w:ascii="Garamond" w:hAnsi="Garamond"/>
          <w:sz w:val="20"/>
          <w:szCs w:val="20"/>
          <w:lang w:val="es-MX"/>
        </w:rPr>
        <w:t xml:space="preserve">Bajo este sustento legal se identificó a la Familia como una institución básica de la sociedad, es decir se le dio una interpretación de </w:t>
      </w:r>
      <w:r w:rsidRPr="00525D7E">
        <w:rPr>
          <w:rFonts w:ascii="Garamond" w:hAnsi="Garamond"/>
          <w:sz w:val="20"/>
          <w:szCs w:val="20"/>
          <w:lang w:val="es-MX"/>
        </w:rPr>
        <w:t>sujeto de acción pública que el Estado tiene la obligación de proteger. Esto implicó que no solamente el Estado debe garantizar los derechos de los ciudadanos como individuos sino que además se debe proteger a la familia.</w:t>
      </w:r>
    </w:p>
    <w:p w14:paraId="2D1DCD99" w14:textId="2351BE35" w:rsidR="00525D7E" w:rsidRDefault="00525D7E" w:rsidP="00525D7E">
      <w:pPr>
        <w:spacing w:line="360" w:lineRule="auto"/>
        <w:jc w:val="both"/>
        <w:rPr>
          <w:rFonts w:ascii="Garamond" w:hAnsi="Garamond"/>
          <w:sz w:val="20"/>
          <w:szCs w:val="20"/>
          <w:lang w:val="es-MX"/>
        </w:rPr>
      </w:pPr>
      <w:r w:rsidRPr="00525D7E">
        <w:rPr>
          <w:rFonts w:ascii="Garamond" w:hAnsi="Garamond"/>
          <w:sz w:val="20"/>
          <w:szCs w:val="20"/>
          <w:lang w:val="es-MX"/>
        </w:rPr>
        <w:t xml:space="preserve">Reconociendo a la Familia como un grupo titular de derechos a partir de la Carta Política, el </w:t>
      </w:r>
      <w:r w:rsidR="00130F60">
        <w:rPr>
          <w:rFonts w:ascii="Garamond" w:hAnsi="Garamond"/>
          <w:sz w:val="20"/>
          <w:szCs w:val="20"/>
          <w:lang w:val="es-MX"/>
        </w:rPr>
        <w:t>d</w:t>
      </w:r>
      <w:r w:rsidRPr="00525D7E">
        <w:rPr>
          <w:rFonts w:ascii="Garamond" w:hAnsi="Garamond"/>
          <w:sz w:val="20"/>
          <w:szCs w:val="20"/>
          <w:lang w:val="es-MX"/>
        </w:rPr>
        <w:t>istrito de Bogotá</w:t>
      </w:r>
      <w:r>
        <w:rPr>
          <w:rFonts w:ascii="Garamond" w:hAnsi="Garamond"/>
          <w:sz w:val="20"/>
          <w:szCs w:val="20"/>
          <w:lang w:val="es-MX"/>
        </w:rPr>
        <w:t xml:space="preserve"> expidió el </w:t>
      </w:r>
      <w:r w:rsidR="00130F60">
        <w:rPr>
          <w:rFonts w:ascii="Garamond" w:hAnsi="Garamond"/>
          <w:sz w:val="20"/>
          <w:szCs w:val="20"/>
          <w:lang w:val="es-MX"/>
        </w:rPr>
        <w:t>D</w:t>
      </w:r>
      <w:r>
        <w:rPr>
          <w:rFonts w:ascii="Garamond" w:hAnsi="Garamond"/>
          <w:sz w:val="20"/>
          <w:szCs w:val="20"/>
          <w:lang w:val="es-MX"/>
        </w:rPr>
        <w:t xml:space="preserve">ecreto 545 de 2011, por </w:t>
      </w:r>
      <w:r w:rsidRPr="00525D7E">
        <w:rPr>
          <w:rFonts w:ascii="Garamond" w:hAnsi="Garamond"/>
          <w:sz w:val="20"/>
          <w:szCs w:val="20"/>
          <w:lang w:val="es-MX"/>
        </w:rPr>
        <w:t xml:space="preserve">el cual </w:t>
      </w:r>
      <w:r>
        <w:rPr>
          <w:rFonts w:ascii="Garamond" w:hAnsi="Garamond"/>
          <w:sz w:val="20"/>
          <w:szCs w:val="20"/>
          <w:lang w:val="es-MX"/>
        </w:rPr>
        <w:t>adoptó</w:t>
      </w:r>
      <w:r w:rsidRPr="00525D7E">
        <w:rPr>
          <w:rFonts w:ascii="Garamond" w:hAnsi="Garamond"/>
          <w:sz w:val="20"/>
          <w:szCs w:val="20"/>
          <w:lang w:val="es-MX"/>
        </w:rPr>
        <w:t xml:space="preserve"> la Política Pública p</w:t>
      </w:r>
      <w:r>
        <w:rPr>
          <w:rFonts w:ascii="Garamond" w:hAnsi="Garamond"/>
          <w:sz w:val="20"/>
          <w:szCs w:val="20"/>
          <w:lang w:val="es-MX"/>
        </w:rPr>
        <w:t xml:space="preserve">ara </w:t>
      </w:r>
      <w:r w:rsidR="009F61F9">
        <w:rPr>
          <w:rFonts w:ascii="Garamond" w:hAnsi="Garamond"/>
          <w:sz w:val="20"/>
          <w:szCs w:val="20"/>
          <w:lang w:val="es-MX"/>
        </w:rPr>
        <w:t>las familias</w:t>
      </w:r>
      <w:r w:rsidR="00A50783">
        <w:rPr>
          <w:rFonts w:ascii="Garamond" w:hAnsi="Garamond"/>
          <w:sz w:val="20"/>
          <w:szCs w:val="20"/>
          <w:lang w:val="es-MX"/>
        </w:rPr>
        <w:t xml:space="preserve"> </w:t>
      </w:r>
      <w:r>
        <w:rPr>
          <w:rFonts w:ascii="Garamond" w:hAnsi="Garamond"/>
          <w:sz w:val="20"/>
          <w:szCs w:val="20"/>
          <w:lang w:val="es-MX"/>
        </w:rPr>
        <w:t xml:space="preserve">en Bogotá y bajo el cual el </w:t>
      </w:r>
      <w:r w:rsidR="00130F60">
        <w:rPr>
          <w:rFonts w:ascii="Garamond" w:hAnsi="Garamond"/>
          <w:sz w:val="20"/>
          <w:szCs w:val="20"/>
          <w:lang w:val="es-MX"/>
        </w:rPr>
        <w:t>d</w:t>
      </w:r>
      <w:r>
        <w:rPr>
          <w:rFonts w:ascii="Garamond" w:hAnsi="Garamond"/>
          <w:sz w:val="20"/>
          <w:szCs w:val="20"/>
          <w:lang w:val="es-MX"/>
        </w:rPr>
        <w:t>istrito</w:t>
      </w:r>
      <w:r w:rsidRPr="00525D7E">
        <w:rPr>
          <w:rFonts w:ascii="Garamond" w:hAnsi="Garamond"/>
          <w:sz w:val="20"/>
          <w:szCs w:val="20"/>
          <w:lang w:val="es-MX"/>
        </w:rPr>
        <w:t xml:space="preserve"> materializó los derechos y principios de la </w:t>
      </w:r>
      <w:r w:rsidR="00130F60">
        <w:rPr>
          <w:rFonts w:ascii="Garamond" w:hAnsi="Garamond"/>
          <w:sz w:val="20"/>
          <w:szCs w:val="20"/>
          <w:lang w:val="es-MX"/>
        </w:rPr>
        <w:t>f</w:t>
      </w:r>
      <w:r w:rsidRPr="00525D7E">
        <w:rPr>
          <w:rFonts w:ascii="Garamond" w:hAnsi="Garamond"/>
          <w:sz w:val="20"/>
          <w:szCs w:val="20"/>
          <w:lang w:val="es-MX"/>
        </w:rPr>
        <w:t>amilia como sujeto de derecho orientando acciones para su protección.</w:t>
      </w:r>
    </w:p>
    <w:p w14:paraId="059109E1" w14:textId="551F089E" w:rsidR="00525D7E" w:rsidRDefault="00525D7E" w:rsidP="00525D7E">
      <w:pPr>
        <w:spacing w:line="360" w:lineRule="auto"/>
        <w:jc w:val="both"/>
        <w:rPr>
          <w:rFonts w:ascii="Garamond" w:hAnsi="Garamond"/>
          <w:sz w:val="20"/>
          <w:szCs w:val="20"/>
          <w:lang w:val="es-MX"/>
        </w:rPr>
      </w:pPr>
      <w:r>
        <w:rPr>
          <w:rFonts w:ascii="Garamond" w:hAnsi="Garamond"/>
          <w:sz w:val="20"/>
          <w:szCs w:val="20"/>
          <w:lang w:val="es-MX"/>
        </w:rPr>
        <w:t xml:space="preserve">A partir del documento de Política Pública para </w:t>
      </w:r>
      <w:r w:rsidR="00130F60">
        <w:rPr>
          <w:rFonts w:ascii="Garamond" w:hAnsi="Garamond"/>
          <w:sz w:val="20"/>
          <w:szCs w:val="20"/>
          <w:lang w:val="es-MX"/>
        </w:rPr>
        <w:t xml:space="preserve">las familias </w:t>
      </w:r>
      <w:r>
        <w:rPr>
          <w:rFonts w:ascii="Garamond" w:hAnsi="Garamond"/>
          <w:sz w:val="20"/>
          <w:szCs w:val="20"/>
          <w:lang w:val="es-MX"/>
        </w:rPr>
        <w:t xml:space="preserve">del </w:t>
      </w:r>
      <w:r w:rsidR="00130F60">
        <w:rPr>
          <w:rFonts w:ascii="Garamond" w:hAnsi="Garamond"/>
          <w:sz w:val="20"/>
          <w:szCs w:val="20"/>
          <w:lang w:val="es-MX"/>
        </w:rPr>
        <w:t>d</w:t>
      </w:r>
      <w:r>
        <w:rPr>
          <w:rFonts w:ascii="Garamond" w:hAnsi="Garamond"/>
          <w:sz w:val="20"/>
          <w:szCs w:val="20"/>
          <w:lang w:val="es-MX"/>
        </w:rPr>
        <w:t>istrito 2011-2025</w:t>
      </w:r>
      <w:r w:rsidR="006E64C9">
        <w:rPr>
          <w:rFonts w:ascii="Garamond" w:hAnsi="Garamond"/>
          <w:sz w:val="20"/>
          <w:szCs w:val="20"/>
          <w:lang w:val="es-MX"/>
        </w:rPr>
        <w:t>, se entiende a la familia como:</w:t>
      </w:r>
    </w:p>
    <w:p w14:paraId="14EA4BA9" w14:textId="28CDABAA" w:rsidR="00525D7E" w:rsidRPr="00525D7E" w:rsidRDefault="00525D7E" w:rsidP="00525D7E">
      <w:pPr>
        <w:spacing w:line="360" w:lineRule="auto"/>
        <w:jc w:val="both"/>
        <w:rPr>
          <w:rFonts w:ascii="Garamond" w:hAnsi="Garamond"/>
          <w:sz w:val="20"/>
          <w:szCs w:val="20"/>
          <w:lang w:val="es-MX"/>
        </w:rPr>
      </w:pPr>
      <w:r>
        <w:rPr>
          <w:rFonts w:ascii="Garamond" w:hAnsi="Garamond"/>
          <w:sz w:val="20"/>
          <w:szCs w:val="20"/>
          <w:lang w:val="es-MX"/>
        </w:rPr>
        <w:t>“</w:t>
      </w:r>
      <w:r w:rsidRPr="006E64C9">
        <w:rPr>
          <w:rFonts w:ascii="Garamond" w:hAnsi="Garamond"/>
          <w:i/>
          <w:sz w:val="20"/>
          <w:szCs w:val="20"/>
          <w:lang w:val="es-MX"/>
        </w:rPr>
        <w:t>Organizaciones sociales, construidas históricamente, constituidas por personas que se reconocen y son reconocidas en la diversidad de sus estructuras, arreglos, formas, relaciones, roles y subjetividades; las cuales están conformadas por grupos de dos o más personas de diferente o del mismo sexo, con hijos o sin ellos, unidas por una relación de parentesco por consanguinidad, afinidad, adopción o por afecto, en las que se establecen vínculos de apoyo emocional, económico, de cuidado o de afecto, que comparten domicilio, residencia o lugar de habitación de manera habitual y son sujetos colectivos de derecho</w:t>
      </w:r>
      <w:r w:rsidR="006E64C9">
        <w:rPr>
          <w:rStyle w:val="Refdenotaalpie"/>
          <w:rFonts w:ascii="Garamond" w:hAnsi="Garamond"/>
          <w:i/>
          <w:sz w:val="20"/>
          <w:szCs w:val="20"/>
          <w:lang w:val="es-MX"/>
        </w:rPr>
        <w:footnoteReference w:id="2"/>
      </w:r>
      <w:r w:rsidR="006E64C9">
        <w:rPr>
          <w:rFonts w:ascii="Garamond" w:hAnsi="Garamond"/>
          <w:i/>
          <w:sz w:val="20"/>
          <w:szCs w:val="20"/>
          <w:lang w:val="es-MX"/>
        </w:rPr>
        <w:t>”</w:t>
      </w:r>
    </w:p>
    <w:p w14:paraId="23D5DE65" w14:textId="6B739ED4" w:rsidR="00525D7E" w:rsidRDefault="00130F60" w:rsidP="00525D7E">
      <w:pPr>
        <w:spacing w:line="360" w:lineRule="auto"/>
        <w:jc w:val="both"/>
        <w:rPr>
          <w:rFonts w:ascii="Garamond" w:hAnsi="Garamond"/>
          <w:sz w:val="20"/>
          <w:szCs w:val="20"/>
          <w:lang w:val="es-MX"/>
        </w:rPr>
      </w:pPr>
      <w:r>
        <w:rPr>
          <w:rFonts w:ascii="Garamond" w:hAnsi="Garamond"/>
          <w:sz w:val="20"/>
          <w:szCs w:val="20"/>
          <w:lang w:val="es-MX"/>
        </w:rPr>
        <w:t>L</w:t>
      </w:r>
      <w:r w:rsidR="00DC7E8D">
        <w:rPr>
          <w:rFonts w:ascii="Garamond" w:hAnsi="Garamond"/>
          <w:sz w:val="20"/>
          <w:szCs w:val="20"/>
          <w:lang w:val="es-MX"/>
        </w:rPr>
        <w:t>o</w:t>
      </w:r>
      <w:r>
        <w:rPr>
          <w:rFonts w:ascii="Garamond" w:hAnsi="Garamond"/>
          <w:sz w:val="20"/>
          <w:szCs w:val="20"/>
          <w:lang w:val="es-MX"/>
        </w:rPr>
        <w:t xml:space="preserve"> que</w:t>
      </w:r>
      <w:r w:rsidR="00525D7E" w:rsidRPr="00525D7E">
        <w:rPr>
          <w:rFonts w:ascii="Garamond" w:hAnsi="Garamond"/>
          <w:sz w:val="20"/>
          <w:szCs w:val="20"/>
          <w:lang w:val="es-MX"/>
        </w:rPr>
        <w:t xml:space="preserve"> generó la necesidad de estudiar las dinámicas sociales, políticas, económicas y culturales desde enfoques diferenciales que muestren las realidades de </w:t>
      </w:r>
      <w:r w:rsidR="00C2563F">
        <w:rPr>
          <w:rFonts w:ascii="Garamond" w:hAnsi="Garamond"/>
          <w:sz w:val="20"/>
          <w:szCs w:val="20"/>
          <w:lang w:val="es-MX"/>
        </w:rPr>
        <w:t>las familias</w:t>
      </w:r>
      <w:r w:rsidR="00525D7E" w:rsidRPr="00525D7E">
        <w:rPr>
          <w:rFonts w:ascii="Garamond" w:hAnsi="Garamond"/>
          <w:sz w:val="20"/>
          <w:szCs w:val="20"/>
          <w:lang w:val="es-MX"/>
        </w:rPr>
        <w:t xml:space="preserve"> </w:t>
      </w:r>
      <w:r w:rsidR="00C2563F">
        <w:rPr>
          <w:rFonts w:ascii="Garamond" w:hAnsi="Garamond"/>
          <w:sz w:val="20"/>
          <w:szCs w:val="20"/>
          <w:lang w:val="es-MX"/>
        </w:rPr>
        <w:t>b</w:t>
      </w:r>
      <w:r w:rsidR="00525D7E" w:rsidRPr="00525D7E">
        <w:rPr>
          <w:rFonts w:ascii="Garamond" w:hAnsi="Garamond"/>
          <w:sz w:val="20"/>
          <w:szCs w:val="20"/>
          <w:lang w:val="es-MX"/>
        </w:rPr>
        <w:t>ogotanas.</w:t>
      </w:r>
      <w:r w:rsidR="00525D7E">
        <w:rPr>
          <w:rFonts w:ascii="Garamond" w:hAnsi="Garamond"/>
          <w:sz w:val="20"/>
          <w:szCs w:val="20"/>
          <w:lang w:val="es-MX"/>
        </w:rPr>
        <w:t xml:space="preserve"> </w:t>
      </w:r>
    </w:p>
    <w:p w14:paraId="20A34B60" w14:textId="259C3730" w:rsidR="006E64C9" w:rsidRDefault="0023517A" w:rsidP="00A16521">
      <w:pPr>
        <w:spacing w:line="360" w:lineRule="auto"/>
        <w:jc w:val="both"/>
        <w:rPr>
          <w:rFonts w:ascii="Garamond" w:hAnsi="Garamond"/>
          <w:sz w:val="20"/>
          <w:szCs w:val="20"/>
          <w:lang w:val="es-MX"/>
        </w:rPr>
      </w:pPr>
      <w:r w:rsidRPr="00357ECA">
        <w:rPr>
          <w:rFonts w:ascii="Garamond" w:hAnsi="Garamond"/>
          <w:sz w:val="20"/>
          <w:szCs w:val="20"/>
          <w:lang w:val="es-MX"/>
        </w:rPr>
        <w:t>L</w:t>
      </w:r>
      <w:r w:rsidR="00A16521" w:rsidRPr="00357ECA">
        <w:rPr>
          <w:rFonts w:ascii="Garamond" w:hAnsi="Garamond"/>
          <w:sz w:val="20"/>
          <w:szCs w:val="20"/>
          <w:lang w:val="es-MX"/>
        </w:rPr>
        <w:t xml:space="preserve">a información </w:t>
      </w:r>
      <w:r w:rsidRPr="00357ECA">
        <w:rPr>
          <w:rFonts w:ascii="Garamond" w:hAnsi="Garamond"/>
          <w:sz w:val="20"/>
          <w:szCs w:val="20"/>
          <w:lang w:val="es-MX"/>
        </w:rPr>
        <w:t xml:space="preserve">con la que se cuenta en la actualidad no es </w:t>
      </w:r>
      <w:r w:rsidR="00A16521" w:rsidRPr="00357ECA">
        <w:rPr>
          <w:rFonts w:ascii="Garamond" w:hAnsi="Garamond"/>
          <w:sz w:val="20"/>
          <w:szCs w:val="20"/>
          <w:lang w:val="es-MX"/>
        </w:rPr>
        <w:t xml:space="preserve">suficiente </w:t>
      </w:r>
      <w:r w:rsidRPr="00357ECA">
        <w:rPr>
          <w:rFonts w:ascii="Garamond" w:hAnsi="Garamond"/>
          <w:sz w:val="20"/>
          <w:szCs w:val="20"/>
          <w:lang w:val="es-MX"/>
        </w:rPr>
        <w:t xml:space="preserve">para cuantificar y </w:t>
      </w:r>
      <w:r w:rsidR="00D51EE2" w:rsidRPr="00357ECA">
        <w:rPr>
          <w:rFonts w:ascii="Garamond" w:hAnsi="Garamond"/>
          <w:sz w:val="20"/>
          <w:szCs w:val="20"/>
          <w:lang w:val="es-MX"/>
        </w:rPr>
        <w:t xml:space="preserve">hacer una clasificación de las formas familiares que </w:t>
      </w:r>
      <w:r w:rsidRPr="00357ECA">
        <w:rPr>
          <w:rFonts w:ascii="Garamond" w:hAnsi="Garamond"/>
          <w:sz w:val="20"/>
          <w:szCs w:val="20"/>
          <w:lang w:val="es-MX"/>
        </w:rPr>
        <w:t>predomina</w:t>
      </w:r>
      <w:r w:rsidR="00D51EE2" w:rsidRPr="00357ECA">
        <w:rPr>
          <w:rFonts w:ascii="Garamond" w:hAnsi="Garamond"/>
          <w:sz w:val="20"/>
          <w:szCs w:val="20"/>
          <w:lang w:val="es-MX"/>
        </w:rPr>
        <w:t xml:space="preserve">n </w:t>
      </w:r>
      <w:r w:rsidR="00D51EE2" w:rsidRPr="00357ECA">
        <w:rPr>
          <w:rFonts w:ascii="Garamond" w:hAnsi="Garamond"/>
          <w:sz w:val="20"/>
          <w:szCs w:val="20"/>
          <w:lang w:val="es-MX"/>
        </w:rPr>
        <w:lastRenderedPageBreak/>
        <w:t>en la realidad bogotana</w:t>
      </w:r>
      <w:r w:rsidRPr="00357ECA">
        <w:rPr>
          <w:rFonts w:ascii="Garamond" w:hAnsi="Garamond"/>
          <w:sz w:val="20"/>
          <w:szCs w:val="20"/>
          <w:lang w:val="es-MX"/>
        </w:rPr>
        <w:t>. Por esta razón es preciso recopila</w:t>
      </w:r>
      <w:r w:rsidR="006E64C9">
        <w:rPr>
          <w:rFonts w:ascii="Garamond" w:hAnsi="Garamond"/>
          <w:sz w:val="20"/>
          <w:szCs w:val="20"/>
          <w:lang w:val="es-MX"/>
        </w:rPr>
        <w:t>r</w:t>
      </w:r>
      <w:r w:rsidRPr="00357ECA">
        <w:rPr>
          <w:rFonts w:ascii="Garamond" w:hAnsi="Garamond"/>
          <w:sz w:val="20"/>
          <w:szCs w:val="20"/>
          <w:lang w:val="es-MX"/>
        </w:rPr>
        <w:t xml:space="preserve"> información </w:t>
      </w:r>
      <w:r w:rsidR="00E71202" w:rsidRPr="00357ECA">
        <w:rPr>
          <w:rFonts w:ascii="Garamond" w:hAnsi="Garamond"/>
          <w:sz w:val="20"/>
          <w:szCs w:val="20"/>
          <w:lang w:val="es-MX"/>
        </w:rPr>
        <w:t>con</w:t>
      </w:r>
      <w:r w:rsidRPr="00357ECA">
        <w:rPr>
          <w:rFonts w:ascii="Garamond" w:hAnsi="Garamond"/>
          <w:sz w:val="20"/>
          <w:szCs w:val="20"/>
          <w:lang w:val="es-MX"/>
        </w:rPr>
        <w:t xml:space="preserve"> fuente</w:t>
      </w:r>
      <w:r w:rsidR="00E71202" w:rsidRPr="00357ECA">
        <w:rPr>
          <w:rFonts w:ascii="Garamond" w:hAnsi="Garamond"/>
          <w:sz w:val="20"/>
          <w:szCs w:val="20"/>
          <w:lang w:val="es-MX"/>
        </w:rPr>
        <w:t>s primarias</w:t>
      </w:r>
      <w:r w:rsidRPr="00357ECA">
        <w:rPr>
          <w:rFonts w:ascii="Garamond" w:hAnsi="Garamond"/>
          <w:sz w:val="20"/>
          <w:szCs w:val="20"/>
          <w:lang w:val="es-MX"/>
        </w:rPr>
        <w:t xml:space="preserve"> que, con márgenes de error raz</w:t>
      </w:r>
      <w:r w:rsidR="00DC7E8D">
        <w:rPr>
          <w:rFonts w:ascii="Garamond" w:hAnsi="Garamond"/>
          <w:sz w:val="20"/>
          <w:szCs w:val="20"/>
          <w:lang w:val="es-MX"/>
        </w:rPr>
        <w:t xml:space="preserve">onables, permitan inferir sobre aspectos de interés para la política pública para </w:t>
      </w:r>
      <w:r w:rsidR="00C2563F">
        <w:rPr>
          <w:rFonts w:ascii="Garamond" w:hAnsi="Garamond"/>
          <w:sz w:val="20"/>
          <w:szCs w:val="20"/>
          <w:lang w:val="es-MX"/>
        </w:rPr>
        <w:t>las familias</w:t>
      </w:r>
      <w:r w:rsidR="00DC7E8D">
        <w:rPr>
          <w:rFonts w:ascii="Garamond" w:hAnsi="Garamond"/>
          <w:sz w:val="20"/>
          <w:szCs w:val="20"/>
          <w:lang w:val="es-MX"/>
        </w:rPr>
        <w:t xml:space="preserve"> a partir de la información de esta encuesta.</w:t>
      </w:r>
      <w:r w:rsidRPr="00357ECA">
        <w:rPr>
          <w:rFonts w:ascii="Garamond" w:hAnsi="Garamond"/>
          <w:sz w:val="20"/>
          <w:szCs w:val="20"/>
          <w:lang w:val="es-MX"/>
        </w:rPr>
        <w:t xml:space="preserve"> </w:t>
      </w:r>
    </w:p>
    <w:p w14:paraId="029DD799" w14:textId="596FF874" w:rsidR="00C010B7" w:rsidRPr="00357ECA" w:rsidRDefault="00DC7E8D" w:rsidP="00A16521">
      <w:pPr>
        <w:spacing w:line="360" w:lineRule="auto"/>
        <w:jc w:val="both"/>
        <w:rPr>
          <w:rFonts w:ascii="Garamond" w:hAnsi="Garamond"/>
          <w:sz w:val="20"/>
          <w:szCs w:val="20"/>
          <w:lang w:val="es-MX"/>
        </w:rPr>
      </w:pPr>
      <w:r>
        <w:rPr>
          <w:rFonts w:ascii="Garamond" w:hAnsi="Garamond"/>
          <w:sz w:val="20"/>
          <w:szCs w:val="20"/>
          <w:lang w:val="es-MX"/>
        </w:rPr>
        <w:t xml:space="preserve">Es importante destacar que </w:t>
      </w:r>
      <w:r w:rsidR="00C010B7" w:rsidRPr="00357ECA">
        <w:rPr>
          <w:rFonts w:ascii="Garamond" w:hAnsi="Garamond"/>
          <w:sz w:val="20"/>
          <w:szCs w:val="20"/>
          <w:lang w:val="es-MX"/>
        </w:rPr>
        <w:t xml:space="preserve">todos los estudios </w:t>
      </w:r>
      <w:r>
        <w:rPr>
          <w:rFonts w:ascii="Garamond" w:hAnsi="Garamond"/>
          <w:sz w:val="20"/>
          <w:szCs w:val="20"/>
          <w:lang w:val="es-MX"/>
        </w:rPr>
        <w:t xml:space="preserve">realizados </w:t>
      </w:r>
      <w:r w:rsidR="00C010B7" w:rsidRPr="00357ECA">
        <w:rPr>
          <w:rFonts w:ascii="Garamond" w:hAnsi="Garamond"/>
          <w:sz w:val="20"/>
          <w:szCs w:val="20"/>
          <w:lang w:val="es-MX"/>
        </w:rPr>
        <w:t xml:space="preserve">han considerado al </w:t>
      </w:r>
      <w:r w:rsidR="00C010B7" w:rsidRPr="00357ECA">
        <w:rPr>
          <w:rFonts w:ascii="Garamond" w:hAnsi="Garamond"/>
          <w:i/>
          <w:sz w:val="20"/>
          <w:szCs w:val="20"/>
          <w:lang w:val="es-MX"/>
        </w:rPr>
        <w:t>hogar</w:t>
      </w:r>
      <w:r w:rsidR="00C010B7" w:rsidRPr="00357ECA">
        <w:rPr>
          <w:rFonts w:ascii="Garamond" w:hAnsi="Garamond"/>
          <w:sz w:val="20"/>
          <w:szCs w:val="20"/>
          <w:lang w:val="es-MX"/>
        </w:rPr>
        <w:t xml:space="preserve"> como la unidad de </w:t>
      </w:r>
      <w:r w:rsidRPr="00357ECA">
        <w:rPr>
          <w:rFonts w:ascii="Garamond" w:hAnsi="Garamond"/>
          <w:sz w:val="20"/>
          <w:szCs w:val="20"/>
          <w:lang w:val="es-MX"/>
        </w:rPr>
        <w:t>muestreo,</w:t>
      </w:r>
      <w:r w:rsidR="00C010B7" w:rsidRPr="00357ECA">
        <w:rPr>
          <w:rFonts w:ascii="Garamond" w:hAnsi="Garamond"/>
          <w:sz w:val="20"/>
          <w:szCs w:val="20"/>
          <w:lang w:val="es-MX"/>
        </w:rPr>
        <w:t xml:space="preserve"> pero para </w:t>
      </w:r>
      <w:r w:rsidR="00791402" w:rsidRPr="00357ECA">
        <w:rPr>
          <w:rFonts w:ascii="Garamond" w:hAnsi="Garamond"/>
          <w:sz w:val="20"/>
          <w:szCs w:val="20"/>
          <w:lang w:val="es-MX"/>
        </w:rPr>
        <w:t>un</w:t>
      </w:r>
      <w:r w:rsidR="00C010B7" w:rsidRPr="00357ECA">
        <w:rPr>
          <w:rFonts w:ascii="Garamond" w:hAnsi="Garamond"/>
          <w:sz w:val="20"/>
          <w:szCs w:val="20"/>
          <w:lang w:val="es-MX"/>
        </w:rPr>
        <w:t xml:space="preserve"> acertado análisis debe </w:t>
      </w:r>
      <w:r>
        <w:rPr>
          <w:rFonts w:ascii="Garamond" w:hAnsi="Garamond"/>
          <w:sz w:val="20"/>
          <w:szCs w:val="20"/>
          <w:lang w:val="es-MX"/>
        </w:rPr>
        <w:t xml:space="preserve">entonces identificarse para estos hogares su conformación familiar y hacer un análisis a los </w:t>
      </w:r>
      <w:r w:rsidRPr="00DC7E8D">
        <w:rPr>
          <w:rFonts w:ascii="Garamond" w:hAnsi="Garamond"/>
          <w:i/>
          <w:sz w:val="20"/>
          <w:szCs w:val="20"/>
          <w:lang w:val="es-MX"/>
        </w:rPr>
        <w:t>hogares familiares</w:t>
      </w:r>
      <w:r w:rsidR="007E7DA8">
        <w:rPr>
          <w:rFonts w:ascii="Garamond" w:hAnsi="Garamond"/>
          <w:sz w:val="20"/>
          <w:szCs w:val="20"/>
          <w:lang w:val="es-MX"/>
        </w:rPr>
        <w:t xml:space="preserve"> para referirnos a </w:t>
      </w:r>
      <w:r w:rsidR="00B44EB1">
        <w:rPr>
          <w:rFonts w:ascii="Garamond" w:hAnsi="Garamond"/>
          <w:sz w:val="20"/>
          <w:szCs w:val="20"/>
          <w:lang w:val="es-MX"/>
        </w:rPr>
        <w:t>los hogares</w:t>
      </w:r>
      <w:r>
        <w:rPr>
          <w:rFonts w:ascii="Garamond" w:hAnsi="Garamond"/>
          <w:sz w:val="20"/>
          <w:szCs w:val="20"/>
          <w:lang w:val="es-MX"/>
        </w:rPr>
        <w:t xml:space="preserve"> como objeto de </w:t>
      </w:r>
      <w:r w:rsidR="007E7DA8">
        <w:rPr>
          <w:rFonts w:ascii="Garamond" w:hAnsi="Garamond"/>
          <w:sz w:val="20"/>
          <w:szCs w:val="20"/>
          <w:lang w:val="es-MX"/>
        </w:rPr>
        <w:t xml:space="preserve">este </w:t>
      </w:r>
      <w:r>
        <w:rPr>
          <w:rFonts w:ascii="Garamond" w:hAnsi="Garamond"/>
          <w:sz w:val="20"/>
          <w:szCs w:val="20"/>
          <w:lang w:val="es-MX"/>
        </w:rPr>
        <w:t>estudio.</w:t>
      </w:r>
    </w:p>
    <w:p w14:paraId="0A59BBD2" w14:textId="7869FB31" w:rsidR="006E64C9" w:rsidRPr="00357ECA" w:rsidRDefault="006E64C9" w:rsidP="006E64C9">
      <w:pPr>
        <w:spacing w:line="360" w:lineRule="auto"/>
        <w:jc w:val="both"/>
        <w:rPr>
          <w:rFonts w:ascii="Garamond" w:hAnsi="Garamond"/>
          <w:sz w:val="20"/>
          <w:szCs w:val="20"/>
          <w:lang w:val="es-MX"/>
        </w:rPr>
      </w:pPr>
      <w:r w:rsidRPr="00357ECA">
        <w:rPr>
          <w:rFonts w:ascii="Garamond" w:hAnsi="Garamond"/>
          <w:sz w:val="20"/>
          <w:szCs w:val="20"/>
          <w:lang w:val="es-MX"/>
        </w:rPr>
        <w:t>En ese sentido la Secretaría de Planeación Distrital creó un formulario que</w:t>
      </w:r>
      <w:r>
        <w:rPr>
          <w:rFonts w:ascii="Garamond" w:hAnsi="Garamond"/>
          <w:sz w:val="20"/>
          <w:szCs w:val="20"/>
          <w:lang w:val="es-MX"/>
        </w:rPr>
        <w:t xml:space="preserve"> se</w:t>
      </w:r>
      <w:r w:rsidRPr="00357ECA">
        <w:rPr>
          <w:rFonts w:ascii="Garamond" w:hAnsi="Garamond"/>
          <w:sz w:val="20"/>
          <w:szCs w:val="20"/>
          <w:lang w:val="es-MX"/>
        </w:rPr>
        <w:t xml:space="preserve"> aplicó a 7</w:t>
      </w:r>
      <w:r>
        <w:rPr>
          <w:rFonts w:ascii="Garamond" w:hAnsi="Garamond"/>
          <w:sz w:val="20"/>
          <w:szCs w:val="20"/>
          <w:lang w:val="es-MX"/>
        </w:rPr>
        <w:t>.</w:t>
      </w:r>
      <w:r w:rsidR="00B943CF">
        <w:rPr>
          <w:rFonts w:ascii="Garamond" w:hAnsi="Garamond"/>
          <w:sz w:val="20"/>
          <w:szCs w:val="20"/>
          <w:lang w:val="es-MX"/>
        </w:rPr>
        <w:t>4</w:t>
      </w:r>
      <w:r w:rsidRPr="00357ECA">
        <w:rPr>
          <w:rFonts w:ascii="Garamond" w:hAnsi="Garamond"/>
          <w:sz w:val="20"/>
          <w:szCs w:val="20"/>
          <w:lang w:val="es-MX"/>
        </w:rPr>
        <w:t xml:space="preserve">20 </w:t>
      </w:r>
      <w:r w:rsidR="008163B7">
        <w:rPr>
          <w:rFonts w:ascii="Garamond" w:hAnsi="Garamond"/>
          <w:sz w:val="20"/>
          <w:szCs w:val="20"/>
          <w:lang w:val="es-MX"/>
        </w:rPr>
        <w:t xml:space="preserve">personas que responden a nombre de sus </w:t>
      </w:r>
      <w:r w:rsidR="00C2563F">
        <w:rPr>
          <w:rFonts w:ascii="Garamond" w:hAnsi="Garamond"/>
          <w:sz w:val="20"/>
          <w:szCs w:val="20"/>
          <w:lang w:val="es-MX"/>
        </w:rPr>
        <w:t>familias</w:t>
      </w:r>
      <w:r w:rsidR="008163B7">
        <w:rPr>
          <w:rFonts w:ascii="Garamond" w:hAnsi="Garamond"/>
          <w:sz w:val="20"/>
          <w:szCs w:val="20"/>
          <w:lang w:val="es-MX"/>
        </w:rPr>
        <w:t>, en l</w:t>
      </w:r>
      <w:r w:rsidRPr="00357ECA">
        <w:rPr>
          <w:rFonts w:ascii="Garamond" w:hAnsi="Garamond"/>
          <w:sz w:val="20"/>
          <w:szCs w:val="20"/>
          <w:lang w:val="es-MX"/>
        </w:rPr>
        <w:t xml:space="preserve">a capital en zona urbana y </w:t>
      </w:r>
      <w:r w:rsidR="00C4181F">
        <w:rPr>
          <w:rFonts w:ascii="Garamond" w:hAnsi="Garamond"/>
          <w:sz w:val="20"/>
          <w:szCs w:val="20"/>
          <w:lang w:val="es-MX"/>
        </w:rPr>
        <w:t>rural</w:t>
      </w:r>
      <w:r w:rsidRPr="00357ECA">
        <w:rPr>
          <w:rFonts w:ascii="Garamond" w:hAnsi="Garamond"/>
          <w:sz w:val="20"/>
          <w:szCs w:val="20"/>
          <w:lang w:val="es-MX"/>
        </w:rPr>
        <w:t xml:space="preserve">. </w:t>
      </w:r>
    </w:p>
    <w:p w14:paraId="00E0AE06" w14:textId="65E61B81" w:rsidR="00C440BB" w:rsidRPr="00357ECA" w:rsidRDefault="00C010B7" w:rsidP="0045711D">
      <w:pPr>
        <w:spacing w:line="360" w:lineRule="auto"/>
        <w:jc w:val="both"/>
        <w:rPr>
          <w:rFonts w:ascii="Garamond" w:hAnsi="Garamond"/>
          <w:sz w:val="20"/>
          <w:szCs w:val="20"/>
          <w:lang w:val="es-MX"/>
        </w:rPr>
      </w:pPr>
      <w:r w:rsidRPr="00357ECA">
        <w:rPr>
          <w:rFonts w:ascii="Garamond" w:hAnsi="Garamond"/>
          <w:sz w:val="20"/>
          <w:szCs w:val="20"/>
          <w:lang w:val="es-MX"/>
        </w:rPr>
        <w:t>En la encuesta a</w:t>
      </w:r>
      <w:r w:rsidR="0045711D" w:rsidRPr="00357ECA">
        <w:rPr>
          <w:rFonts w:ascii="Garamond" w:hAnsi="Garamond"/>
          <w:sz w:val="20"/>
          <w:szCs w:val="20"/>
          <w:lang w:val="es-MX"/>
        </w:rPr>
        <w:t>demás de las condiciones socioeconómicas</w:t>
      </w:r>
      <w:r w:rsidR="00DD5DB3" w:rsidRPr="00357ECA">
        <w:rPr>
          <w:rFonts w:ascii="Garamond" w:hAnsi="Garamond"/>
          <w:sz w:val="20"/>
          <w:szCs w:val="20"/>
          <w:lang w:val="es-MX"/>
        </w:rPr>
        <w:t>,</w:t>
      </w:r>
      <w:r w:rsidR="0045711D" w:rsidRPr="00357ECA">
        <w:rPr>
          <w:rFonts w:ascii="Garamond" w:hAnsi="Garamond"/>
          <w:sz w:val="20"/>
          <w:szCs w:val="20"/>
          <w:lang w:val="es-MX"/>
        </w:rPr>
        <w:t xml:space="preserve"> el formulario tuvo como propósito fundamental indagar por la </w:t>
      </w:r>
      <w:r w:rsidR="00DC7E8D">
        <w:rPr>
          <w:rFonts w:ascii="Garamond" w:hAnsi="Garamond"/>
          <w:sz w:val="20"/>
          <w:szCs w:val="20"/>
          <w:lang w:val="es-MX"/>
        </w:rPr>
        <w:t>conformación familiar, entre otros aspectos, como</w:t>
      </w:r>
      <w:r w:rsidR="0045711D" w:rsidRPr="00357ECA">
        <w:rPr>
          <w:rFonts w:ascii="Garamond" w:hAnsi="Garamond"/>
          <w:sz w:val="20"/>
          <w:szCs w:val="20"/>
          <w:lang w:val="es-MX"/>
        </w:rPr>
        <w:t xml:space="preserve"> la forma en la que se confor</w:t>
      </w:r>
      <w:r w:rsidR="00DC7E8D">
        <w:rPr>
          <w:rFonts w:ascii="Garamond" w:hAnsi="Garamond"/>
          <w:sz w:val="20"/>
          <w:szCs w:val="20"/>
          <w:lang w:val="es-MX"/>
        </w:rPr>
        <w:t xml:space="preserve">mó la familia y su composición. Este boletín se centra en presentar los resultados del análisis de la Encaf para las preguntas relacionados con la conformación familiar de los hogares </w:t>
      </w:r>
      <w:r w:rsidR="00C2563F">
        <w:rPr>
          <w:rFonts w:ascii="Garamond" w:hAnsi="Garamond"/>
          <w:sz w:val="20"/>
          <w:szCs w:val="20"/>
          <w:lang w:val="es-MX"/>
        </w:rPr>
        <w:t xml:space="preserve">familiares </w:t>
      </w:r>
      <w:r w:rsidR="00DC7E8D">
        <w:rPr>
          <w:rFonts w:ascii="Garamond" w:hAnsi="Garamond"/>
          <w:sz w:val="20"/>
          <w:szCs w:val="20"/>
          <w:lang w:val="es-MX"/>
        </w:rPr>
        <w:t>encuestados.</w:t>
      </w:r>
    </w:p>
    <w:p w14:paraId="4DE220F0" w14:textId="77777777" w:rsidR="00C440BB" w:rsidRPr="00357ECA" w:rsidRDefault="00C440BB">
      <w:pPr>
        <w:rPr>
          <w:rFonts w:asciiTheme="majorHAnsi" w:eastAsiaTheme="majorEastAsia" w:hAnsiTheme="majorHAnsi" w:cstheme="majorBidi"/>
          <w:color w:val="365F91" w:themeColor="accent1" w:themeShade="BF"/>
          <w:sz w:val="20"/>
          <w:szCs w:val="20"/>
          <w:lang w:val="es-MX"/>
        </w:rPr>
      </w:pPr>
      <w:r w:rsidRPr="00357ECA">
        <w:rPr>
          <w:sz w:val="20"/>
          <w:szCs w:val="20"/>
          <w:lang w:val="es-MX"/>
        </w:rPr>
        <w:br w:type="page"/>
      </w:r>
    </w:p>
    <w:p w14:paraId="43B73B8E" w14:textId="08237965" w:rsidR="00C440BB" w:rsidRPr="003073BE" w:rsidRDefault="00C440BB" w:rsidP="00C440BB">
      <w:pPr>
        <w:pStyle w:val="Ttulo1"/>
        <w:rPr>
          <w:szCs w:val="20"/>
          <w:lang w:val="es-MX"/>
        </w:rPr>
      </w:pPr>
      <w:r w:rsidRPr="003073BE">
        <w:rPr>
          <w:szCs w:val="20"/>
          <w:lang w:val="es-MX"/>
        </w:rPr>
        <w:lastRenderedPageBreak/>
        <w:t xml:space="preserve">Análisis de la Encuesta para </w:t>
      </w:r>
      <w:r w:rsidR="00C2563F">
        <w:rPr>
          <w:szCs w:val="20"/>
          <w:lang w:val="es-MX"/>
        </w:rPr>
        <w:t>familias</w:t>
      </w:r>
      <w:r w:rsidRPr="003073BE">
        <w:rPr>
          <w:szCs w:val="20"/>
          <w:lang w:val="es-MX"/>
        </w:rPr>
        <w:t xml:space="preserve"> del Distrito</w:t>
      </w:r>
      <w:r w:rsidR="009F1B6A" w:rsidRPr="003073BE">
        <w:rPr>
          <w:szCs w:val="20"/>
          <w:lang w:val="es-MX"/>
        </w:rPr>
        <w:t>, información</w:t>
      </w:r>
      <w:r w:rsidR="00C4181F">
        <w:rPr>
          <w:szCs w:val="20"/>
          <w:lang w:val="es-MX"/>
        </w:rPr>
        <w:t xml:space="preserve"> de</w:t>
      </w:r>
      <w:r w:rsidR="009F1B6A" w:rsidRPr="003073BE">
        <w:rPr>
          <w:szCs w:val="20"/>
          <w:lang w:val="es-MX"/>
        </w:rPr>
        <w:t xml:space="preserve"> </w:t>
      </w:r>
      <w:r w:rsidR="00C4181F" w:rsidRPr="00835D05">
        <w:rPr>
          <w:b/>
          <w:i/>
          <w:lang w:val="es-MX"/>
        </w:rPr>
        <w:t>conformación familiar</w:t>
      </w:r>
      <w:r w:rsidR="00B44EB1">
        <w:rPr>
          <w:b/>
          <w:i/>
          <w:lang w:val="es-MX"/>
        </w:rPr>
        <w:t xml:space="preserve"> de los hogares bogotanos</w:t>
      </w:r>
    </w:p>
    <w:p w14:paraId="6EA47128" w14:textId="77777777" w:rsidR="006E64C9" w:rsidRDefault="006E64C9" w:rsidP="00A16521">
      <w:pPr>
        <w:spacing w:line="360" w:lineRule="auto"/>
        <w:jc w:val="both"/>
        <w:rPr>
          <w:rFonts w:ascii="Garamond" w:hAnsi="Garamond"/>
          <w:sz w:val="20"/>
          <w:szCs w:val="20"/>
          <w:lang w:val="es-MX"/>
        </w:rPr>
      </w:pPr>
    </w:p>
    <w:p w14:paraId="05CC8EC4" w14:textId="1D675C07" w:rsidR="00C2563F" w:rsidRDefault="00C2563F" w:rsidP="00C2563F">
      <w:pPr>
        <w:pStyle w:val="Ttulo2"/>
        <w:rPr>
          <w:lang w:val="es-MX"/>
        </w:rPr>
      </w:pPr>
      <w:r>
        <w:rPr>
          <w:lang w:val="es-MX"/>
        </w:rPr>
        <w:t>¿Qué es la Familia?</w:t>
      </w:r>
    </w:p>
    <w:p w14:paraId="6F91D8B6" w14:textId="69BFFFFD" w:rsidR="00F446E7" w:rsidRDefault="00C440BB" w:rsidP="00A16521">
      <w:pPr>
        <w:spacing w:line="360" w:lineRule="auto"/>
        <w:jc w:val="both"/>
        <w:rPr>
          <w:rFonts w:ascii="Garamond" w:hAnsi="Garamond"/>
          <w:sz w:val="20"/>
          <w:szCs w:val="20"/>
          <w:lang w:val="es-MX"/>
        </w:rPr>
      </w:pPr>
      <w:r w:rsidRPr="00357ECA">
        <w:rPr>
          <w:rFonts w:ascii="Garamond" w:hAnsi="Garamond"/>
          <w:sz w:val="20"/>
          <w:szCs w:val="20"/>
          <w:lang w:val="es-MX"/>
        </w:rPr>
        <w:t>Con base en la información obtenida con</w:t>
      </w:r>
      <w:r w:rsidR="00B020A0" w:rsidRPr="00357ECA">
        <w:rPr>
          <w:rFonts w:ascii="Garamond" w:hAnsi="Garamond"/>
          <w:sz w:val="20"/>
          <w:szCs w:val="20"/>
          <w:lang w:val="es-MX"/>
        </w:rPr>
        <w:t xml:space="preserve"> la aplicación de la encuesta</w:t>
      </w:r>
      <w:r w:rsidR="00D06392">
        <w:rPr>
          <w:rFonts w:ascii="Garamond" w:hAnsi="Garamond"/>
          <w:sz w:val="20"/>
          <w:szCs w:val="20"/>
          <w:lang w:val="es-MX"/>
        </w:rPr>
        <w:t xml:space="preserve"> a personas mayores de edad que afirmaron responder en nombre de sus </w:t>
      </w:r>
      <w:r w:rsidR="00C2563F">
        <w:rPr>
          <w:rFonts w:ascii="Garamond" w:hAnsi="Garamond"/>
          <w:sz w:val="20"/>
          <w:szCs w:val="20"/>
          <w:lang w:val="es-MX"/>
        </w:rPr>
        <w:t>familias</w:t>
      </w:r>
      <w:r w:rsidR="00997D6D">
        <w:rPr>
          <w:rStyle w:val="Refdenotaalpie"/>
          <w:rFonts w:ascii="Garamond" w:hAnsi="Garamond"/>
          <w:sz w:val="20"/>
          <w:szCs w:val="20"/>
          <w:lang w:val="es-MX"/>
        </w:rPr>
        <w:footnoteReference w:id="3"/>
      </w:r>
      <w:r w:rsidR="00F446E7">
        <w:rPr>
          <w:rFonts w:ascii="Garamond" w:hAnsi="Garamond"/>
          <w:sz w:val="20"/>
          <w:szCs w:val="20"/>
          <w:lang w:val="es-MX"/>
        </w:rPr>
        <w:t>,</w:t>
      </w:r>
      <w:r w:rsidR="00B020A0" w:rsidRPr="00357ECA">
        <w:rPr>
          <w:rFonts w:ascii="Garamond" w:hAnsi="Garamond"/>
          <w:sz w:val="20"/>
          <w:szCs w:val="20"/>
          <w:lang w:val="es-MX"/>
        </w:rPr>
        <w:t xml:space="preserve"> </w:t>
      </w:r>
      <w:r w:rsidR="006E64C9">
        <w:rPr>
          <w:rFonts w:ascii="Garamond" w:hAnsi="Garamond"/>
          <w:sz w:val="20"/>
          <w:szCs w:val="20"/>
          <w:lang w:val="es-MX"/>
        </w:rPr>
        <w:t xml:space="preserve">se presentan a continuación los resultados relacionados la información </w:t>
      </w:r>
      <w:r w:rsidR="001C5641">
        <w:rPr>
          <w:rFonts w:ascii="Garamond" w:hAnsi="Garamond"/>
          <w:sz w:val="20"/>
          <w:szCs w:val="20"/>
          <w:lang w:val="es-MX"/>
        </w:rPr>
        <w:t>de tipología y conformación familiar.</w:t>
      </w:r>
    </w:p>
    <w:p w14:paraId="73CDD169" w14:textId="05F08F12" w:rsidR="00AC3467" w:rsidRDefault="00EC6CB5" w:rsidP="00940794">
      <w:pPr>
        <w:spacing w:line="360" w:lineRule="auto"/>
        <w:jc w:val="both"/>
        <w:rPr>
          <w:rFonts w:ascii="Garamond" w:hAnsi="Garamond"/>
          <w:sz w:val="20"/>
          <w:szCs w:val="20"/>
          <w:lang w:val="es-MX"/>
        </w:rPr>
      </w:pPr>
      <w:r w:rsidRPr="00357ECA">
        <w:rPr>
          <w:rFonts w:ascii="Garamond" w:hAnsi="Garamond"/>
          <w:sz w:val="20"/>
          <w:szCs w:val="20"/>
          <w:lang w:val="es-MX"/>
        </w:rPr>
        <w:t>En total los 7</w:t>
      </w:r>
      <w:r w:rsidR="00412EC6">
        <w:rPr>
          <w:rFonts w:ascii="Garamond" w:hAnsi="Garamond"/>
          <w:sz w:val="20"/>
          <w:szCs w:val="20"/>
          <w:lang w:val="es-MX"/>
        </w:rPr>
        <w:t>.</w:t>
      </w:r>
      <w:r w:rsidRPr="00357ECA">
        <w:rPr>
          <w:rFonts w:ascii="Garamond" w:hAnsi="Garamond"/>
          <w:sz w:val="20"/>
          <w:szCs w:val="20"/>
          <w:lang w:val="es-MX"/>
        </w:rPr>
        <w:t>420 formularios aplicados</w:t>
      </w:r>
      <w:r w:rsidR="00357ECA">
        <w:rPr>
          <w:rFonts w:ascii="Garamond" w:hAnsi="Garamond"/>
          <w:sz w:val="20"/>
          <w:szCs w:val="20"/>
          <w:lang w:val="es-MX"/>
        </w:rPr>
        <w:t xml:space="preserve"> </w:t>
      </w:r>
      <w:r w:rsidRPr="00357ECA">
        <w:rPr>
          <w:rFonts w:ascii="Garamond" w:hAnsi="Garamond"/>
          <w:sz w:val="20"/>
          <w:szCs w:val="20"/>
          <w:lang w:val="es-MX"/>
        </w:rPr>
        <w:t xml:space="preserve">representan </w:t>
      </w:r>
      <w:r w:rsidR="00412EC6">
        <w:rPr>
          <w:rFonts w:ascii="Garamond" w:hAnsi="Garamond"/>
          <w:sz w:val="20"/>
          <w:szCs w:val="20"/>
          <w:lang w:val="es-MX"/>
        </w:rPr>
        <w:t xml:space="preserve">un estimado de </w:t>
      </w:r>
      <w:r w:rsidRPr="00357ECA">
        <w:rPr>
          <w:rFonts w:ascii="Garamond" w:hAnsi="Garamond"/>
          <w:sz w:val="20"/>
          <w:szCs w:val="20"/>
          <w:lang w:val="es-MX"/>
        </w:rPr>
        <w:t xml:space="preserve">2.671.293 </w:t>
      </w:r>
      <w:r w:rsidR="00B44EB1">
        <w:rPr>
          <w:rFonts w:ascii="Garamond" w:hAnsi="Garamond"/>
          <w:sz w:val="20"/>
          <w:szCs w:val="20"/>
          <w:lang w:val="es-MX"/>
        </w:rPr>
        <w:t>hogares</w:t>
      </w:r>
      <w:r w:rsidRPr="00357ECA">
        <w:rPr>
          <w:rFonts w:ascii="Garamond" w:hAnsi="Garamond"/>
          <w:sz w:val="20"/>
          <w:szCs w:val="20"/>
          <w:lang w:val="es-MX"/>
        </w:rPr>
        <w:t xml:space="preserve"> de Bogot</w:t>
      </w:r>
      <w:r w:rsidR="00357ECA" w:rsidRPr="00357ECA">
        <w:rPr>
          <w:rFonts w:ascii="Garamond" w:hAnsi="Garamond"/>
          <w:sz w:val="20"/>
          <w:szCs w:val="20"/>
          <w:lang w:val="es-MX"/>
        </w:rPr>
        <w:t>á</w:t>
      </w:r>
      <w:r w:rsidR="00AC3467">
        <w:rPr>
          <w:rFonts w:ascii="Garamond" w:hAnsi="Garamond"/>
          <w:sz w:val="20"/>
          <w:szCs w:val="20"/>
          <w:lang w:val="es-MX"/>
        </w:rPr>
        <w:t>.</w:t>
      </w:r>
    </w:p>
    <w:p w14:paraId="73CFF009" w14:textId="26DAA663" w:rsidR="00AC3467" w:rsidRDefault="009C1A09" w:rsidP="00940794">
      <w:pPr>
        <w:spacing w:line="360" w:lineRule="auto"/>
        <w:jc w:val="both"/>
        <w:rPr>
          <w:rFonts w:ascii="Garamond" w:hAnsi="Garamond"/>
          <w:sz w:val="20"/>
          <w:szCs w:val="20"/>
          <w:lang w:val="es-MX"/>
        </w:rPr>
      </w:pPr>
      <w:r>
        <w:rPr>
          <w:rFonts w:ascii="Garamond" w:hAnsi="Garamond"/>
          <w:sz w:val="20"/>
          <w:szCs w:val="20"/>
          <w:lang w:val="es-MX"/>
        </w:rPr>
        <w:t>A esto</w:t>
      </w:r>
      <w:r w:rsidR="00AC3467">
        <w:rPr>
          <w:rFonts w:ascii="Garamond" w:hAnsi="Garamond"/>
          <w:sz w:val="20"/>
          <w:szCs w:val="20"/>
          <w:lang w:val="es-MX"/>
        </w:rPr>
        <w:t xml:space="preserve">s </w:t>
      </w:r>
      <w:r w:rsidR="00B44EB1">
        <w:rPr>
          <w:rFonts w:ascii="Garamond" w:hAnsi="Garamond"/>
          <w:sz w:val="20"/>
          <w:szCs w:val="20"/>
          <w:lang w:val="es-MX"/>
        </w:rPr>
        <w:t>hogares</w:t>
      </w:r>
      <w:r w:rsidR="00AC3467">
        <w:rPr>
          <w:rFonts w:ascii="Garamond" w:hAnsi="Garamond"/>
          <w:sz w:val="20"/>
          <w:szCs w:val="20"/>
          <w:lang w:val="es-MX"/>
        </w:rPr>
        <w:t xml:space="preserve"> </w:t>
      </w:r>
      <w:r w:rsidR="00870BEF">
        <w:rPr>
          <w:rFonts w:ascii="Garamond" w:hAnsi="Garamond"/>
          <w:sz w:val="20"/>
          <w:szCs w:val="20"/>
          <w:lang w:val="es-MX"/>
        </w:rPr>
        <w:t>se les presentaron diferentes frases de un listado, con el fin de que escogieran las que consideraran mejor responde a ¿qué es familia? Frente a lo cual</w:t>
      </w:r>
      <w:r w:rsidR="00940794">
        <w:rPr>
          <w:rFonts w:ascii="Garamond" w:hAnsi="Garamond"/>
          <w:sz w:val="20"/>
          <w:szCs w:val="20"/>
          <w:lang w:val="es-MX"/>
        </w:rPr>
        <w:t xml:space="preserve"> el 53,4% (1.426.564) </w:t>
      </w:r>
      <w:r w:rsidR="00870BEF">
        <w:rPr>
          <w:rFonts w:ascii="Garamond" w:hAnsi="Garamond"/>
          <w:sz w:val="20"/>
          <w:szCs w:val="20"/>
          <w:lang w:val="es-MX"/>
        </w:rPr>
        <w:t xml:space="preserve">de </w:t>
      </w:r>
      <w:r w:rsidR="00B44EB1">
        <w:rPr>
          <w:rFonts w:ascii="Garamond" w:hAnsi="Garamond"/>
          <w:sz w:val="20"/>
          <w:szCs w:val="20"/>
          <w:lang w:val="es-MX"/>
        </w:rPr>
        <w:t>los hogares</w:t>
      </w:r>
      <w:r w:rsidR="00870BEF">
        <w:rPr>
          <w:rFonts w:ascii="Garamond" w:hAnsi="Garamond"/>
          <w:sz w:val="20"/>
          <w:szCs w:val="20"/>
          <w:lang w:val="es-MX"/>
        </w:rPr>
        <w:t xml:space="preserve"> </w:t>
      </w:r>
      <w:r w:rsidR="00C2563F">
        <w:rPr>
          <w:rFonts w:ascii="Garamond" w:hAnsi="Garamond"/>
          <w:sz w:val="20"/>
          <w:szCs w:val="20"/>
          <w:lang w:val="es-MX"/>
        </w:rPr>
        <w:t xml:space="preserve">familiares </w:t>
      </w:r>
      <w:r w:rsidR="00940794">
        <w:rPr>
          <w:rFonts w:ascii="Garamond" w:hAnsi="Garamond"/>
          <w:sz w:val="20"/>
          <w:szCs w:val="20"/>
          <w:lang w:val="es-MX"/>
        </w:rPr>
        <w:t xml:space="preserve">se identificaron con la frase </w:t>
      </w:r>
      <w:r w:rsidR="00940794">
        <w:rPr>
          <w:rFonts w:ascii="Garamond" w:hAnsi="Garamond"/>
          <w:i/>
          <w:sz w:val="20"/>
          <w:szCs w:val="20"/>
          <w:lang w:val="es-MX"/>
        </w:rPr>
        <w:t>“</w:t>
      </w:r>
      <w:r w:rsidR="00940794" w:rsidRPr="00940794">
        <w:rPr>
          <w:rFonts w:ascii="Garamond" w:hAnsi="Garamond"/>
          <w:i/>
          <w:sz w:val="20"/>
          <w:szCs w:val="20"/>
          <w:lang w:val="es-MX"/>
        </w:rPr>
        <w:t>El primer lugar en donde se aprenden valores y principios que servirán para la vida</w:t>
      </w:r>
      <w:r w:rsidR="00940794">
        <w:rPr>
          <w:rFonts w:ascii="Garamond" w:hAnsi="Garamond"/>
          <w:i/>
          <w:sz w:val="20"/>
          <w:szCs w:val="20"/>
          <w:lang w:val="es-MX"/>
        </w:rPr>
        <w:t>”</w:t>
      </w:r>
      <w:r w:rsidR="00AC3467">
        <w:rPr>
          <w:rFonts w:ascii="Garamond" w:hAnsi="Garamond"/>
          <w:sz w:val="20"/>
          <w:szCs w:val="20"/>
          <w:lang w:val="es-MX"/>
        </w:rPr>
        <w:t>. Complementariamente,</w:t>
      </w:r>
      <w:r w:rsidR="00940794">
        <w:rPr>
          <w:rFonts w:ascii="Garamond" w:hAnsi="Garamond"/>
          <w:sz w:val="20"/>
          <w:szCs w:val="20"/>
          <w:lang w:val="es-MX"/>
        </w:rPr>
        <w:t xml:space="preserve"> el 34,4% de </w:t>
      </w:r>
      <w:r w:rsidR="00B44EB1">
        <w:rPr>
          <w:rFonts w:ascii="Garamond" w:hAnsi="Garamond"/>
          <w:sz w:val="20"/>
          <w:szCs w:val="20"/>
          <w:lang w:val="es-MX"/>
        </w:rPr>
        <w:t>los hogares</w:t>
      </w:r>
      <w:r w:rsidR="00940794">
        <w:rPr>
          <w:rFonts w:ascii="Garamond" w:hAnsi="Garamond"/>
          <w:sz w:val="20"/>
          <w:szCs w:val="20"/>
          <w:lang w:val="es-MX"/>
        </w:rPr>
        <w:t xml:space="preserve"> se identificaron también con la frase </w:t>
      </w:r>
      <w:r w:rsidR="00940794" w:rsidRPr="00940794">
        <w:rPr>
          <w:rFonts w:ascii="Garamond" w:hAnsi="Garamond"/>
          <w:i/>
          <w:sz w:val="20"/>
          <w:szCs w:val="20"/>
          <w:lang w:val="es-MX"/>
        </w:rPr>
        <w:t>“Espacio de relaciones donde se construye el afecto y la autonomía de sus integrantes”</w:t>
      </w:r>
      <w:r w:rsidR="00870BEF">
        <w:rPr>
          <w:rFonts w:ascii="Garamond" w:hAnsi="Garamond"/>
          <w:sz w:val="20"/>
          <w:szCs w:val="20"/>
          <w:lang w:val="es-MX"/>
        </w:rPr>
        <w:t xml:space="preserve">, así mismo, el 22,9% </w:t>
      </w:r>
      <w:r w:rsidR="00AC3467">
        <w:rPr>
          <w:rFonts w:ascii="Garamond" w:hAnsi="Garamond"/>
          <w:sz w:val="20"/>
          <w:szCs w:val="20"/>
          <w:lang w:val="es-MX"/>
        </w:rPr>
        <w:t>escogieron</w:t>
      </w:r>
      <w:r w:rsidR="00940794">
        <w:rPr>
          <w:rFonts w:ascii="Garamond" w:hAnsi="Garamond"/>
          <w:sz w:val="20"/>
          <w:szCs w:val="20"/>
          <w:lang w:val="es-MX"/>
        </w:rPr>
        <w:t xml:space="preserve"> la frase </w:t>
      </w:r>
      <w:r w:rsidR="00940794" w:rsidRPr="00AC69E9">
        <w:rPr>
          <w:rFonts w:ascii="Garamond" w:hAnsi="Garamond"/>
          <w:i/>
          <w:sz w:val="20"/>
          <w:szCs w:val="20"/>
          <w:lang w:val="es-MX"/>
        </w:rPr>
        <w:t>“El núcleo de la sociedad”</w:t>
      </w:r>
      <w:r w:rsidR="00940794">
        <w:rPr>
          <w:rFonts w:ascii="Garamond" w:hAnsi="Garamond"/>
          <w:sz w:val="20"/>
          <w:szCs w:val="20"/>
          <w:lang w:val="es-MX"/>
        </w:rPr>
        <w:t xml:space="preserve"> y</w:t>
      </w:r>
      <w:r w:rsidR="00870BEF">
        <w:rPr>
          <w:rFonts w:ascii="Garamond" w:hAnsi="Garamond"/>
          <w:sz w:val="20"/>
          <w:szCs w:val="20"/>
          <w:lang w:val="es-MX"/>
        </w:rPr>
        <w:t xml:space="preserve"> el 22,5% seleccionaron la frase </w:t>
      </w:r>
      <w:r w:rsidR="00870BEF" w:rsidRPr="00870BEF">
        <w:rPr>
          <w:rFonts w:ascii="Garamond" w:hAnsi="Garamond"/>
          <w:i/>
          <w:sz w:val="20"/>
          <w:szCs w:val="20"/>
          <w:lang w:val="es-MX"/>
        </w:rPr>
        <w:t>“Núcleo de la sociedad formado por: padre, madre e hijos”</w:t>
      </w:r>
      <w:r w:rsidR="00870BEF">
        <w:rPr>
          <w:rFonts w:ascii="Garamond" w:hAnsi="Garamond"/>
          <w:sz w:val="20"/>
          <w:szCs w:val="20"/>
          <w:lang w:val="es-MX"/>
        </w:rPr>
        <w:t>.</w:t>
      </w:r>
      <w:r w:rsidR="00940794">
        <w:rPr>
          <w:rFonts w:ascii="Garamond" w:hAnsi="Garamond"/>
          <w:sz w:val="20"/>
          <w:szCs w:val="20"/>
          <w:lang w:val="es-MX"/>
        </w:rPr>
        <w:t xml:space="preserve"> </w:t>
      </w:r>
    </w:p>
    <w:p w14:paraId="7BB1422E" w14:textId="11FAC6C2" w:rsidR="00940794" w:rsidRPr="00357ECA" w:rsidRDefault="00940794" w:rsidP="00A16521">
      <w:pPr>
        <w:spacing w:line="360" w:lineRule="auto"/>
        <w:jc w:val="both"/>
        <w:rPr>
          <w:rFonts w:ascii="Garamond" w:hAnsi="Garamond"/>
          <w:sz w:val="20"/>
          <w:szCs w:val="20"/>
          <w:lang w:val="es-MX"/>
        </w:rPr>
      </w:pPr>
      <w:r>
        <w:rPr>
          <w:rFonts w:ascii="Garamond" w:hAnsi="Garamond"/>
          <w:sz w:val="20"/>
          <w:szCs w:val="20"/>
          <w:lang w:val="es-MX"/>
        </w:rPr>
        <w:t xml:space="preserve">En esta pregunta, </w:t>
      </w:r>
      <w:r w:rsidR="00B44EB1">
        <w:rPr>
          <w:rFonts w:ascii="Garamond" w:hAnsi="Garamond"/>
          <w:sz w:val="20"/>
          <w:szCs w:val="20"/>
          <w:lang w:val="es-MX"/>
        </w:rPr>
        <w:t>los hogares</w:t>
      </w:r>
      <w:r>
        <w:rPr>
          <w:rFonts w:ascii="Garamond" w:hAnsi="Garamond"/>
          <w:sz w:val="20"/>
          <w:szCs w:val="20"/>
          <w:lang w:val="es-MX"/>
        </w:rPr>
        <w:t xml:space="preserve"> </w:t>
      </w:r>
      <w:r w:rsidR="00C2563F">
        <w:rPr>
          <w:rFonts w:ascii="Garamond" w:hAnsi="Garamond"/>
          <w:sz w:val="20"/>
          <w:szCs w:val="20"/>
          <w:lang w:val="es-MX"/>
        </w:rPr>
        <w:t xml:space="preserve">familiares </w:t>
      </w:r>
      <w:r>
        <w:rPr>
          <w:rFonts w:ascii="Garamond" w:hAnsi="Garamond"/>
          <w:sz w:val="20"/>
          <w:szCs w:val="20"/>
          <w:lang w:val="es-MX"/>
        </w:rPr>
        <w:t xml:space="preserve">podían </w:t>
      </w:r>
      <w:r w:rsidR="00C2563F">
        <w:rPr>
          <w:rFonts w:ascii="Garamond" w:hAnsi="Garamond"/>
          <w:sz w:val="20"/>
          <w:szCs w:val="20"/>
          <w:lang w:val="es-MX"/>
        </w:rPr>
        <w:t>seleccionar</w:t>
      </w:r>
      <w:r>
        <w:rPr>
          <w:rFonts w:ascii="Garamond" w:hAnsi="Garamond"/>
          <w:sz w:val="20"/>
          <w:szCs w:val="20"/>
          <w:lang w:val="es-MX"/>
        </w:rPr>
        <w:t xml:space="preserve"> más de una opción, y estas fueron las de mayor escogencia por el total de </w:t>
      </w:r>
      <w:r w:rsidR="00B44EB1">
        <w:rPr>
          <w:rFonts w:ascii="Garamond" w:hAnsi="Garamond"/>
          <w:sz w:val="20"/>
          <w:szCs w:val="20"/>
          <w:lang w:val="es-MX"/>
        </w:rPr>
        <w:t>hogares</w:t>
      </w:r>
      <w:r w:rsidR="00C2563F">
        <w:rPr>
          <w:rFonts w:ascii="Garamond" w:hAnsi="Garamond"/>
          <w:sz w:val="20"/>
          <w:szCs w:val="20"/>
          <w:lang w:val="es-MX"/>
        </w:rPr>
        <w:t xml:space="preserve"> familiares</w:t>
      </w:r>
      <w:r>
        <w:rPr>
          <w:rFonts w:ascii="Garamond" w:hAnsi="Garamond"/>
          <w:sz w:val="20"/>
          <w:szCs w:val="20"/>
          <w:lang w:val="es-MX"/>
        </w:rPr>
        <w:t>.</w:t>
      </w:r>
    </w:p>
    <w:p w14:paraId="5BD23DFE" w14:textId="2C92E8FD" w:rsidR="00CF547F" w:rsidRPr="00822A4A" w:rsidRDefault="00C31236" w:rsidP="00A72991">
      <w:pPr>
        <w:spacing w:after="0" w:line="360" w:lineRule="auto"/>
        <w:jc w:val="center"/>
        <w:rPr>
          <w:rFonts w:ascii="Garamond" w:hAnsi="Garamond"/>
          <w:b/>
          <w:sz w:val="20"/>
          <w:szCs w:val="20"/>
          <w:lang w:val="es-MX"/>
        </w:rPr>
      </w:pPr>
      <w:r w:rsidRPr="00822A4A">
        <w:rPr>
          <w:rFonts w:ascii="Garamond" w:hAnsi="Garamond"/>
          <w:b/>
          <w:sz w:val="20"/>
          <w:szCs w:val="20"/>
          <w:lang w:val="es-MX"/>
        </w:rPr>
        <w:t>Gráfico</w:t>
      </w:r>
      <w:r w:rsidR="00CF547F" w:rsidRPr="00822A4A">
        <w:rPr>
          <w:rFonts w:ascii="Garamond" w:hAnsi="Garamond"/>
          <w:b/>
          <w:sz w:val="20"/>
          <w:szCs w:val="20"/>
          <w:lang w:val="es-MX"/>
        </w:rPr>
        <w:t xml:space="preserve"> 1. </w:t>
      </w:r>
      <w:r w:rsidR="00835D05" w:rsidRPr="00822A4A">
        <w:rPr>
          <w:rFonts w:ascii="Garamond" w:hAnsi="Garamond"/>
          <w:b/>
          <w:sz w:val="20"/>
          <w:szCs w:val="20"/>
          <w:lang w:val="es-MX"/>
        </w:rPr>
        <w:t>¿Qué es la Familia?</w:t>
      </w:r>
    </w:p>
    <w:p w14:paraId="60C012B5" w14:textId="7CB30472" w:rsidR="0063013D" w:rsidRDefault="00905AD5" w:rsidP="00D06392">
      <w:pPr>
        <w:spacing w:after="0" w:line="360" w:lineRule="auto"/>
        <w:jc w:val="center"/>
        <w:rPr>
          <w:rFonts w:ascii="Garamond" w:hAnsi="Garamond"/>
          <w:sz w:val="20"/>
          <w:szCs w:val="20"/>
          <w:lang w:val="es-MX"/>
        </w:rPr>
      </w:pPr>
      <w:r>
        <w:rPr>
          <w:noProof/>
          <w:lang w:val="es-ES" w:eastAsia="es-ES"/>
        </w:rPr>
        <w:drawing>
          <wp:inline distT="0" distB="0" distL="0" distR="0" wp14:anchorId="53E6928A" wp14:editId="7DFA783F">
            <wp:extent cx="2581275" cy="3695749"/>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7652A2A" w14:textId="6F9A10DD" w:rsidR="00C2563F" w:rsidRDefault="00C2563F" w:rsidP="00C2563F">
      <w:pPr>
        <w:pStyle w:val="Ttulo2"/>
        <w:rPr>
          <w:lang w:val="es-MX"/>
        </w:rPr>
      </w:pPr>
      <w:r>
        <w:rPr>
          <w:lang w:val="es-MX"/>
        </w:rPr>
        <w:t xml:space="preserve">¿Quiénes </w:t>
      </w:r>
      <w:r w:rsidR="006F23C1">
        <w:rPr>
          <w:lang w:val="es-MX"/>
        </w:rPr>
        <w:t>conforman</w:t>
      </w:r>
      <w:r>
        <w:rPr>
          <w:lang w:val="es-MX"/>
        </w:rPr>
        <w:t xml:space="preserve"> la familia?</w:t>
      </w:r>
    </w:p>
    <w:p w14:paraId="5D64CE55" w14:textId="77777777" w:rsidR="006F23C1" w:rsidRDefault="006F23C1" w:rsidP="006F23C1">
      <w:pPr>
        <w:spacing w:after="0" w:line="360" w:lineRule="auto"/>
        <w:jc w:val="both"/>
        <w:rPr>
          <w:rFonts w:ascii="Garamond" w:hAnsi="Garamond"/>
          <w:sz w:val="20"/>
          <w:szCs w:val="20"/>
          <w:lang w:val="es-MX"/>
        </w:rPr>
      </w:pPr>
    </w:p>
    <w:p w14:paraId="1E270519" w14:textId="2B830BB4" w:rsidR="006F23C1" w:rsidRPr="001F1889" w:rsidRDefault="006F23C1" w:rsidP="006F23C1">
      <w:pPr>
        <w:spacing w:after="0" w:line="360" w:lineRule="auto"/>
        <w:jc w:val="both"/>
        <w:rPr>
          <w:rFonts w:ascii="Garamond" w:hAnsi="Garamond"/>
          <w:sz w:val="20"/>
          <w:szCs w:val="20"/>
          <w:lang w:val="es-MX"/>
        </w:rPr>
      </w:pPr>
      <w:r>
        <w:rPr>
          <w:rFonts w:ascii="Garamond" w:hAnsi="Garamond"/>
          <w:sz w:val="20"/>
          <w:szCs w:val="20"/>
          <w:lang w:val="es-MX"/>
        </w:rPr>
        <w:t xml:space="preserve">Al indagar en la composición de los hogares familiares encuestados se observó que el 41,6% de los hogares familiares en Bogotá cuentan con niños o niñas (personas de 0 a 12 años). Al revisar el porcentaje de hogares familiares en cada estrato que tienen niños o niñas se identificó que en el estrato 1 el 58,8% (138.972) de sus hogares familiares tienen niños o niñas; por su parte, en el estrato 2 el 51,5% </w:t>
      </w:r>
      <w:r w:rsidRPr="001F1889">
        <w:rPr>
          <w:rFonts w:ascii="Garamond" w:hAnsi="Garamond"/>
          <w:sz w:val="20"/>
          <w:szCs w:val="20"/>
          <w:lang w:val="es-MX"/>
        </w:rPr>
        <w:t xml:space="preserve">(587.508) de sus hogares familiares cuentan con niños o niñas y en el estrato 3 el 31% (297.447) de sus hogares familiares tienen niños o niñas. Sin embargo, es importante aclarar que en Bogotá la mayoría de los hogares son estrato 2, por ello este estrato aporta 22 puntos porcentuales de los 41,6% de los hogares familiares en Bogotá con niños o niñas. </w:t>
      </w:r>
    </w:p>
    <w:p w14:paraId="18BD26B7" w14:textId="77777777" w:rsidR="006F23C1" w:rsidRPr="001F1889" w:rsidRDefault="006F23C1" w:rsidP="006F23C1">
      <w:pPr>
        <w:spacing w:after="0" w:line="360" w:lineRule="auto"/>
        <w:jc w:val="both"/>
        <w:rPr>
          <w:rFonts w:ascii="Garamond" w:hAnsi="Garamond"/>
          <w:sz w:val="20"/>
          <w:szCs w:val="20"/>
          <w:lang w:val="es-MX"/>
        </w:rPr>
      </w:pPr>
      <w:r w:rsidRPr="001F1889">
        <w:rPr>
          <w:rFonts w:ascii="Garamond" w:hAnsi="Garamond"/>
          <w:sz w:val="20"/>
          <w:szCs w:val="20"/>
          <w:lang w:val="es-MX"/>
        </w:rPr>
        <w:lastRenderedPageBreak/>
        <w:t>En general, el 28,7% (766.213) de los hogares familiares cuentan con un niño o niña</w:t>
      </w:r>
      <w:r>
        <w:rPr>
          <w:rFonts w:ascii="Garamond" w:hAnsi="Garamond"/>
          <w:sz w:val="20"/>
          <w:szCs w:val="20"/>
          <w:lang w:val="es-MX"/>
        </w:rPr>
        <w:t xml:space="preserve"> en Bogotá</w:t>
      </w:r>
      <w:r w:rsidRPr="001F1889">
        <w:rPr>
          <w:rFonts w:ascii="Garamond" w:hAnsi="Garamond"/>
          <w:sz w:val="20"/>
          <w:szCs w:val="20"/>
          <w:lang w:val="es-MX"/>
        </w:rPr>
        <w:t>; el 8,3% con 2 niños o niñas y el 4,4% con tres niños o niñas. En muy pocos hogares familiares (menos del 1%) habían más de tres niños.</w:t>
      </w:r>
    </w:p>
    <w:p w14:paraId="7ABE7396" w14:textId="77777777" w:rsidR="00C2563F" w:rsidRPr="00357ECA" w:rsidRDefault="00C2563F" w:rsidP="00D06392">
      <w:pPr>
        <w:spacing w:after="0" w:line="360" w:lineRule="auto"/>
        <w:jc w:val="center"/>
        <w:rPr>
          <w:rFonts w:ascii="Garamond" w:hAnsi="Garamond"/>
          <w:sz w:val="20"/>
          <w:szCs w:val="20"/>
          <w:lang w:val="es-MX"/>
        </w:rPr>
      </w:pPr>
    </w:p>
    <w:p w14:paraId="3044B4A5" w14:textId="132B72C6" w:rsidR="00357ECA" w:rsidRPr="00822A4A" w:rsidRDefault="00551EA7" w:rsidP="00A72991">
      <w:pPr>
        <w:spacing w:after="0" w:line="360" w:lineRule="auto"/>
        <w:jc w:val="center"/>
        <w:rPr>
          <w:rFonts w:ascii="Garamond" w:hAnsi="Garamond"/>
          <w:b/>
          <w:sz w:val="20"/>
          <w:lang w:val="es-MX"/>
        </w:rPr>
      </w:pPr>
      <w:bookmarkStart w:id="1" w:name="OLE_LINK1"/>
      <w:r w:rsidRPr="00822A4A">
        <w:rPr>
          <w:rFonts w:ascii="Garamond" w:hAnsi="Garamond"/>
          <w:b/>
          <w:sz w:val="20"/>
          <w:lang w:val="es-MX"/>
        </w:rPr>
        <w:t>Gráfico 2</w:t>
      </w:r>
      <w:r w:rsidR="00AC3467" w:rsidRPr="00822A4A">
        <w:rPr>
          <w:rFonts w:ascii="Garamond" w:hAnsi="Garamond"/>
          <w:b/>
          <w:sz w:val="20"/>
          <w:lang w:val="es-MX"/>
        </w:rPr>
        <w:t>. Porcentaje</w:t>
      </w:r>
      <w:r w:rsidR="00357ECA" w:rsidRPr="00822A4A">
        <w:rPr>
          <w:rFonts w:ascii="Garamond" w:hAnsi="Garamond"/>
          <w:b/>
          <w:sz w:val="20"/>
          <w:lang w:val="es-MX"/>
        </w:rPr>
        <w:t xml:space="preserve"> </w:t>
      </w:r>
      <w:r w:rsidR="008B53A9" w:rsidRPr="00822A4A">
        <w:rPr>
          <w:rFonts w:ascii="Garamond" w:hAnsi="Garamond"/>
          <w:b/>
          <w:sz w:val="20"/>
          <w:lang w:val="es-MX"/>
        </w:rPr>
        <w:t xml:space="preserve">de </w:t>
      </w:r>
      <w:r w:rsidR="00B44EB1" w:rsidRPr="00822A4A">
        <w:rPr>
          <w:rFonts w:ascii="Garamond" w:hAnsi="Garamond"/>
          <w:b/>
          <w:sz w:val="20"/>
          <w:lang w:val="es-MX"/>
        </w:rPr>
        <w:t>hogares</w:t>
      </w:r>
      <w:r w:rsidR="007E7DA8" w:rsidRPr="00822A4A">
        <w:rPr>
          <w:rFonts w:ascii="Garamond" w:hAnsi="Garamond"/>
          <w:b/>
          <w:sz w:val="20"/>
          <w:lang w:val="es-MX"/>
        </w:rPr>
        <w:t xml:space="preserve"> </w:t>
      </w:r>
      <w:r w:rsidR="00B078BE">
        <w:rPr>
          <w:rFonts w:ascii="Garamond" w:hAnsi="Garamond"/>
          <w:b/>
          <w:sz w:val="20"/>
          <w:lang w:val="es-MX"/>
        </w:rPr>
        <w:t xml:space="preserve">familiares </w:t>
      </w:r>
      <w:r w:rsidR="007E7DA8" w:rsidRPr="00822A4A">
        <w:rPr>
          <w:rFonts w:ascii="Garamond" w:hAnsi="Garamond"/>
          <w:b/>
          <w:sz w:val="20"/>
          <w:lang w:val="es-MX"/>
        </w:rPr>
        <w:t xml:space="preserve">con </w:t>
      </w:r>
      <w:r w:rsidR="008B53A9" w:rsidRPr="00822A4A">
        <w:rPr>
          <w:rFonts w:ascii="Garamond" w:hAnsi="Garamond"/>
          <w:b/>
          <w:sz w:val="20"/>
          <w:lang w:val="es-MX"/>
        </w:rPr>
        <w:t>niños y niñas</w:t>
      </w:r>
      <w:r w:rsidR="0002735F">
        <w:rPr>
          <w:rFonts w:ascii="Garamond" w:hAnsi="Garamond"/>
          <w:b/>
          <w:sz w:val="20"/>
          <w:lang w:val="es-MX"/>
        </w:rPr>
        <w:t xml:space="preserve"> (personas menores de 13 años)</w:t>
      </w:r>
      <w:r w:rsidR="008B53A9" w:rsidRPr="00822A4A">
        <w:rPr>
          <w:rFonts w:ascii="Garamond" w:hAnsi="Garamond"/>
          <w:b/>
          <w:sz w:val="20"/>
          <w:lang w:val="es-MX"/>
        </w:rPr>
        <w:t xml:space="preserve"> </w:t>
      </w:r>
      <w:r w:rsidR="00711CB1" w:rsidRPr="00822A4A">
        <w:rPr>
          <w:rFonts w:ascii="Garamond" w:hAnsi="Garamond"/>
          <w:b/>
          <w:sz w:val="20"/>
          <w:lang w:val="es-MX"/>
        </w:rPr>
        <w:t>por estrato socioeconómico</w:t>
      </w:r>
    </w:p>
    <w:bookmarkEnd w:id="1"/>
    <w:p w14:paraId="41871CC1" w14:textId="42ABF65C" w:rsidR="00711CB1" w:rsidRDefault="00934EA0" w:rsidP="004010EA">
      <w:pPr>
        <w:spacing w:after="0" w:line="360" w:lineRule="auto"/>
        <w:jc w:val="both"/>
        <w:rPr>
          <w:rFonts w:ascii="Garamond" w:hAnsi="Garamond"/>
          <w:sz w:val="20"/>
          <w:szCs w:val="20"/>
          <w:lang w:val="es-MX"/>
        </w:rPr>
      </w:pPr>
      <w:r>
        <w:rPr>
          <w:noProof/>
          <w:lang w:val="es-ES" w:eastAsia="es-ES"/>
        </w:rPr>
        <w:drawing>
          <wp:inline distT="0" distB="0" distL="0" distR="0" wp14:anchorId="5A1708D4" wp14:editId="02420A8F">
            <wp:extent cx="2581275" cy="2080895"/>
            <wp:effectExtent l="0" t="0" r="0" b="0"/>
            <wp:docPr id="18" name="Gráfico 18">
              <a:extLst xmlns:a="http://schemas.openxmlformats.org/drawingml/2006/main">
                <a:ext uri="{FF2B5EF4-FFF2-40B4-BE49-F238E27FC236}">
                  <a16:creationId xmlns:a16="http://schemas.microsoft.com/office/drawing/2014/main" id="{BC3812BE-AAF1-A74A-AB21-89CA0DDBE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2D8DCC" w14:textId="6157E344" w:rsidR="00713846" w:rsidRDefault="00713846" w:rsidP="004010EA">
      <w:pPr>
        <w:spacing w:after="0" w:line="360" w:lineRule="auto"/>
        <w:jc w:val="both"/>
        <w:rPr>
          <w:rFonts w:ascii="Garamond" w:hAnsi="Garamond"/>
          <w:sz w:val="20"/>
          <w:szCs w:val="20"/>
          <w:lang w:val="es-MX"/>
        </w:rPr>
      </w:pPr>
    </w:p>
    <w:p w14:paraId="10F2855A" w14:textId="77777777" w:rsidR="006F23C1" w:rsidRPr="001F1889" w:rsidRDefault="006F23C1" w:rsidP="006F23C1">
      <w:pPr>
        <w:spacing w:after="0" w:line="360" w:lineRule="auto"/>
        <w:jc w:val="both"/>
        <w:rPr>
          <w:rFonts w:ascii="Garamond" w:hAnsi="Garamond"/>
          <w:sz w:val="20"/>
          <w:szCs w:val="20"/>
          <w:lang w:val="es-MX"/>
        </w:rPr>
      </w:pPr>
      <w:r w:rsidRPr="001F1889">
        <w:rPr>
          <w:rFonts w:ascii="Garamond" w:hAnsi="Garamond"/>
          <w:sz w:val="20"/>
          <w:szCs w:val="20"/>
          <w:lang w:val="es-MX"/>
        </w:rPr>
        <w:t xml:space="preserve">Por localidad se observó que Ciudad Bolívar es la localidad que cuenta con el mayor porcentaje (81,7%) de sus hogares familiares en los que hay niños o niñas. Mientras que Usaquén del total de sus hogares familiares tan sólo el 10,8% (20.747) cuentan con niños o niñas en el hogar. En términos absolutos, </w:t>
      </w:r>
      <w:r>
        <w:rPr>
          <w:rFonts w:ascii="Garamond" w:hAnsi="Garamond"/>
          <w:sz w:val="20"/>
          <w:szCs w:val="20"/>
          <w:lang w:val="es-MX"/>
        </w:rPr>
        <w:t>Ciudad Bolívar aporta 6,5 puntos porcentuales (pp) de los hogares familiares de Bogotá (41,6%) con niños y niñas, seguida de Engativá (5,7 pp), Kennedy (5 pp) y Suba (4,7 pp).</w:t>
      </w:r>
    </w:p>
    <w:p w14:paraId="03B6A55D" w14:textId="42F299BF" w:rsidR="006F23C1" w:rsidRDefault="006F23C1" w:rsidP="004010EA">
      <w:pPr>
        <w:spacing w:after="0" w:line="360" w:lineRule="auto"/>
        <w:jc w:val="both"/>
        <w:rPr>
          <w:rFonts w:ascii="Garamond" w:hAnsi="Garamond"/>
          <w:sz w:val="20"/>
          <w:szCs w:val="20"/>
          <w:lang w:val="es-MX"/>
        </w:rPr>
      </w:pPr>
    </w:p>
    <w:p w14:paraId="70011C3C" w14:textId="455B9D8D" w:rsidR="006F23C1" w:rsidRDefault="006F23C1" w:rsidP="004010EA">
      <w:pPr>
        <w:spacing w:after="0" w:line="360" w:lineRule="auto"/>
        <w:jc w:val="both"/>
        <w:rPr>
          <w:rFonts w:ascii="Garamond" w:hAnsi="Garamond"/>
          <w:sz w:val="20"/>
          <w:szCs w:val="20"/>
          <w:lang w:val="es-MX"/>
        </w:rPr>
      </w:pPr>
    </w:p>
    <w:p w14:paraId="66B80017" w14:textId="3BE85257" w:rsidR="00723277" w:rsidRDefault="00723277" w:rsidP="004010EA">
      <w:pPr>
        <w:spacing w:after="0" w:line="360" w:lineRule="auto"/>
        <w:jc w:val="both"/>
        <w:rPr>
          <w:rFonts w:ascii="Garamond" w:hAnsi="Garamond"/>
          <w:sz w:val="20"/>
          <w:szCs w:val="20"/>
          <w:lang w:val="es-MX"/>
        </w:rPr>
      </w:pPr>
    </w:p>
    <w:p w14:paraId="5AABA13B" w14:textId="0555352C" w:rsidR="00723277" w:rsidRDefault="00723277" w:rsidP="004010EA">
      <w:pPr>
        <w:spacing w:after="0" w:line="360" w:lineRule="auto"/>
        <w:jc w:val="both"/>
        <w:rPr>
          <w:rFonts w:ascii="Garamond" w:hAnsi="Garamond"/>
          <w:sz w:val="20"/>
          <w:szCs w:val="20"/>
          <w:lang w:val="es-MX"/>
        </w:rPr>
      </w:pPr>
    </w:p>
    <w:p w14:paraId="30E57934" w14:textId="6E679DC6" w:rsidR="00723277" w:rsidRDefault="00723277" w:rsidP="004010EA">
      <w:pPr>
        <w:spacing w:after="0" w:line="360" w:lineRule="auto"/>
        <w:jc w:val="both"/>
        <w:rPr>
          <w:rFonts w:ascii="Garamond" w:hAnsi="Garamond"/>
          <w:sz w:val="20"/>
          <w:szCs w:val="20"/>
          <w:lang w:val="es-MX"/>
        </w:rPr>
      </w:pPr>
    </w:p>
    <w:p w14:paraId="181CA5A0" w14:textId="1E0AA5CC" w:rsidR="00723277" w:rsidRDefault="00723277" w:rsidP="004010EA">
      <w:pPr>
        <w:spacing w:after="0" w:line="360" w:lineRule="auto"/>
        <w:jc w:val="both"/>
        <w:rPr>
          <w:rFonts w:ascii="Garamond" w:hAnsi="Garamond"/>
          <w:sz w:val="20"/>
          <w:szCs w:val="20"/>
          <w:lang w:val="es-MX"/>
        </w:rPr>
      </w:pPr>
    </w:p>
    <w:p w14:paraId="19873F34" w14:textId="77777777" w:rsidR="00723277" w:rsidRPr="001F1889" w:rsidRDefault="00723277" w:rsidP="004010EA">
      <w:pPr>
        <w:spacing w:after="0" w:line="360" w:lineRule="auto"/>
        <w:jc w:val="both"/>
        <w:rPr>
          <w:rFonts w:ascii="Garamond" w:hAnsi="Garamond"/>
          <w:sz w:val="20"/>
          <w:szCs w:val="20"/>
          <w:lang w:val="es-MX"/>
        </w:rPr>
      </w:pPr>
    </w:p>
    <w:p w14:paraId="0C47811D" w14:textId="1C9D31AE" w:rsidR="00713846" w:rsidRPr="001F1889" w:rsidRDefault="006E7C3D" w:rsidP="006E7C3D">
      <w:pPr>
        <w:spacing w:after="0" w:line="360" w:lineRule="auto"/>
        <w:jc w:val="center"/>
        <w:rPr>
          <w:rFonts w:ascii="Garamond" w:hAnsi="Garamond"/>
          <w:b/>
          <w:sz w:val="20"/>
          <w:szCs w:val="20"/>
          <w:lang w:val="es-MX"/>
        </w:rPr>
      </w:pPr>
      <w:r w:rsidRPr="001F1889">
        <w:rPr>
          <w:rFonts w:ascii="Garamond" w:hAnsi="Garamond"/>
          <w:b/>
          <w:sz w:val="20"/>
          <w:szCs w:val="20"/>
          <w:lang w:val="es-MX"/>
        </w:rPr>
        <w:t xml:space="preserve">Gráfico 3. Porcentaje de hogares </w:t>
      </w:r>
      <w:r w:rsidR="00B078BE">
        <w:rPr>
          <w:rFonts w:ascii="Garamond" w:hAnsi="Garamond"/>
          <w:b/>
          <w:sz w:val="20"/>
          <w:szCs w:val="20"/>
          <w:lang w:val="es-MX"/>
        </w:rPr>
        <w:t xml:space="preserve">familiares </w:t>
      </w:r>
      <w:r w:rsidRPr="001F1889">
        <w:rPr>
          <w:rFonts w:ascii="Garamond" w:hAnsi="Garamond"/>
          <w:b/>
          <w:sz w:val="20"/>
          <w:szCs w:val="20"/>
          <w:lang w:val="es-MX"/>
        </w:rPr>
        <w:t xml:space="preserve">con niños y niñas por </w:t>
      </w:r>
      <w:r w:rsidR="00C32610">
        <w:rPr>
          <w:rFonts w:ascii="Garamond" w:hAnsi="Garamond"/>
          <w:b/>
          <w:sz w:val="20"/>
          <w:szCs w:val="20"/>
          <w:lang w:val="es-MX"/>
        </w:rPr>
        <w:t>l</w:t>
      </w:r>
      <w:r w:rsidRPr="001F1889">
        <w:rPr>
          <w:rFonts w:ascii="Garamond" w:hAnsi="Garamond"/>
          <w:b/>
          <w:sz w:val="20"/>
          <w:szCs w:val="20"/>
          <w:lang w:val="es-MX"/>
        </w:rPr>
        <w:t>ocalidad</w:t>
      </w:r>
    </w:p>
    <w:p w14:paraId="30AFCA22" w14:textId="49AEB1F1" w:rsidR="006E7C3D" w:rsidRPr="001F1889" w:rsidRDefault="006E7C3D" w:rsidP="004010EA">
      <w:pPr>
        <w:spacing w:after="0" w:line="360" w:lineRule="auto"/>
        <w:jc w:val="both"/>
        <w:rPr>
          <w:rFonts w:ascii="Garamond" w:hAnsi="Garamond"/>
          <w:sz w:val="20"/>
          <w:szCs w:val="20"/>
          <w:lang w:val="es-MX"/>
        </w:rPr>
      </w:pPr>
      <w:r w:rsidRPr="001F1889">
        <w:rPr>
          <w:noProof/>
          <w:sz w:val="20"/>
          <w:szCs w:val="20"/>
          <w:lang w:val="es-ES" w:eastAsia="es-ES"/>
        </w:rPr>
        <w:drawing>
          <wp:inline distT="0" distB="0" distL="0" distR="0" wp14:anchorId="4DED4271" wp14:editId="33EA1E2C">
            <wp:extent cx="2581275" cy="4114800"/>
            <wp:effectExtent l="0" t="0" r="0" b="0"/>
            <wp:docPr id="15" name="Gráfico 15">
              <a:extLst xmlns:a="http://schemas.openxmlformats.org/drawingml/2006/main">
                <a:ext uri="{FF2B5EF4-FFF2-40B4-BE49-F238E27FC236}">
                  <a16:creationId xmlns:a16="http://schemas.microsoft.com/office/drawing/2014/main" id="{1D450A64-0CCF-EF42-B6E3-2CD0E76BCF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E3992A" w14:textId="77777777" w:rsidR="006F2A05" w:rsidRDefault="006F2A05" w:rsidP="00A50FEC">
      <w:pPr>
        <w:spacing w:after="0" w:line="360" w:lineRule="auto"/>
        <w:jc w:val="both"/>
        <w:rPr>
          <w:rFonts w:ascii="Garamond" w:hAnsi="Garamond"/>
          <w:b/>
          <w:sz w:val="18"/>
          <w:lang w:val="es-MX"/>
        </w:rPr>
      </w:pPr>
    </w:p>
    <w:p w14:paraId="1611D6B7" w14:textId="65E50095" w:rsidR="00460525" w:rsidRPr="00822A4A" w:rsidRDefault="00460525" w:rsidP="00A72991">
      <w:pPr>
        <w:spacing w:after="0" w:line="360" w:lineRule="auto"/>
        <w:jc w:val="center"/>
        <w:rPr>
          <w:rFonts w:ascii="Garamond" w:hAnsi="Garamond"/>
          <w:b/>
          <w:sz w:val="20"/>
          <w:lang w:val="es-MX"/>
        </w:rPr>
      </w:pPr>
      <w:bookmarkStart w:id="2" w:name="OLE_LINK2"/>
      <w:r w:rsidRPr="00822A4A">
        <w:rPr>
          <w:rFonts w:ascii="Garamond" w:hAnsi="Garamond"/>
          <w:b/>
          <w:sz w:val="20"/>
          <w:lang w:val="es-MX"/>
        </w:rPr>
        <w:t>Gráfic</w:t>
      </w:r>
      <w:r w:rsidR="00551EA7" w:rsidRPr="00822A4A">
        <w:rPr>
          <w:rFonts w:ascii="Garamond" w:hAnsi="Garamond"/>
          <w:b/>
          <w:sz w:val="20"/>
          <w:lang w:val="es-MX"/>
        </w:rPr>
        <w:t xml:space="preserve">o </w:t>
      </w:r>
      <w:r w:rsidR="00713846" w:rsidRPr="00822A4A">
        <w:rPr>
          <w:rFonts w:ascii="Garamond" w:hAnsi="Garamond"/>
          <w:b/>
          <w:sz w:val="20"/>
          <w:lang w:val="es-MX"/>
        </w:rPr>
        <w:t>4</w:t>
      </w:r>
      <w:r w:rsidR="00AC3467" w:rsidRPr="00822A4A">
        <w:rPr>
          <w:rFonts w:ascii="Garamond" w:hAnsi="Garamond"/>
          <w:b/>
          <w:sz w:val="20"/>
          <w:lang w:val="es-MX"/>
        </w:rPr>
        <w:t>. Porcentaje</w:t>
      </w:r>
      <w:r w:rsidR="00D06392" w:rsidRPr="00822A4A">
        <w:rPr>
          <w:rFonts w:ascii="Garamond" w:hAnsi="Garamond"/>
          <w:b/>
          <w:sz w:val="20"/>
          <w:lang w:val="es-MX"/>
        </w:rPr>
        <w:t xml:space="preserve"> </w:t>
      </w:r>
      <w:r w:rsidR="009A0B7F" w:rsidRPr="00822A4A">
        <w:rPr>
          <w:rFonts w:ascii="Garamond" w:hAnsi="Garamond"/>
          <w:b/>
          <w:sz w:val="20"/>
          <w:lang w:val="es-MX"/>
        </w:rPr>
        <w:t>de</w:t>
      </w:r>
      <w:r w:rsidR="00B44EB1" w:rsidRPr="00822A4A">
        <w:rPr>
          <w:rFonts w:ascii="Garamond" w:hAnsi="Garamond"/>
          <w:b/>
          <w:sz w:val="20"/>
          <w:lang w:val="es-MX"/>
        </w:rPr>
        <w:t xml:space="preserve"> hogares</w:t>
      </w:r>
      <w:r w:rsidR="00822A4A">
        <w:rPr>
          <w:rFonts w:ascii="Garamond" w:hAnsi="Garamond"/>
          <w:b/>
          <w:sz w:val="20"/>
          <w:lang w:val="es-MX"/>
        </w:rPr>
        <w:t xml:space="preserve"> </w:t>
      </w:r>
      <w:r w:rsidR="00B078BE">
        <w:rPr>
          <w:rFonts w:ascii="Garamond" w:hAnsi="Garamond"/>
          <w:b/>
          <w:sz w:val="20"/>
          <w:lang w:val="es-MX"/>
        </w:rPr>
        <w:t xml:space="preserve">familiares </w:t>
      </w:r>
      <w:r w:rsidR="00822A4A" w:rsidRPr="00822A4A">
        <w:rPr>
          <w:rFonts w:ascii="Garamond" w:hAnsi="Garamond"/>
          <w:b/>
          <w:sz w:val="20"/>
          <w:lang w:val="es-MX"/>
        </w:rPr>
        <w:t>con adolescentes</w:t>
      </w:r>
      <w:r w:rsidR="00822A4A">
        <w:rPr>
          <w:rFonts w:ascii="Garamond" w:hAnsi="Garamond"/>
          <w:b/>
          <w:sz w:val="20"/>
          <w:lang w:val="es-MX"/>
        </w:rPr>
        <w:t xml:space="preserve"> </w:t>
      </w:r>
      <w:r w:rsidR="001923F7">
        <w:rPr>
          <w:rFonts w:ascii="Garamond" w:hAnsi="Garamond"/>
          <w:b/>
          <w:sz w:val="20"/>
          <w:lang w:val="es-MX"/>
        </w:rPr>
        <w:t xml:space="preserve">(personas de 13 a 17 años) </w:t>
      </w:r>
      <w:r w:rsidR="00822A4A">
        <w:rPr>
          <w:rFonts w:ascii="Garamond" w:hAnsi="Garamond"/>
          <w:b/>
          <w:sz w:val="20"/>
          <w:lang w:val="es-MX"/>
        </w:rPr>
        <w:t>por estrato socioeconómico</w:t>
      </w:r>
      <w:r w:rsidR="007E7DA8" w:rsidRPr="00822A4A">
        <w:rPr>
          <w:rFonts w:ascii="Garamond" w:hAnsi="Garamond"/>
          <w:b/>
          <w:sz w:val="20"/>
          <w:lang w:val="es-MX"/>
        </w:rPr>
        <w:t xml:space="preserve"> </w:t>
      </w:r>
    </w:p>
    <w:bookmarkEnd w:id="2"/>
    <w:p w14:paraId="758F4672" w14:textId="1A98E82D" w:rsidR="00971770" w:rsidRDefault="00822A4A" w:rsidP="00EC6CB5">
      <w:pPr>
        <w:spacing w:line="360" w:lineRule="auto"/>
        <w:jc w:val="both"/>
        <w:rPr>
          <w:rFonts w:ascii="Garamond" w:hAnsi="Garamond"/>
          <w:sz w:val="20"/>
          <w:szCs w:val="20"/>
          <w:lang w:val="es-MX"/>
        </w:rPr>
      </w:pPr>
      <w:r>
        <w:rPr>
          <w:noProof/>
          <w:lang w:val="es-ES" w:eastAsia="es-ES"/>
        </w:rPr>
        <w:drawing>
          <wp:inline distT="0" distB="0" distL="0" distR="0" wp14:anchorId="770FB699" wp14:editId="1CCFE276">
            <wp:extent cx="2581275" cy="2166424"/>
            <wp:effectExtent l="0" t="0" r="0" b="0"/>
            <wp:docPr id="19" name="Gráfico 19">
              <a:extLst xmlns:a="http://schemas.openxmlformats.org/drawingml/2006/main">
                <a:ext uri="{FF2B5EF4-FFF2-40B4-BE49-F238E27FC236}">
                  <a16:creationId xmlns:a16="http://schemas.microsoft.com/office/drawing/2014/main" id="{789A8F52-0A18-D049-A3BC-66DAE07A9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EF0F71" w14:textId="47744E41" w:rsidR="00F54326" w:rsidRDefault="00822A4A" w:rsidP="00F54326">
      <w:pPr>
        <w:spacing w:line="360" w:lineRule="auto"/>
        <w:jc w:val="both"/>
        <w:rPr>
          <w:rFonts w:ascii="Garamond" w:hAnsi="Garamond"/>
          <w:sz w:val="20"/>
          <w:szCs w:val="20"/>
          <w:lang w:val="es-MX"/>
        </w:rPr>
      </w:pPr>
      <w:r>
        <w:rPr>
          <w:rFonts w:ascii="Garamond" w:hAnsi="Garamond"/>
          <w:sz w:val="20"/>
          <w:szCs w:val="20"/>
          <w:lang w:val="es-MX"/>
        </w:rPr>
        <w:t xml:space="preserve">En Bogotá tan sólo </w:t>
      </w:r>
      <w:r w:rsidR="009B775F">
        <w:rPr>
          <w:rFonts w:ascii="Garamond" w:hAnsi="Garamond"/>
          <w:sz w:val="20"/>
          <w:szCs w:val="20"/>
          <w:lang w:val="es-MX"/>
        </w:rPr>
        <w:t xml:space="preserve">en </w:t>
      </w:r>
      <w:r>
        <w:rPr>
          <w:rFonts w:ascii="Garamond" w:hAnsi="Garamond"/>
          <w:sz w:val="20"/>
          <w:szCs w:val="20"/>
          <w:lang w:val="es-MX"/>
        </w:rPr>
        <w:t>el</w:t>
      </w:r>
      <w:r w:rsidR="009A0B7F">
        <w:rPr>
          <w:rFonts w:ascii="Garamond" w:hAnsi="Garamond"/>
          <w:sz w:val="20"/>
          <w:szCs w:val="20"/>
          <w:lang w:val="es-MX"/>
        </w:rPr>
        <w:t xml:space="preserve"> </w:t>
      </w:r>
      <w:r>
        <w:rPr>
          <w:rFonts w:ascii="Garamond" w:hAnsi="Garamond"/>
          <w:sz w:val="20"/>
          <w:szCs w:val="20"/>
          <w:lang w:val="es-MX"/>
        </w:rPr>
        <w:t>24</w:t>
      </w:r>
      <w:r w:rsidR="009A0B7F">
        <w:rPr>
          <w:rFonts w:ascii="Garamond" w:hAnsi="Garamond"/>
          <w:sz w:val="20"/>
          <w:szCs w:val="20"/>
          <w:lang w:val="es-MX"/>
        </w:rPr>
        <w:t>,5</w:t>
      </w:r>
      <w:r w:rsidR="00460525" w:rsidRPr="00357ECA">
        <w:rPr>
          <w:rFonts w:ascii="Garamond" w:hAnsi="Garamond"/>
          <w:sz w:val="20"/>
          <w:szCs w:val="20"/>
          <w:lang w:val="es-MX"/>
        </w:rPr>
        <w:t>%</w:t>
      </w:r>
      <w:r w:rsidR="009B775F">
        <w:rPr>
          <w:rFonts w:ascii="Garamond" w:hAnsi="Garamond"/>
          <w:sz w:val="20"/>
          <w:szCs w:val="20"/>
          <w:lang w:val="es-MX"/>
        </w:rPr>
        <w:t xml:space="preserve"> (655.177)</w:t>
      </w:r>
      <w:r w:rsidR="00460525" w:rsidRPr="00357ECA">
        <w:rPr>
          <w:rFonts w:ascii="Garamond" w:hAnsi="Garamond"/>
          <w:sz w:val="20"/>
          <w:szCs w:val="20"/>
          <w:lang w:val="es-MX"/>
        </w:rPr>
        <w:t xml:space="preserve"> </w:t>
      </w:r>
      <w:r w:rsidR="00460525">
        <w:rPr>
          <w:rFonts w:ascii="Garamond" w:hAnsi="Garamond"/>
          <w:sz w:val="20"/>
          <w:szCs w:val="20"/>
          <w:lang w:val="es-MX"/>
        </w:rPr>
        <w:t xml:space="preserve">de </w:t>
      </w:r>
      <w:r w:rsidR="00B44EB1">
        <w:rPr>
          <w:rFonts w:ascii="Garamond" w:hAnsi="Garamond"/>
          <w:sz w:val="20"/>
          <w:szCs w:val="20"/>
          <w:lang w:val="es-MX"/>
        </w:rPr>
        <w:t>los hogares</w:t>
      </w:r>
      <w:r>
        <w:rPr>
          <w:rFonts w:ascii="Garamond" w:hAnsi="Garamond"/>
          <w:sz w:val="20"/>
          <w:szCs w:val="20"/>
          <w:lang w:val="es-MX"/>
        </w:rPr>
        <w:t xml:space="preserve"> familiares</w:t>
      </w:r>
      <w:r w:rsidR="0053782B">
        <w:rPr>
          <w:rFonts w:ascii="Garamond" w:hAnsi="Garamond"/>
          <w:sz w:val="20"/>
          <w:szCs w:val="20"/>
          <w:lang w:val="es-MX"/>
        </w:rPr>
        <w:t xml:space="preserve"> </w:t>
      </w:r>
      <w:r w:rsidR="009B775F">
        <w:rPr>
          <w:rFonts w:ascii="Garamond" w:hAnsi="Garamond"/>
          <w:sz w:val="20"/>
          <w:szCs w:val="20"/>
          <w:lang w:val="es-MX"/>
        </w:rPr>
        <w:t>hay a</w:t>
      </w:r>
      <w:r w:rsidR="0053782B">
        <w:rPr>
          <w:rFonts w:ascii="Garamond" w:hAnsi="Garamond"/>
          <w:sz w:val="20"/>
          <w:szCs w:val="20"/>
          <w:lang w:val="es-MX"/>
        </w:rPr>
        <w:t xml:space="preserve">dolescentes </w:t>
      </w:r>
      <w:r w:rsidR="00A14BC5">
        <w:rPr>
          <w:rFonts w:ascii="Garamond" w:hAnsi="Garamond"/>
          <w:sz w:val="20"/>
          <w:szCs w:val="20"/>
          <w:lang w:val="es-MX"/>
        </w:rPr>
        <w:t xml:space="preserve">(personas de 13 </w:t>
      </w:r>
      <w:r w:rsidR="00A14BC5">
        <w:rPr>
          <w:rFonts w:ascii="Garamond" w:hAnsi="Garamond"/>
          <w:sz w:val="20"/>
          <w:szCs w:val="20"/>
          <w:lang w:val="es-MX"/>
        </w:rPr>
        <w:lastRenderedPageBreak/>
        <w:t>a 17 años</w:t>
      </w:r>
      <w:r w:rsidR="009B775F">
        <w:rPr>
          <w:rFonts w:ascii="Garamond" w:hAnsi="Garamond"/>
          <w:sz w:val="20"/>
          <w:szCs w:val="20"/>
          <w:lang w:val="es-MX"/>
        </w:rPr>
        <w:t xml:space="preserve">). </w:t>
      </w:r>
      <w:r w:rsidR="00F54326">
        <w:rPr>
          <w:rFonts w:ascii="Garamond" w:hAnsi="Garamond"/>
          <w:sz w:val="20"/>
          <w:szCs w:val="20"/>
          <w:lang w:val="es-MX"/>
        </w:rPr>
        <w:t xml:space="preserve"> </w:t>
      </w:r>
      <w:r w:rsidR="007C7A8F">
        <w:rPr>
          <w:rFonts w:ascii="Garamond" w:hAnsi="Garamond"/>
          <w:sz w:val="20"/>
          <w:szCs w:val="20"/>
          <w:lang w:val="es-MX"/>
        </w:rPr>
        <w:t>Al revisar las cifras p</w:t>
      </w:r>
      <w:r w:rsidR="009B775F">
        <w:rPr>
          <w:rFonts w:ascii="Garamond" w:hAnsi="Garamond"/>
          <w:sz w:val="20"/>
          <w:szCs w:val="20"/>
          <w:lang w:val="es-MX"/>
        </w:rPr>
        <w:t xml:space="preserve">or estrato se observa que </w:t>
      </w:r>
      <w:r w:rsidR="00F54326">
        <w:rPr>
          <w:rFonts w:ascii="Garamond" w:hAnsi="Garamond"/>
          <w:sz w:val="20"/>
          <w:szCs w:val="20"/>
          <w:lang w:val="es-MX"/>
        </w:rPr>
        <w:t xml:space="preserve">en </w:t>
      </w:r>
      <w:r w:rsidR="009B775F">
        <w:rPr>
          <w:rFonts w:ascii="Garamond" w:hAnsi="Garamond"/>
          <w:sz w:val="20"/>
          <w:szCs w:val="20"/>
          <w:lang w:val="es-MX"/>
        </w:rPr>
        <w:t>el estrato 2</w:t>
      </w:r>
      <w:r w:rsidR="00B078BE">
        <w:rPr>
          <w:rFonts w:ascii="Garamond" w:hAnsi="Garamond"/>
          <w:sz w:val="20"/>
          <w:szCs w:val="20"/>
          <w:lang w:val="es-MX"/>
        </w:rPr>
        <w:t xml:space="preserve"> </w:t>
      </w:r>
      <w:r w:rsidR="009B775F">
        <w:rPr>
          <w:rFonts w:ascii="Garamond" w:hAnsi="Garamond"/>
          <w:sz w:val="20"/>
          <w:szCs w:val="20"/>
          <w:lang w:val="es-MX"/>
        </w:rPr>
        <w:t>el 31,7%</w:t>
      </w:r>
      <w:r w:rsidR="007C7A8F">
        <w:rPr>
          <w:rFonts w:ascii="Garamond" w:hAnsi="Garamond"/>
          <w:sz w:val="20"/>
          <w:szCs w:val="20"/>
          <w:lang w:val="es-MX"/>
        </w:rPr>
        <w:t xml:space="preserve"> (362.226)</w:t>
      </w:r>
      <w:r w:rsidR="009B775F">
        <w:rPr>
          <w:rFonts w:ascii="Garamond" w:hAnsi="Garamond"/>
          <w:sz w:val="20"/>
          <w:szCs w:val="20"/>
          <w:lang w:val="es-MX"/>
        </w:rPr>
        <w:t xml:space="preserve"> de sus hogares familiares </w:t>
      </w:r>
      <w:r w:rsidR="00B078BE">
        <w:rPr>
          <w:rFonts w:ascii="Garamond" w:hAnsi="Garamond"/>
          <w:sz w:val="20"/>
          <w:szCs w:val="20"/>
          <w:lang w:val="es-MX"/>
        </w:rPr>
        <w:t>hay</w:t>
      </w:r>
      <w:r w:rsidR="009B775F">
        <w:rPr>
          <w:rFonts w:ascii="Garamond" w:hAnsi="Garamond"/>
          <w:sz w:val="20"/>
          <w:szCs w:val="20"/>
          <w:lang w:val="es-MX"/>
        </w:rPr>
        <w:t xml:space="preserve"> adolescentes, mientras que en el estrato 5 únicamente </w:t>
      </w:r>
      <w:r w:rsidR="00B078BE">
        <w:rPr>
          <w:rFonts w:ascii="Garamond" w:hAnsi="Garamond"/>
          <w:sz w:val="20"/>
          <w:szCs w:val="20"/>
          <w:lang w:val="es-MX"/>
        </w:rPr>
        <w:t xml:space="preserve">en </w:t>
      </w:r>
      <w:r w:rsidR="009B775F">
        <w:rPr>
          <w:rFonts w:ascii="Garamond" w:hAnsi="Garamond"/>
          <w:sz w:val="20"/>
          <w:szCs w:val="20"/>
          <w:lang w:val="es-MX"/>
        </w:rPr>
        <w:t xml:space="preserve">el 8,7% </w:t>
      </w:r>
      <w:r w:rsidR="007C7A8F">
        <w:rPr>
          <w:rFonts w:ascii="Garamond" w:hAnsi="Garamond"/>
          <w:sz w:val="20"/>
          <w:szCs w:val="20"/>
          <w:lang w:val="es-MX"/>
        </w:rPr>
        <w:t xml:space="preserve">(6.023) </w:t>
      </w:r>
      <w:r w:rsidR="009B775F">
        <w:rPr>
          <w:rFonts w:ascii="Garamond" w:hAnsi="Garamond"/>
          <w:sz w:val="20"/>
          <w:szCs w:val="20"/>
          <w:lang w:val="es-MX"/>
        </w:rPr>
        <w:t>de los hogares familiares</w:t>
      </w:r>
      <w:r w:rsidR="0053782B">
        <w:rPr>
          <w:rFonts w:ascii="Garamond" w:hAnsi="Garamond"/>
          <w:sz w:val="20"/>
          <w:szCs w:val="20"/>
          <w:lang w:val="es-MX"/>
        </w:rPr>
        <w:t xml:space="preserve"> </w:t>
      </w:r>
      <w:r w:rsidR="009B775F">
        <w:rPr>
          <w:rFonts w:ascii="Garamond" w:hAnsi="Garamond"/>
          <w:sz w:val="20"/>
          <w:szCs w:val="20"/>
          <w:lang w:val="es-MX"/>
        </w:rPr>
        <w:t xml:space="preserve">hay adolescentes. </w:t>
      </w:r>
    </w:p>
    <w:p w14:paraId="1EE761B3" w14:textId="399779C5" w:rsidR="00F54326" w:rsidRDefault="00F54326" w:rsidP="00F54326">
      <w:pPr>
        <w:spacing w:line="360" w:lineRule="auto"/>
        <w:jc w:val="both"/>
        <w:rPr>
          <w:rFonts w:ascii="Garamond" w:hAnsi="Garamond"/>
          <w:sz w:val="20"/>
          <w:szCs w:val="20"/>
          <w:lang w:val="es-MX"/>
        </w:rPr>
      </w:pPr>
      <w:r>
        <w:rPr>
          <w:rFonts w:ascii="Garamond" w:hAnsi="Garamond"/>
          <w:sz w:val="20"/>
          <w:szCs w:val="20"/>
          <w:lang w:val="es-MX"/>
        </w:rPr>
        <w:t>En términos generales, la mayoría de los hogares</w:t>
      </w:r>
      <w:r w:rsidR="006F23C1">
        <w:rPr>
          <w:rFonts w:ascii="Garamond" w:hAnsi="Garamond"/>
          <w:sz w:val="20"/>
          <w:szCs w:val="20"/>
          <w:lang w:val="es-MX"/>
        </w:rPr>
        <w:t xml:space="preserve"> familiares</w:t>
      </w:r>
      <w:r>
        <w:rPr>
          <w:rFonts w:ascii="Garamond" w:hAnsi="Garamond"/>
          <w:sz w:val="20"/>
          <w:szCs w:val="20"/>
          <w:lang w:val="es-MX"/>
        </w:rPr>
        <w:t xml:space="preserve"> con adolescentes se concentran en los estratos 2 y 3. El estrato 2 contribuye con 13,6 puntos porcentuales de los hogares que tiene adolescentes, y el estrato 3 aporta 6,6 pp, es decir que estos </w:t>
      </w:r>
      <w:r w:rsidR="006F23C1">
        <w:rPr>
          <w:rFonts w:ascii="Garamond" w:hAnsi="Garamond"/>
          <w:sz w:val="20"/>
          <w:szCs w:val="20"/>
          <w:lang w:val="es-MX"/>
        </w:rPr>
        <w:t xml:space="preserve">dos estratos </w:t>
      </w:r>
      <w:r>
        <w:rPr>
          <w:rFonts w:ascii="Garamond" w:hAnsi="Garamond"/>
          <w:sz w:val="20"/>
          <w:szCs w:val="20"/>
          <w:lang w:val="es-MX"/>
        </w:rPr>
        <w:t>concentran 20,2 pp de los 24,5% de hogares familiares con adolescentes en Bogotá, lo que era de esperarse por ser los estratos con el mayor número de hogares en la ciudad.</w:t>
      </w:r>
    </w:p>
    <w:p w14:paraId="3B3BD8DB" w14:textId="7CF7F8B3" w:rsidR="002232F9" w:rsidRDefault="002232F9" w:rsidP="002232F9">
      <w:pPr>
        <w:spacing w:after="0" w:line="360" w:lineRule="auto"/>
        <w:jc w:val="center"/>
        <w:rPr>
          <w:rFonts w:ascii="Garamond" w:hAnsi="Garamond"/>
          <w:b/>
          <w:sz w:val="20"/>
          <w:lang w:val="es-MX"/>
        </w:rPr>
      </w:pPr>
      <w:bookmarkStart w:id="3" w:name="OLE_LINK3"/>
      <w:r w:rsidRPr="00822A4A">
        <w:rPr>
          <w:rFonts w:ascii="Garamond" w:hAnsi="Garamond"/>
          <w:b/>
          <w:sz w:val="20"/>
          <w:lang w:val="es-MX"/>
        </w:rPr>
        <w:t xml:space="preserve">Gráfico </w:t>
      </w:r>
      <w:r>
        <w:rPr>
          <w:rFonts w:ascii="Garamond" w:hAnsi="Garamond"/>
          <w:b/>
          <w:sz w:val="20"/>
          <w:lang w:val="es-MX"/>
        </w:rPr>
        <w:t>5</w:t>
      </w:r>
      <w:r w:rsidRPr="00822A4A">
        <w:rPr>
          <w:rFonts w:ascii="Garamond" w:hAnsi="Garamond"/>
          <w:b/>
          <w:sz w:val="20"/>
          <w:lang w:val="es-MX"/>
        </w:rPr>
        <w:t>. Porcentaje de hogares</w:t>
      </w:r>
      <w:r>
        <w:rPr>
          <w:rFonts w:ascii="Garamond" w:hAnsi="Garamond"/>
          <w:b/>
          <w:sz w:val="20"/>
          <w:lang w:val="es-MX"/>
        </w:rPr>
        <w:t xml:space="preserve"> familiares </w:t>
      </w:r>
      <w:r w:rsidRPr="00822A4A">
        <w:rPr>
          <w:rFonts w:ascii="Garamond" w:hAnsi="Garamond"/>
          <w:b/>
          <w:sz w:val="20"/>
          <w:lang w:val="es-MX"/>
        </w:rPr>
        <w:t>con adolescentes</w:t>
      </w:r>
      <w:r>
        <w:rPr>
          <w:rFonts w:ascii="Garamond" w:hAnsi="Garamond"/>
          <w:b/>
          <w:sz w:val="20"/>
          <w:lang w:val="es-MX"/>
        </w:rPr>
        <w:t xml:space="preserve"> por </w:t>
      </w:r>
      <w:r w:rsidR="00C32610">
        <w:rPr>
          <w:rFonts w:ascii="Garamond" w:hAnsi="Garamond"/>
          <w:b/>
          <w:sz w:val="20"/>
          <w:lang w:val="es-MX"/>
        </w:rPr>
        <w:t>l</w:t>
      </w:r>
      <w:r>
        <w:rPr>
          <w:rFonts w:ascii="Garamond" w:hAnsi="Garamond"/>
          <w:b/>
          <w:sz w:val="20"/>
          <w:lang w:val="es-MX"/>
        </w:rPr>
        <w:t>ocalidad</w:t>
      </w:r>
    </w:p>
    <w:bookmarkEnd w:id="3"/>
    <w:p w14:paraId="2501DA84" w14:textId="67ED7D58" w:rsidR="002232F9" w:rsidRPr="00822A4A" w:rsidRDefault="00C32610" w:rsidP="002232F9">
      <w:pPr>
        <w:spacing w:after="0" w:line="360" w:lineRule="auto"/>
        <w:jc w:val="center"/>
        <w:rPr>
          <w:rFonts w:ascii="Garamond" w:hAnsi="Garamond"/>
          <w:b/>
          <w:sz w:val="20"/>
          <w:lang w:val="es-MX"/>
        </w:rPr>
      </w:pPr>
      <w:r>
        <w:rPr>
          <w:noProof/>
          <w:lang w:val="es-ES" w:eastAsia="es-ES"/>
        </w:rPr>
        <w:drawing>
          <wp:inline distT="0" distB="0" distL="0" distR="0" wp14:anchorId="1CEE882A" wp14:editId="4DF07546">
            <wp:extent cx="2581275" cy="4121834"/>
            <wp:effectExtent l="0" t="0" r="0" b="0"/>
            <wp:docPr id="20" name="Gráfico 20">
              <a:extLst xmlns:a="http://schemas.openxmlformats.org/drawingml/2006/main">
                <a:ext uri="{FF2B5EF4-FFF2-40B4-BE49-F238E27FC236}">
                  <a16:creationId xmlns:a16="http://schemas.microsoft.com/office/drawing/2014/main" id="{87E8AFF5-6385-3D49-AEA5-DDF36FCEA5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2232F9" w:rsidRPr="00822A4A">
        <w:rPr>
          <w:rFonts w:ascii="Garamond" w:hAnsi="Garamond"/>
          <w:b/>
          <w:sz w:val="20"/>
          <w:lang w:val="es-MX"/>
        </w:rPr>
        <w:t xml:space="preserve"> </w:t>
      </w:r>
    </w:p>
    <w:p w14:paraId="74FC0795" w14:textId="03275815" w:rsidR="00A457EE" w:rsidRDefault="00C32610" w:rsidP="00F446E7">
      <w:pPr>
        <w:spacing w:line="360" w:lineRule="auto"/>
        <w:jc w:val="both"/>
        <w:rPr>
          <w:rFonts w:ascii="Garamond" w:hAnsi="Garamond"/>
          <w:sz w:val="20"/>
          <w:szCs w:val="20"/>
          <w:lang w:val="es-MX"/>
        </w:rPr>
      </w:pPr>
      <w:r>
        <w:rPr>
          <w:rFonts w:ascii="Garamond" w:hAnsi="Garamond"/>
          <w:sz w:val="20"/>
          <w:szCs w:val="20"/>
          <w:lang w:val="es-MX"/>
        </w:rPr>
        <w:t xml:space="preserve">En cuanto a las localidades, Kennedy cuenta con 163.520 (50,7%) hogares familiares con adolescentes, </w:t>
      </w:r>
      <w:r>
        <w:rPr>
          <w:rFonts w:ascii="Garamond" w:hAnsi="Garamond"/>
          <w:sz w:val="20"/>
          <w:szCs w:val="20"/>
          <w:lang w:val="es-MX"/>
        </w:rPr>
        <w:t xml:space="preserve">siendo la localidad que </w:t>
      </w:r>
      <w:r w:rsidR="00327D13">
        <w:rPr>
          <w:rFonts w:ascii="Garamond" w:hAnsi="Garamond"/>
          <w:sz w:val="20"/>
          <w:szCs w:val="20"/>
          <w:lang w:val="es-MX"/>
        </w:rPr>
        <w:t>aporta el mayor número de hogares con adolescentes</w:t>
      </w:r>
      <w:r w:rsidR="00A457EE">
        <w:rPr>
          <w:rFonts w:ascii="Garamond" w:hAnsi="Garamond"/>
          <w:sz w:val="20"/>
          <w:szCs w:val="20"/>
          <w:lang w:val="es-MX"/>
        </w:rPr>
        <w:t xml:space="preserve"> en Bogotá,</w:t>
      </w:r>
      <w:r>
        <w:rPr>
          <w:rFonts w:ascii="Garamond" w:hAnsi="Garamond"/>
          <w:sz w:val="20"/>
          <w:szCs w:val="20"/>
          <w:lang w:val="es-MX"/>
        </w:rPr>
        <w:t xml:space="preserve"> seguida </w:t>
      </w:r>
      <w:r w:rsidR="00327D13">
        <w:rPr>
          <w:rFonts w:ascii="Garamond" w:hAnsi="Garamond"/>
          <w:sz w:val="20"/>
          <w:szCs w:val="20"/>
          <w:lang w:val="es-MX"/>
        </w:rPr>
        <w:t>por</w:t>
      </w:r>
      <w:r>
        <w:rPr>
          <w:rFonts w:ascii="Garamond" w:hAnsi="Garamond"/>
          <w:sz w:val="20"/>
          <w:szCs w:val="20"/>
          <w:lang w:val="es-MX"/>
        </w:rPr>
        <w:t xml:space="preserve"> Engativá con </w:t>
      </w:r>
      <w:r w:rsidR="00327D13">
        <w:rPr>
          <w:rFonts w:ascii="Garamond" w:hAnsi="Garamond"/>
          <w:sz w:val="20"/>
          <w:szCs w:val="20"/>
          <w:lang w:val="es-MX"/>
        </w:rPr>
        <w:t>112.243 (38,2%) hogares familiares con adolescentes</w:t>
      </w:r>
      <w:r>
        <w:rPr>
          <w:rFonts w:ascii="Garamond" w:hAnsi="Garamond"/>
          <w:sz w:val="20"/>
          <w:szCs w:val="20"/>
          <w:lang w:val="es-MX"/>
        </w:rPr>
        <w:t xml:space="preserve">. Por el contrario Usme y Usaquén son las localidades que tienen el menor porcentaje de hogares familiares </w:t>
      </w:r>
      <w:r w:rsidR="00327D13">
        <w:rPr>
          <w:rFonts w:ascii="Garamond" w:hAnsi="Garamond"/>
          <w:sz w:val="20"/>
          <w:szCs w:val="20"/>
          <w:lang w:val="es-MX"/>
        </w:rPr>
        <w:t>con</w:t>
      </w:r>
      <w:r>
        <w:rPr>
          <w:rFonts w:ascii="Garamond" w:hAnsi="Garamond"/>
          <w:sz w:val="20"/>
          <w:szCs w:val="20"/>
          <w:lang w:val="es-MX"/>
        </w:rPr>
        <w:t xml:space="preserve"> adolescentes 5,2%</w:t>
      </w:r>
      <w:r w:rsidR="00A457EE">
        <w:rPr>
          <w:rFonts w:ascii="Garamond" w:hAnsi="Garamond"/>
          <w:sz w:val="20"/>
          <w:szCs w:val="20"/>
          <w:lang w:val="es-MX"/>
        </w:rPr>
        <w:t xml:space="preserve"> (6.474)</w:t>
      </w:r>
      <w:r>
        <w:rPr>
          <w:rFonts w:ascii="Garamond" w:hAnsi="Garamond"/>
          <w:sz w:val="20"/>
          <w:szCs w:val="20"/>
          <w:lang w:val="es-MX"/>
        </w:rPr>
        <w:t xml:space="preserve"> y 6,8% </w:t>
      </w:r>
      <w:r w:rsidR="00A457EE">
        <w:rPr>
          <w:rFonts w:ascii="Garamond" w:hAnsi="Garamond"/>
          <w:sz w:val="20"/>
          <w:szCs w:val="20"/>
          <w:lang w:val="es-MX"/>
        </w:rPr>
        <w:t>(13.000)</w:t>
      </w:r>
      <w:r w:rsidR="003C37D7">
        <w:rPr>
          <w:rFonts w:ascii="Garamond" w:hAnsi="Garamond"/>
          <w:sz w:val="20"/>
          <w:szCs w:val="20"/>
          <w:lang w:val="es-MX"/>
        </w:rPr>
        <w:t>,</w:t>
      </w:r>
      <w:r w:rsidR="00A457EE">
        <w:rPr>
          <w:rFonts w:ascii="Garamond" w:hAnsi="Garamond"/>
          <w:sz w:val="20"/>
          <w:szCs w:val="20"/>
          <w:lang w:val="es-MX"/>
        </w:rPr>
        <w:t xml:space="preserve"> </w:t>
      </w:r>
      <w:r>
        <w:rPr>
          <w:rFonts w:ascii="Garamond" w:hAnsi="Garamond"/>
          <w:sz w:val="20"/>
          <w:szCs w:val="20"/>
          <w:lang w:val="es-MX"/>
        </w:rPr>
        <w:t>respectivamente</w:t>
      </w:r>
      <w:r w:rsidR="00A457EE">
        <w:rPr>
          <w:rFonts w:ascii="Garamond" w:hAnsi="Garamond"/>
          <w:sz w:val="20"/>
          <w:szCs w:val="20"/>
          <w:lang w:val="es-MX"/>
        </w:rPr>
        <w:t xml:space="preserve">. No obstante, Sumapaz en términos absolutos es la localidad que tiene el menor número de hogares familiares con adolescentes </w:t>
      </w:r>
      <w:r w:rsidR="00CF53CD">
        <w:rPr>
          <w:rFonts w:ascii="Garamond" w:hAnsi="Garamond"/>
          <w:sz w:val="20"/>
          <w:szCs w:val="20"/>
          <w:lang w:val="es-MX"/>
        </w:rPr>
        <w:t>(</w:t>
      </w:r>
      <w:r w:rsidR="00570FAE">
        <w:rPr>
          <w:rFonts w:ascii="Garamond" w:hAnsi="Garamond"/>
          <w:sz w:val="20"/>
          <w:szCs w:val="20"/>
          <w:lang w:val="es-MX"/>
        </w:rPr>
        <w:t xml:space="preserve">926 </w:t>
      </w:r>
      <w:r w:rsidR="00A457EE">
        <w:rPr>
          <w:rFonts w:ascii="Garamond" w:hAnsi="Garamond"/>
          <w:sz w:val="20"/>
          <w:szCs w:val="20"/>
          <w:lang w:val="es-MX"/>
        </w:rPr>
        <w:t>de 2.537 hogares familiares de esta localidad)</w:t>
      </w:r>
      <w:r w:rsidR="00CF53CD">
        <w:rPr>
          <w:rFonts w:ascii="Garamond" w:hAnsi="Garamond"/>
          <w:sz w:val="20"/>
          <w:szCs w:val="20"/>
          <w:lang w:val="es-MX"/>
        </w:rPr>
        <w:t xml:space="preserve"> y le sigue La Candelaria con 2.038 (de 7.325 hogares de esta localidad).</w:t>
      </w:r>
    </w:p>
    <w:p w14:paraId="2B59E743" w14:textId="61129FB9" w:rsidR="00460525" w:rsidRPr="00A43A86" w:rsidRDefault="00460525" w:rsidP="00A72991">
      <w:pPr>
        <w:spacing w:after="0" w:line="360" w:lineRule="auto"/>
        <w:jc w:val="center"/>
        <w:rPr>
          <w:rFonts w:ascii="Garamond" w:hAnsi="Garamond"/>
          <w:b/>
          <w:sz w:val="20"/>
          <w:lang w:val="es-MX"/>
        </w:rPr>
      </w:pPr>
      <w:r w:rsidRPr="00A43A86">
        <w:rPr>
          <w:rFonts w:ascii="Garamond" w:hAnsi="Garamond"/>
          <w:b/>
          <w:sz w:val="20"/>
          <w:lang w:val="es-MX"/>
        </w:rPr>
        <w:t>Gráfic</w:t>
      </w:r>
      <w:r w:rsidR="00551EA7" w:rsidRPr="00A43A86">
        <w:rPr>
          <w:rFonts w:ascii="Garamond" w:hAnsi="Garamond"/>
          <w:b/>
          <w:sz w:val="20"/>
          <w:lang w:val="es-MX"/>
        </w:rPr>
        <w:t xml:space="preserve">o </w:t>
      </w:r>
      <w:r w:rsidR="00AF292D">
        <w:rPr>
          <w:rFonts w:ascii="Garamond" w:hAnsi="Garamond"/>
          <w:b/>
          <w:sz w:val="20"/>
          <w:lang w:val="es-MX"/>
        </w:rPr>
        <w:t>6</w:t>
      </w:r>
      <w:r w:rsidR="007E7DA8" w:rsidRPr="00A43A86">
        <w:rPr>
          <w:rFonts w:ascii="Garamond" w:hAnsi="Garamond"/>
          <w:b/>
          <w:sz w:val="20"/>
          <w:lang w:val="es-MX"/>
        </w:rPr>
        <w:t xml:space="preserve">. Porcentaje de </w:t>
      </w:r>
      <w:r w:rsidR="00B44EB1" w:rsidRPr="00A43A86">
        <w:rPr>
          <w:rFonts w:ascii="Garamond" w:hAnsi="Garamond"/>
          <w:b/>
          <w:sz w:val="20"/>
          <w:lang w:val="es-MX"/>
        </w:rPr>
        <w:t>hogares</w:t>
      </w:r>
      <w:r w:rsidR="003D0977" w:rsidRPr="00A43A86">
        <w:rPr>
          <w:rFonts w:ascii="Garamond" w:hAnsi="Garamond"/>
          <w:b/>
          <w:sz w:val="20"/>
          <w:lang w:val="es-MX"/>
        </w:rPr>
        <w:t xml:space="preserve"> </w:t>
      </w:r>
      <w:r w:rsidR="00B078BE" w:rsidRPr="00A43A86">
        <w:rPr>
          <w:rFonts w:ascii="Garamond" w:hAnsi="Garamond"/>
          <w:b/>
          <w:sz w:val="20"/>
          <w:lang w:val="es-MX"/>
        </w:rPr>
        <w:t xml:space="preserve">familiares </w:t>
      </w:r>
      <w:r w:rsidR="007E7DA8" w:rsidRPr="00A43A86">
        <w:rPr>
          <w:rFonts w:ascii="Garamond" w:hAnsi="Garamond"/>
          <w:b/>
          <w:sz w:val="20"/>
          <w:lang w:val="es-MX"/>
        </w:rPr>
        <w:t>con jóvenes</w:t>
      </w:r>
      <w:r w:rsidR="00A457EE" w:rsidRPr="00A43A86">
        <w:rPr>
          <w:rFonts w:ascii="Garamond" w:hAnsi="Garamond"/>
          <w:b/>
          <w:sz w:val="20"/>
          <w:lang w:val="es-MX"/>
        </w:rPr>
        <w:t xml:space="preserve"> </w:t>
      </w:r>
      <w:r w:rsidR="001923F7">
        <w:rPr>
          <w:rFonts w:ascii="Garamond" w:hAnsi="Garamond"/>
          <w:b/>
          <w:sz w:val="20"/>
          <w:lang w:val="es-MX"/>
        </w:rPr>
        <w:t>(personas de 18 a 28 años )</w:t>
      </w:r>
      <w:r w:rsidR="00A457EE" w:rsidRPr="00A43A86">
        <w:rPr>
          <w:rFonts w:ascii="Garamond" w:hAnsi="Garamond"/>
          <w:b/>
          <w:sz w:val="20"/>
          <w:lang w:val="es-MX"/>
        </w:rPr>
        <w:t>por estrato socioeconómico</w:t>
      </w:r>
    </w:p>
    <w:p w14:paraId="5DF22340" w14:textId="11BF1651" w:rsidR="006E7597" w:rsidRPr="00460525" w:rsidRDefault="00DC71F2" w:rsidP="00460525">
      <w:pPr>
        <w:spacing w:line="360" w:lineRule="auto"/>
        <w:jc w:val="both"/>
        <w:rPr>
          <w:rFonts w:ascii="Garamond" w:hAnsi="Garamond"/>
          <w:sz w:val="16"/>
          <w:szCs w:val="20"/>
          <w:lang w:val="es-MX"/>
        </w:rPr>
      </w:pPr>
      <w:r>
        <w:rPr>
          <w:noProof/>
          <w:lang w:val="es-ES" w:eastAsia="es-ES"/>
        </w:rPr>
        <w:drawing>
          <wp:inline distT="0" distB="0" distL="0" distR="0" wp14:anchorId="6AC7E2B0" wp14:editId="136B3715">
            <wp:extent cx="2581275" cy="2011680"/>
            <wp:effectExtent l="0" t="0" r="0" b="0"/>
            <wp:docPr id="1" name="Gráfico 1">
              <a:extLst xmlns:a="http://schemas.openxmlformats.org/drawingml/2006/main">
                <a:ext uri="{FF2B5EF4-FFF2-40B4-BE49-F238E27FC236}">
                  <a16:creationId xmlns:a16="http://schemas.microsoft.com/office/drawing/2014/main" id="{B5D3C993-3971-544F-BCD7-2F7CF5FF1B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BEB388" w14:textId="5DAD5421" w:rsidR="00525C19" w:rsidRDefault="00B44800" w:rsidP="005E283A">
      <w:pPr>
        <w:spacing w:line="360" w:lineRule="auto"/>
        <w:jc w:val="both"/>
        <w:rPr>
          <w:rFonts w:ascii="Garamond" w:hAnsi="Garamond"/>
          <w:sz w:val="20"/>
          <w:lang w:val="es-MX"/>
        </w:rPr>
      </w:pPr>
      <w:r>
        <w:rPr>
          <w:rFonts w:ascii="Garamond" w:hAnsi="Garamond"/>
          <w:sz w:val="20"/>
          <w:lang w:val="es-MX"/>
        </w:rPr>
        <w:t>En cuanto a los hogares familiares con jóvenes</w:t>
      </w:r>
      <w:r w:rsidR="001923F7">
        <w:rPr>
          <w:rFonts w:ascii="Garamond" w:hAnsi="Garamond"/>
          <w:sz w:val="20"/>
          <w:lang w:val="es-MX"/>
        </w:rPr>
        <w:t xml:space="preserve"> (personas de 18 a 28 años)</w:t>
      </w:r>
      <w:r>
        <w:rPr>
          <w:rFonts w:ascii="Garamond" w:hAnsi="Garamond"/>
          <w:sz w:val="20"/>
          <w:lang w:val="es-MX"/>
        </w:rPr>
        <w:t>, el estrato 2 tiene el mayor porcentaje de hogares familiares con jóvenes (63</w:t>
      </w:r>
      <w:r w:rsidR="00AF292D">
        <w:rPr>
          <w:rFonts w:ascii="Garamond" w:hAnsi="Garamond"/>
          <w:sz w:val="20"/>
          <w:lang w:val="es-MX"/>
        </w:rPr>
        <w:t>,2%) seguido del estrato 3 que registra 59,2% de hogares familiares con jóvenes y el estrato 1 con 58,3%. En total en Bogotá el 59,9% de los hogares familiares tienen jóvenes.</w:t>
      </w:r>
    </w:p>
    <w:p w14:paraId="174579B4" w14:textId="10B81679" w:rsidR="00525C19" w:rsidRDefault="00525C19" w:rsidP="00525C19">
      <w:pPr>
        <w:spacing w:line="360" w:lineRule="auto"/>
        <w:jc w:val="both"/>
        <w:rPr>
          <w:rFonts w:ascii="Garamond" w:hAnsi="Garamond"/>
          <w:sz w:val="20"/>
          <w:lang w:val="es-MX"/>
        </w:rPr>
      </w:pPr>
      <w:r>
        <w:rPr>
          <w:rFonts w:ascii="Garamond" w:hAnsi="Garamond"/>
          <w:sz w:val="20"/>
          <w:lang w:val="es-MX"/>
        </w:rPr>
        <w:t xml:space="preserve">En el 83,3% de los hogares familiares de Usaquén y Ciudada Bolívar respectivamente hay jóvenes, y son las localidades que se destacan frente a las demás por ser las que tienen los mayores porcentajes, mientras que las localidades de La Candelaria (46,3%) y </w:t>
      </w:r>
      <w:r>
        <w:rPr>
          <w:rFonts w:ascii="Garamond" w:hAnsi="Garamond"/>
          <w:sz w:val="20"/>
          <w:lang w:val="es-MX"/>
        </w:rPr>
        <w:lastRenderedPageBreak/>
        <w:t xml:space="preserve">Fontibón (48,1%) tienen los menores porcentajes de hogares familiares en los que hay jóvenes. </w:t>
      </w:r>
    </w:p>
    <w:p w14:paraId="0BCECAC4" w14:textId="16C64AD7" w:rsidR="00525C19" w:rsidRPr="005E283A" w:rsidRDefault="00525C19" w:rsidP="005E283A">
      <w:pPr>
        <w:spacing w:line="360" w:lineRule="auto"/>
        <w:jc w:val="both"/>
        <w:rPr>
          <w:rFonts w:ascii="Garamond" w:hAnsi="Garamond"/>
          <w:sz w:val="20"/>
          <w:lang w:val="es-MX"/>
        </w:rPr>
      </w:pPr>
      <w:r>
        <w:rPr>
          <w:rFonts w:ascii="Garamond" w:hAnsi="Garamond"/>
          <w:sz w:val="20"/>
          <w:lang w:val="es-MX"/>
        </w:rPr>
        <w:t>En términos absolutos, Suba es la localidad que tiene el mayor número de hogares en Bogotá con jóvenes (207.315), seguido por Ciudad Bolívar con 177.026 hogares familiares con jóvenes, Engativá con 171.335, Kennedy con 167.491 y Usaquén con 160.101. Estas cinco localidades concentran 33,1 puntos porcentuales de los 59,9% de los hogares familiares con jóvenes de Bogotá.</w:t>
      </w:r>
    </w:p>
    <w:p w14:paraId="497A8518" w14:textId="07130A06" w:rsidR="00403C55" w:rsidRPr="00AF292D" w:rsidRDefault="00AF292D" w:rsidP="00AF292D">
      <w:pPr>
        <w:spacing w:after="0" w:line="360" w:lineRule="auto"/>
        <w:jc w:val="center"/>
        <w:rPr>
          <w:rFonts w:ascii="Garamond" w:hAnsi="Garamond"/>
          <w:b/>
          <w:sz w:val="20"/>
          <w:lang w:val="es-MX"/>
        </w:rPr>
      </w:pPr>
      <w:bookmarkStart w:id="4" w:name="OLE_LINK4"/>
      <w:r w:rsidRPr="00822A4A">
        <w:rPr>
          <w:rFonts w:ascii="Garamond" w:hAnsi="Garamond"/>
          <w:b/>
          <w:sz w:val="20"/>
          <w:lang w:val="es-MX"/>
        </w:rPr>
        <w:t xml:space="preserve">Gráfico </w:t>
      </w:r>
      <w:r>
        <w:rPr>
          <w:rFonts w:ascii="Garamond" w:hAnsi="Garamond"/>
          <w:b/>
          <w:sz w:val="20"/>
          <w:lang w:val="es-MX"/>
        </w:rPr>
        <w:t>7</w:t>
      </w:r>
      <w:r w:rsidRPr="00822A4A">
        <w:rPr>
          <w:rFonts w:ascii="Garamond" w:hAnsi="Garamond"/>
          <w:b/>
          <w:sz w:val="20"/>
          <w:lang w:val="es-MX"/>
        </w:rPr>
        <w:t>. Porcentaje de hogares</w:t>
      </w:r>
      <w:r>
        <w:rPr>
          <w:rFonts w:ascii="Garamond" w:hAnsi="Garamond"/>
          <w:b/>
          <w:sz w:val="20"/>
          <w:lang w:val="es-MX"/>
        </w:rPr>
        <w:t xml:space="preserve"> familiares </w:t>
      </w:r>
      <w:r w:rsidRPr="00822A4A">
        <w:rPr>
          <w:rFonts w:ascii="Garamond" w:hAnsi="Garamond"/>
          <w:b/>
          <w:sz w:val="20"/>
          <w:lang w:val="es-MX"/>
        </w:rPr>
        <w:t xml:space="preserve">con </w:t>
      </w:r>
      <w:r>
        <w:rPr>
          <w:rFonts w:ascii="Garamond" w:hAnsi="Garamond"/>
          <w:b/>
          <w:sz w:val="20"/>
          <w:lang w:val="es-MX"/>
        </w:rPr>
        <w:t>jóvenes por localidad</w:t>
      </w:r>
    </w:p>
    <w:bookmarkEnd w:id="4"/>
    <w:p w14:paraId="6D3951C6" w14:textId="34E5A59B" w:rsidR="006E7597" w:rsidRDefault="00881FAD" w:rsidP="005E283A">
      <w:pPr>
        <w:spacing w:after="0" w:line="360" w:lineRule="auto"/>
        <w:jc w:val="center"/>
        <w:rPr>
          <w:rFonts w:ascii="Garamond" w:hAnsi="Garamond"/>
          <w:b/>
          <w:sz w:val="18"/>
          <w:lang w:val="es-MX"/>
        </w:rPr>
      </w:pPr>
      <w:r>
        <w:rPr>
          <w:noProof/>
          <w:lang w:val="es-ES" w:eastAsia="es-ES"/>
        </w:rPr>
        <w:drawing>
          <wp:inline distT="0" distB="0" distL="0" distR="0" wp14:anchorId="5253B25E" wp14:editId="4CE99FD1">
            <wp:extent cx="2581275" cy="4022774"/>
            <wp:effectExtent l="0" t="0" r="0" b="0"/>
            <wp:docPr id="21" name="Gráfico 21">
              <a:extLst xmlns:a="http://schemas.openxmlformats.org/drawingml/2006/main">
                <a:ext uri="{FF2B5EF4-FFF2-40B4-BE49-F238E27FC236}">
                  <a16:creationId xmlns:a16="http://schemas.microsoft.com/office/drawing/2014/main" id="{E97814EC-5D1F-BF45-B1CE-13DCEEF414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0986117" w14:textId="77777777" w:rsidR="00255F58" w:rsidRDefault="00255F58" w:rsidP="00255F58">
      <w:pPr>
        <w:spacing w:line="360" w:lineRule="auto"/>
        <w:jc w:val="both"/>
        <w:rPr>
          <w:rFonts w:ascii="Garamond" w:hAnsi="Garamond"/>
          <w:sz w:val="20"/>
          <w:lang w:val="es-MX"/>
        </w:rPr>
      </w:pPr>
      <w:r>
        <w:rPr>
          <w:rFonts w:ascii="Garamond" w:hAnsi="Garamond"/>
          <w:sz w:val="20"/>
          <w:lang w:val="es-MX"/>
        </w:rPr>
        <w:t xml:space="preserve">Frente a los hogares familiares en los que viven adultos (personas de 29 a 59 años) por cada uno de los estratos se identificó que en el 89,6% (62.108) de los hogares de estrato 5 hay adultos, seguido por el estrato 3 con el 86,5% (829.381), y el estrato 6 con 41.231 (81%) de los hogares familiares con adultos. </w:t>
      </w:r>
    </w:p>
    <w:p w14:paraId="690EFABB" w14:textId="25128C40" w:rsidR="00AC2B89" w:rsidRPr="00255F58" w:rsidRDefault="00255F58" w:rsidP="00255F58">
      <w:pPr>
        <w:spacing w:line="360" w:lineRule="auto"/>
        <w:jc w:val="both"/>
        <w:rPr>
          <w:rFonts w:ascii="Garamond" w:hAnsi="Garamond"/>
          <w:sz w:val="20"/>
          <w:lang w:val="es-MX"/>
        </w:rPr>
      </w:pPr>
      <w:r>
        <w:rPr>
          <w:rFonts w:ascii="Garamond" w:hAnsi="Garamond"/>
          <w:sz w:val="20"/>
          <w:lang w:val="es-MX"/>
        </w:rPr>
        <w:t>Sin embargo, los estratos con el mayor número de hogares familiares en Bogotá son los estratos 2 (1.141.281) y 3 (958.487), por ello es importante destacar que son estos dos estratos los que en términos absolutos tienen el mayor número de hogares familiares con adultos: 893.399 y 829.381 respectivamente.</w:t>
      </w:r>
    </w:p>
    <w:p w14:paraId="6E4AB017" w14:textId="161F94E7" w:rsidR="00881FAD" w:rsidRPr="00AC2B89" w:rsidRDefault="00AC2B89" w:rsidP="00AC2B89">
      <w:pPr>
        <w:spacing w:after="0" w:line="360" w:lineRule="auto"/>
        <w:jc w:val="center"/>
        <w:rPr>
          <w:rFonts w:ascii="Garamond" w:hAnsi="Garamond"/>
          <w:b/>
          <w:sz w:val="20"/>
          <w:lang w:val="es-MX"/>
        </w:rPr>
      </w:pPr>
      <w:bookmarkStart w:id="5" w:name="OLE_LINK5"/>
      <w:r w:rsidRPr="00A43A86">
        <w:rPr>
          <w:rFonts w:ascii="Garamond" w:hAnsi="Garamond"/>
          <w:b/>
          <w:sz w:val="20"/>
          <w:lang w:val="es-MX"/>
        </w:rPr>
        <w:t xml:space="preserve">Gráfico </w:t>
      </w:r>
      <w:r>
        <w:rPr>
          <w:rFonts w:ascii="Garamond" w:hAnsi="Garamond"/>
          <w:b/>
          <w:sz w:val="20"/>
          <w:lang w:val="es-MX"/>
        </w:rPr>
        <w:t>8</w:t>
      </w:r>
      <w:r w:rsidRPr="00A43A86">
        <w:rPr>
          <w:rFonts w:ascii="Garamond" w:hAnsi="Garamond"/>
          <w:b/>
          <w:sz w:val="20"/>
          <w:lang w:val="es-MX"/>
        </w:rPr>
        <w:t xml:space="preserve">. Porcentaje de hogares familiares con </w:t>
      </w:r>
      <w:r>
        <w:rPr>
          <w:rFonts w:ascii="Garamond" w:hAnsi="Garamond"/>
          <w:b/>
          <w:sz w:val="20"/>
          <w:lang w:val="es-MX"/>
        </w:rPr>
        <w:t>adultos</w:t>
      </w:r>
      <w:r w:rsidR="007D62D6">
        <w:rPr>
          <w:rFonts w:ascii="Garamond" w:hAnsi="Garamond"/>
          <w:b/>
          <w:sz w:val="20"/>
          <w:lang w:val="es-MX"/>
        </w:rPr>
        <w:t xml:space="preserve"> (personas de 29 a 59 años)</w:t>
      </w:r>
      <w:r w:rsidRPr="00A43A86">
        <w:rPr>
          <w:rFonts w:ascii="Garamond" w:hAnsi="Garamond"/>
          <w:b/>
          <w:sz w:val="20"/>
          <w:lang w:val="es-MX"/>
        </w:rPr>
        <w:t xml:space="preserve"> por estrato socioeconómico</w:t>
      </w:r>
    </w:p>
    <w:bookmarkEnd w:id="5"/>
    <w:p w14:paraId="6AB4F4C9" w14:textId="403927B1" w:rsidR="007A6F04" w:rsidRDefault="007A6F04" w:rsidP="006E7597">
      <w:pPr>
        <w:spacing w:line="360" w:lineRule="auto"/>
        <w:jc w:val="both"/>
        <w:rPr>
          <w:rFonts w:ascii="Garamond" w:hAnsi="Garamond"/>
          <w:sz w:val="20"/>
          <w:lang w:val="es-MX"/>
        </w:rPr>
      </w:pPr>
      <w:r>
        <w:rPr>
          <w:noProof/>
          <w:lang w:val="es-ES" w:eastAsia="es-ES"/>
        </w:rPr>
        <w:drawing>
          <wp:inline distT="0" distB="0" distL="0" distR="0" wp14:anchorId="6BB47E06" wp14:editId="483811CA">
            <wp:extent cx="2581275" cy="2060916"/>
            <wp:effectExtent l="0" t="0" r="0" b="0"/>
            <wp:docPr id="22" name="Gráfico 22">
              <a:extLst xmlns:a="http://schemas.openxmlformats.org/drawingml/2006/main">
                <a:ext uri="{FF2B5EF4-FFF2-40B4-BE49-F238E27FC236}">
                  <a16:creationId xmlns:a16="http://schemas.microsoft.com/office/drawing/2014/main" id="{6C05A2B9-E0B4-DB4E-9172-5087913851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C1B08B" w14:textId="78745B55" w:rsidR="00391EA5" w:rsidRPr="00AF292D" w:rsidRDefault="00391EA5" w:rsidP="00391EA5">
      <w:pPr>
        <w:spacing w:after="0" w:line="360" w:lineRule="auto"/>
        <w:jc w:val="center"/>
        <w:rPr>
          <w:rFonts w:ascii="Garamond" w:hAnsi="Garamond"/>
          <w:b/>
          <w:sz w:val="20"/>
          <w:lang w:val="es-MX"/>
        </w:rPr>
      </w:pPr>
      <w:bookmarkStart w:id="6" w:name="OLE_LINK6"/>
      <w:r w:rsidRPr="00822A4A">
        <w:rPr>
          <w:rFonts w:ascii="Garamond" w:hAnsi="Garamond"/>
          <w:b/>
          <w:sz w:val="20"/>
          <w:lang w:val="es-MX"/>
        </w:rPr>
        <w:t xml:space="preserve">Gráfico </w:t>
      </w:r>
      <w:r>
        <w:rPr>
          <w:rFonts w:ascii="Garamond" w:hAnsi="Garamond"/>
          <w:b/>
          <w:sz w:val="20"/>
          <w:lang w:val="es-MX"/>
        </w:rPr>
        <w:t>9</w:t>
      </w:r>
      <w:r w:rsidRPr="00822A4A">
        <w:rPr>
          <w:rFonts w:ascii="Garamond" w:hAnsi="Garamond"/>
          <w:b/>
          <w:sz w:val="20"/>
          <w:lang w:val="es-MX"/>
        </w:rPr>
        <w:t>. Porcentaje de hogares</w:t>
      </w:r>
      <w:r>
        <w:rPr>
          <w:rFonts w:ascii="Garamond" w:hAnsi="Garamond"/>
          <w:b/>
          <w:sz w:val="20"/>
          <w:lang w:val="es-MX"/>
        </w:rPr>
        <w:t xml:space="preserve"> familiares </w:t>
      </w:r>
      <w:r w:rsidRPr="00822A4A">
        <w:rPr>
          <w:rFonts w:ascii="Garamond" w:hAnsi="Garamond"/>
          <w:b/>
          <w:sz w:val="20"/>
          <w:lang w:val="es-MX"/>
        </w:rPr>
        <w:t xml:space="preserve">con </w:t>
      </w:r>
      <w:r>
        <w:rPr>
          <w:rFonts w:ascii="Garamond" w:hAnsi="Garamond"/>
          <w:b/>
          <w:sz w:val="20"/>
          <w:lang w:val="es-MX"/>
        </w:rPr>
        <w:t>adultos por localidad</w:t>
      </w:r>
    </w:p>
    <w:bookmarkEnd w:id="6"/>
    <w:p w14:paraId="6C5284E8" w14:textId="292118A4" w:rsidR="00391EA5" w:rsidRDefault="00930591" w:rsidP="006E7597">
      <w:pPr>
        <w:spacing w:line="360" w:lineRule="auto"/>
        <w:jc w:val="both"/>
        <w:rPr>
          <w:rFonts w:ascii="Garamond" w:hAnsi="Garamond"/>
          <w:sz w:val="20"/>
          <w:lang w:val="es-MX"/>
        </w:rPr>
      </w:pPr>
      <w:r>
        <w:rPr>
          <w:noProof/>
          <w:lang w:val="es-ES" w:eastAsia="es-ES"/>
        </w:rPr>
        <w:drawing>
          <wp:inline distT="0" distB="0" distL="0" distR="0" wp14:anchorId="27B2582A" wp14:editId="001D3E98">
            <wp:extent cx="2855595" cy="3022600"/>
            <wp:effectExtent l="0" t="0" r="0" b="0"/>
            <wp:docPr id="23" name="Gráfico 23">
              <a:extLst xmlns:a="http://schemas.openxmlformats.org/drawingml/2006/main">
                <a:ext uri="{FF2B5EF4-FFF2-40B4-BE49-F238E27FC236}">
                  <a16:creationId xmlns:a16="http://schemas.microsoft.com/office/drawing/2014/main" id="{AFC8A1DD-9B11-4245-8215-2A1E482BF7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D6C6AC" w14:textId="77777777" w:rsidR="00C63180" w:rsidRDefault="00C63180" w:rsidP="00C63180">
      <w:pPr>
        <w:spacing w:line="360" w:lineRule="auto"/>
        <w:jc w:val="both"/>
        <w:rPr>
          <w:rFonts w:ascii="Garamond" w:hAnsi="Garamond"/>
          <w:sz w:val="20"/>
          <w:lang w:val="es-MX"/>
        </w:rPr>
      </w:pPr>
      <w:r>
        <w:rPr>
          <w:rFonts w:ascii="Garamond" w:hAnsi="Garamond"/>
          <w:sz w:val="20"/>
          <w:lang w:val="es-MX"/>
        </w:rPr>
        <w:lastRenderedPageBreak/>
        <w:t>Para las localidades de Usme (99,3%), Usaquén (90,7%), Antonio Nariño (90,1%) y Puente Arandar (90%) en el 90% o más de los hogares familiares hay adultos, mientras que para el caso de Ciudad Bolívar tan sólo el 30,4% de los hogares familiares conviven adultos. Si se revisa la información en términos absolutos, las localides de Suba (335.107) y Kennedy (281.962) son las localidades que concentran el mayor número de hogares familiares con adultos en Bogotá.</w:t>
      </w:r>
    </w:p>
    <w:p w14:paraId="4AB44022" w14:textId="215B28FC" w:rsidR="00C63180" w:rsidRPr="0057764F" w:rsidRDefault="00C63180" w:rsidP="00C63180">
      <w:pPr>
        <w:spacing w:after="0" w:line="360" w:lineRule="auto"/>
        <w:jc w:val="center"/>
        <w:rPr>
          <w:rFonts w:ascii="Garamond" w:hAnsi="Garamond"/>
          <w:b/>
          <w:sz w:val="20"/>
          <w:lang w:val="es-MX"/>
        </w:rPr>
      </w:pPr>
      <w:r w:rsidRPr="00A43A86">
        <w:rPr>
          <w:rFonts w:ascii="Garamond" w:hAnsi="Garamond"/>
          <w:b/>
          <w:sz w:val="20"/>
          <w:lang w:val="es-MX"/>
        </w:rPr>
        <w:t xml:space="preserve">Gráfico </w:t>
      </w:r>
      <w:r>
        <w:rPr>
          <w:rFonts w:ascii="Garamond" w:hAnsi="Garamond"/>
          <w:b/>
          <w:sz w:val="20"/>
          <w:lang w:val="es-MX"/>
        </w:rPr>
        <w:t>10</w:t>
      </w:r>
      <w:r w:rsidRPr="00A43A86">
        <w:rPr>
          <w:rFonts w:ascii="Garamond" w:hAnsi="Garamond"/>
          <w:b/>
          <w:sz w:val="20"/>
          <w:lang w:val="es-MX"/>
        </w:rPr>
        <w:t xml:space="preserve">. Porcentaje de hogares familiares con </w:t>
      </w:r>
      <w:r>
        <w:rPr>
          <w:rFonts w:ascii="Garamond" w:hAnsi="Garamond"/>
          <w:b/>
          <w:sz w:val="20"/>
          <w:lang w:val="es-MX"/>
        </w:rPr>
        <w:t>adultos</w:t>
      </w:r>
      <w:r w:rsidRPr="00A43A86">
        <w:rPr>
          <w:rFonts w:ascii="Garamond" w:hAnsi="Garamond"/>
          <w:b/>
          <w:sz w:val="20"/>
          <w:lang w:val="es-MX"/>
        </w:rPr>
        <w:t xml:space="preserve"> </w:t>
      </w:r>
      <w:r>
        <w:rPr>
          <w:rFonts w:ascii="Garamond" w:hAnsi="Garamond"/>
          <w:b/>
          <w:sz w:val="20"/>
          <w:lang w:val="es-MX"/>
        </w:rPr>
        <w:t>mayores</w:t>
      </w:r>
      <w:r w:rsidR="004B36F9">
        <w:rPr>
          <w:rFonts w:ascii="Garamond" w:hAnsi="Garamond"/>
          <w:b/>
          <w:sz w:val="20"/>
          <w:lang w:val="es-MX"/>
        </w:rPr>
        <w:t xml:space="preserve"> (personas con 60 años o más)</w:t>
      </w:r>
      <w:r>
        <w:rPr>
          <w:rFonts w:ascii="Garamond" w:hAnsi="Garamond"/>
          <w:b/>
          <w:sz w:val="20"/>
          <w:lang w:val="es-MX"/>
        </w:rPr>
        <w:t xml:space="preserve"> </w:t>
      </w:r>
      <w:r w:rsidRPr="00A43A86">
        <w:rPr>
          <w:rFonts w:ascii="Garamond" w:hAnsi="Garamond"/>
          <w:b/>
          <w:sz w:val="20"/>
          <w:lang w:val="es-MX"/>
        </w:rPr>
        <w:t>por estrato socioeconómico</w:t>
      </w:r>
    </w:p>
    <w:p w14:paraId="000D22D6" w14:textId="77777777" w:rsidR="00C63180" w:rsidRDefault="00C63180" w:rsidP="00C63180">
      <w:pPr>
        <w:spacing w:line="360" w:lineRule="auto"/>
        <w:jc w:val="both"/>
        <w:rPr>
          <w:rFonts w:ascii="Garamond" w:hAnsi="Garamond"/>
          <w:sz w:val="20"/>
          <w:lang w:val="es-MX"/>
        </w:rPr>
      </w:pPr>
      <w:r>
        <w:rPr>
          <w:noProof/>
          <w:lang w:val="es-ES" w:eastAsia="es-ES"/>
        </w:rPr>
        <w:drawing>
          <wp:inline distT="0" distB="0" distL="0" distR="0" wp14:anchorId="12FE0DFD" wp14:editId="376B56C3">
            <wp:extent cx="2581275" cy="2173459"/>
            <wp:effectExtent l="0" t="0" r="0" b="0"/>
            <wp:docPr id="24" name="Gráfico 24">
              <a:extLst xmlns:a="http://schemas.openxmlformats.org/drawingml/2006/main">
                <a:ext uri="{FF2B5EF4-FFF2-40B4-BE49-F238E27FC236}">
                  <a16:creationId xmlns:a16="http://schemas.microsoft.com/office/drawing/2014/main" id="{B7329D5D-C3B9-C941-9196-B91AA0C3CB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EA2399" w14:textId="6BCF516E" w:rsidR="00255F58" w:rsidRDefault="00255F58" w:rsidP="00255F58">
      <w:pPr>
        <w:spacing w:line="360" w:lineRule="auto"/>
        <w:jc w:val="both"/>
        <w:rPr>
          <w:rFonts w:ascii="Garamond" w:hAnsi="Garamond"/>
          <w:sz w:val="20"/>
          <w:lang w:val="es-MX"/>
        </w:rPr>
      </w:pPr>
      <w:r>
        <w:rPr>
          <w:rFonts w:ascii="Garamond" w:hAnsi="Garamond"/>
          <w:sz w:val="20"/>
          <w:lang w:val="es-MX"/>
        </w:rPr>
        <w:t>Frente a los hogares familiares en los que conviven adultos mayores (personas de 60 años o m</w:t>
      </w:r>
      <w:r w:rsidR="004B36F9">
        <w:rPr>
          <w:rFonts w:ascii="Garamond" w:hAnsi="Garamond"/>
          <w:sz w:val="20"/>
          <w:lang w:val="es-MX"/>
        </w:rPr>
        <w:t>ás</w:t>
      </w:r>
      <w:r>
        <w:rPr>
          <w:rFonts w:ascii="Garamond" w:hAnsi="Garamond"/>
          <w:sz w:val="20"/>
          <w:lang w:val="es-MX"/>
        </w:rPr>
        <w:t xml:space="preserve">), se identificó que en Bogotá el 30,2% de los hogares familiares hay adultos mayores. El estrato 4 se destaca por ser el que tiene el mayor porcentaje de hogares con adultos mayores (39,9%), seguido por el estrato 6 (36,6%), mientras que el estrato 5 reporta tener el menor porcentaje con 27,4% de los hogares familiares con adultos mayores en Bogotá. </w:t>
      </w:r>
    </w:p>
    <w:p w14:paraId="3AE4C50B" w14:textId="2BEC52A6" w:rsidR="0057764F" w:rsidRDefault="00255F58" w:rsidP="001C787A">
      <w:pPr>
        <w:spacing w:line="360" w:lineRule="auto"/>
        <w:jc w:val="both"/>
        <w:rPr>
          <w:rFonts w:ascii="Garamond" w:hAnsi="Garamond"/>
          <w:sz w:val="20"/>
          <w:lang w:val="es-MX"/>
        </w:rPr>
      </w:pPr>
      <w:r>
        <w:rPr>
          <w:rFonts w:ascii="Garamond" w:hAnsi="Garamond"/>
          <w:sz w:val="20"/>
          <w:lang w:val="es-MX"/>
        </w:rPr>
        <w:t xml:space="preserve">Los estratos que más contribuyen con hogares familiares con adultos mayores son los estratos 3 (316.670) y 2 (302.894), es decir que estos dos estratos concentran 619.563 hogares familiares con adultos mayores, lo que equivale a decir que tienen el </w:t>
      </w:r>
      <w:r>
        <w:rPr>
          <w:rFonts w:ascii="Garamond" w:hAnsi="Garamond"/>
          <w:sz w:val="20"/>
          <w:lang w:val="es-MX"/>
        </w:rPr>
        <w:t>76,8% de hogares familiares con adultos mayores de Bogotá que son 806.856.</w:t>
      </w:r>
    </w:p>
    <w:p w14:paraId="5E9AAFA4" w14:textId="48CA837F" w:rsidR="00770DC6" w:rsidRPr="00AF292D" w:rsidRDefault="00770DC6" w:rsidP="00770DC6">
      <w:pPr>
        <w:spacing w:after="0" w:line="360" w:lineRule="auto"/>
        <w:jc w:val="center"/>
        <w:rPr>
          <w:rFonts w:ascii="Garamond" w:hAnsi="Garamond"/>
          <w:b/>
          <w:sz w:val="20"/>
          <w:lang w:val="es-MX"/>
        </w:rPr>
      </w:pPr>
      <w:r w:rsidRPr="00822A4A">
        <w:rPr>
          <w:rFonts w:ascii="Garamond" w:hAnsi="Garamond"/>
          <w:b/>
          <w:sz w:val="20"/>
          <w:lang w:val="es-MX"/>
        </w:rPr>
        <w:t xml:space="preserve">Gráfico </w:t>
      </w:r>
      <w:r>
        <w:rPr>
          <w:rFonts w:ascii="Garamond" w:hAnsi="Garamond"/>
          <w:b/>
          <w:sz w:val="20"/>
          <w:lang w:val="es-MX"/>
        </w:rPr>
        <w:t>11</w:t>
      </w:r>
      <w:r w:rsidRPr="00822A4A">
        <w:rPr>
          <w:rFonts w:ascii="Garamond" w:hAnsi="Garamond"/>
          <w:b/>
          <w:sz w:val="20"/>
          <w:lang w:val="es-MX"/>
        </w:rPr>
        <w:t>. Porcentaje de hogares</w:t>
      </w:r>
      <w:r>
        <w:rPr>
          <w:rFonts w:ascii="Garamond" w:hAnsi="Garamond"/>
          <w:b/>
          <w:sz w:val="20"/>
          <w:lang w:val="es-MX"/>
        </w:rPr>
        <w:t xml:space="preserve"> familiares </w:t>
      </w:r>
      <w:r w:rsidRPr="00822A4A">
        <w:rPr>
          <w:rFonts w:ascii="Garamond" w:hAnsi="Garamond"/>
          <w:b/>
          <w:sz w:val="20"/>
          <w:lang w:val="es-MX"/>
        </w:rPr>
        <w:t xml:space="preserve">con </w:t>
      </w:r>
      <w:r>
        <w:rPr>
          <w:rFonts w:ascii="Garamond" w:hAnsi="Garamond"/>
          <w:b/>
          <w:sz w:val="20"/>
          <w:lang w:val="es-MX"/>
        </w:rPr>
        <w:t>adultos mayores por localidad</w:t>
      </w:r>
    </w:p>
    <w:p w14:paraId="58CEA275" w14:textId="6C987C5D" w:rsidR="00957D48" w:rsidRDefault="00A81CC6" w:rsidP="001C787A">
      <w:pPr>
        <w:spacing w:line="360" w:lineRule="auto"/>
        <w:jc w:val="both"/>
        <w:rPr>
          <w:rFonts w:ascii="Garamond" w:hAnsi="Garamond"/>
          <w:sz w:val="20"/>
          <w:lang w:val="es-MX"/>
        </w:rPr>
      </w:pPr>
      <w:r>
        <w:rPr>
          <w:noProof/>
          <w:lang w:val="es-ES" w:eastAsia="es-ES"/>
        </w:rPr>
        <w:drawing>
          <wp:inline distT="0" distB="0" distL="0" distR="0" wp14:anchorId="538A4283" wp14:editId="33981633">
            <wp:extent cx="2756549" cy="4171315"/>
            <wp:effectExtent l="0" t="0" r="0" b="0"/>
            <wp:docPr id="25" name="Gráfico 25">
              <a:extLst xmlns:a="http://schemas.openxmlformats.org/drawingml/2006/main">
                <a:ext uri="{FF2B5EF4-FFF2-40B4-BE49-F238E27FC236}">
                  <a16:creationId xmlns:a16="http://schemas.microsoft.com/office/drawing/2014/main" id="{D1AF4E52-BBA8-CC4F-B596-BBC1D10A0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E7F3D2" w14:textId="7CF6F3BA" w:rsidR="00A81CC6" w:rsidRDefault="00A81CC6" w:rsidP="001C787A">
      <w:pPr>
        <w:spacing w:line="360" w:lineRule="auto"/>
        <w:jc w:val="both"/>
        <w:rPr>
          <w:rFonts w:ascii="Garamond" w:hAnsi="Garamond"/>
          <w:sz w:val="20"/>
          <w:lang w:val="es-MX"/>
        </w:rPr>
      </w:pPr>
      <w:r>
        <w:rPr>
          <w:rFonts w:ascii="Garamond" w:hAnsi="Garamond"/>
          <w:sz w:val="20"/>
          <w:lang w:val="es-MX"/>
        </w:rPr>
        <w:t xml:space="preserve">Engativá es la localidad que tiene el mayor porcentaje (51,2%) de hogares familiares con adultos mayores en Bogotá, contrario a Usme que tan sólo reporta el 3,9% de hogares familiares con adultos mayores. En términos absolutos las localidades que registran los mayores números de hogares familiares con adultos mayores son: Engativá (150.119), </w:t>
      </w:r>
      <w:r w:rsidR="00307D7D">
        <w:rPr>
          <w:rFonts w:ascii="Garamond" w:hAnsi="Garamond"/>
          <w:sz w:val="20"/>
          <w:lang w:val="es-MX"/>
        </w:rPr>
        <w:t xml:space="preserve">Kennedy (124.491) y Suba (104.083); las cuales concentran el 47% de hogares familiares con adultos mayores de Bogotá. </w:t>
      </w:r>
    </w:p>
    <w:p w14:paraId="28F134B6" w14:textId="74907B4A" w:rsidR="00A50783" w:rsidRDefault="00A50783" w:rsidP="001C787A">
      <w:pPr>
        <w:spacing w:line="360" w:lineRule="auto"/>
        <w:jc w:val="both"/>
        <w:rPr>
          <w:rFonts w:ascii="Garamond" w:hAnsi="Garamond"/>
          <w:sz w:val="20"/>
          <w:lang w:val="es-MX"/>
        </w:rPr>
      </w:pPr>
    </w:p>
    <w:p w14:paraId="65D6B812" w14:textId="77777777" w:rsidR="00723277" w:rsidRDefault="00723277" w:rsidP="001C787A">
      <w:pPr>
        <w:spacing w:line="360" w:lineRule="auto"/>
        <w:jc w:val="both"/>
        <w:rPr>
          <w:rFonts w:ascii="Garamond" w:hAnsi="Garamond"/>
          <w:sz w:val="20"/>
          <w:lang w:val="es-MX"/>
        </w:rPr>
      </w:pPr>
    </w:p>
    <w:p w14:paraId="08B17455" w14:textId="7A289F9B" w:rsidR="00A664FA" w:rsidRPr="009F1B6A" w:rsidRDefault="00A664FA" w:rsidP="00A664FA">
      <w:pPr>
        <w:spacing w:after="0" w:line="360" w:lineRule="auto"/>
        <w:jc w:val="center"/>
        <w:rPr>
          <w:rFonts w:ascii="Garamond" w:hAnsi="Garamond"/>
          <w:b/>
          <w:sz w:val="18"/>
          <w:lang w:val="es-MX"/>
        </w:rPr>
      </w:pPr>
      <w:r w:rsidRPr="00357ECA">
        <w:rPr>
          <w:rFonts w:ascii="Garamond" w:hAnsi="Garamond"/>
          <w:b/>
          <w:sz w:val="18"/>
          <w:lang w:val="es-MX"/>
        </w:rPr>
        <w:lastRenderedPageBreak/>
        <w:t>Gráfic</w:t>
      </w:r>
      <w:r>
        <w:rPr>
          <w:rFonts w:ascii="Garamond" w:hAnsi="Garamond"/>
          <w:b/>
          <w:sz w:val="18"/>
          <w:lang w:val="es-MX"/>
        </w:rPr>
        <w:t>o 12</w:t>
      </w:r>
      <w:r w:rsidRPr="00357ECA">
        <w:rPr>
          <w:rFonts w:ascii="Garamond" w:hAnsi="Garamond"/>
          <w:b/>
          <w:sz w:val="18"/>
          <w:lang w:val="es-MX"/>
        </w:rPr>
        <w:t xml:space="preserve">. </w:t>
      </w:r>
      <w:r>
        <w:rPr>
          <w:rFonts w:ascii="Garamond" w:hAnsi="Garamond"/>
          <w:b/>
          <w:sz w:val="18"/>
          <w:lang w:val="es-MX"/>
        </w:rPr>
        <w:t>Porcentaje de hogares familiares por número de personas que conviven</w:t>
      </w:r>
      <w:r w:rsidR="009B3B3A">
        <w:rPr>
          <w:rFonts w:ascii="Garamond" w:hAnsi="Garamond"/>
          <w:b/>
          <w:sz w:val="18"/>
          <w:lang w:val="es-MX"/>
        </w:rPr>
        <w:t xml:space="preserve"> y por estrato</w:t>
      </w:r>
    </w:p>
    <w:p w14:paraId="1AC89BED" w14:textId="6C8E6267" w:rsidR="00A664FA" w:rsidRDefault="009B3B3A" w:rsidP="00A664FA">
      <w:pPr>
        <w:spacing w:line="360" w:lineRule="auto"/>
        <w:jc w:val="center"/>
        <w:rPr>
          <w:rFonts w:ascii="Garamond" w:hAnsi="Garamond"/>
          <w:sz w:val="20"/>
          <w:lang w:val="es-MX"/>
        </w:rPr>
      </w:pPr>
      <w:r w:rsidRPr="009B3B3A">
        <w:rPr>
          <w:rFonts w:ascii="Garamond" w:hAnsi="Garamond"/>
          <w:noProof/>
          <w:lang w:val="es-ES" w:eastAsia="es-ES"/>
        </w:rPr>
        <w:drawing>
          <wp:inline distT="0" distB="0" distL="0" distR="0" wp14:anchorId="2D61FA90" wp14:editId="3309B7A7">
            <wp:extent cx="2581275" cy="4692650"/>
            <wp:effectExtent l="0" t="0" r="0" b="0"/>
            <wp:docPr id="29" name="Gráfico 29">
              <a:extLst xmlns:a="http://schemas.openxmlformats.org/drawingml/2006/main">
                <a:ext uri="{FF2B5EF4-FFF2-40B4-BE49-F238E27FC236}">
                  <a16:creationId xmlns:a16="http://schemas.microsoft.com/office/drawing/2014/main" id="{869BA490-97C7-B444-8FA3-B846D92B10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D128BAC" w14:textId="5521DC2A" w:rsidR="00A664FA" w:rsidRDefault="00A664FA" w:rsidP="00A664FA">
      <w:pPr>
        <w:spacing w:line="360" w:lineRule="auto"/>
        <w:jc w:val="both"/>
        <w:rPr>
          <w:rFonts w:ascii="Garamond" w:hAnsi="Garamond"/>
          <w:sz w:val="20"/>
          <w:lang w:val="es-MX"/>
        </w:rPr>
      </w:pPr>
      <w:r>
        <w:rPr>
          <w:rFonts w:ascii="Garamond" w:hAnsi="Garamond"/>
          <w:sz w:val="20"/>
          <w:lang w:val="es-MX"/>
        </w:rPr>
        <w:t xml:space="preserve">Alrededor del 66% de los hogares </w:t>
      </w:r>
      <w:r w:rsidR="009B3B3A">
        <w:rPr>
          <w:rFonts w:ascii="Garamond" w:hAnsi="Garamond"/>
          <w:sz w:val="20"/>
          <w:lang w:val="es-MX"/>
        </w:rPr>
        <w:t>familiares de la ciudad</w:t>
      </w:r>
      <w:r>
        <w:rPr>
          <w:rFonts w:ascii="Garamond" w:hAnsi="Garamond"/>
          <w:sz w:val="20"/>
          <w:lang w:val="es-MX"/>
        </w:rPr>
        <w:t xml:space="preserve"> están conformados por dos (22%), tres (23%) o cuatro (21%) personas. Cerca de un 20% son hogares de cinco (13%) o seis (6,89%) personas. Y </w:t>
      </w:r>
      <w:r w:rsidR="009B3B3A">
        <w:rPr>
          <w:rFonts w:ascii="Garamond" w:hAnsi="Garamond"/>
          <w:sz w:val="20"/>
          <w:lang w:val="es-MX"/>
        </w:rPr>
        <w:t>6,3</w:t>
      </w:r>
      <w:r>
        <w:rPr>
          <w:rFonts w:ascii="Garamond" w:hAnsi="Garamond"/>
          <w:sz w:val="20"/>
          <w:lang w:val="es-MX"/>
        </w:rPr>
        <w:t xml:space="preserve">% están conformados por más de </w:t>
      </w:r>
      <w:r w:rsidR="009B3B3A">
        <w:rPr>
          <w:rFonts w:ascii="Garamond" w:hAnsi="Garamond"/>
          <w:sz w:val="20"/>
          <w:lang w:val="es-MX"/>
        </w:rPr>
        <w:t xml:space="preserve">seis </w:t>
      </w:r>
      <w:r>
        <w:rPr>
          <w:rFonts w:ascii="Garamond" w:hAnsi="Garamond"/>
          <w:sz w:val="20"/>
          <w:lang w:val="es-MX"/>
        </w:rPr>
        <w:t>personas.</w:t>
      </w:r>
    </w:p>
    <w:p w14:paraId="2AEF8386" w14:textId="1D09061D" w:rsidR="0019307D" w:rsidRDefault="009B3B3A" w:rsidP="00A664FA">
      <w:pPr>
        <w:spacing w:line="360" w:lineRule="auto"/>
        <w:jc w:val="both"/>
        <w:rPr>
          <w:rFonts w:ascii="Garamond" w:hAnsi="Garamond"/>
          <w:sz w:val="20"/>
          <w:lang w:val="es-MX"/>
        </w:rPr>
      </w:pPr>
      <w:r>
        <w:rPr>
          <w:rFonts w:ascii="Garamond" w:hAnsi="Garamond"/>
          <w:sz w:val="20"/>
          <w:lang w:val="es-MX"/>
        </w:rPr>
        <w:t xml:space="preserve">Por estrato se destaca que </w:t>
      </w:r>
      <w:r w:rsidR="005C2AF5">
        <w:rPr>
          <w:rFonts w:ascii="Garamond" w:hAnsi="Garamond"/>
          <w:sz w:val="20"/>
          <w:lang w:val="es-MX"/>
        </w:rPr>
        <w:t xml:space="preserve">el estrato seis es el que reporta el mayor porcentaje de hogares unipersonales (15,3%), mientras que el estrato </w:t>
      </w:r>
      <w:r w:rsidR="008861C4">
        <w:rPr>
          <w:rFonts w:ascii="Garamond" w:hAnsi="Garamond"/>
          <w:sz w:val="20"/>
          <w:lang w:val="es-MX"/>
        </w:rPr>
        <w:t>tres</w:t>
      </w:r>
      <w:r w:rsidR="005C2AF5">
        <w:rPr>
          <w:rFonts w:ascii="Garamond" w:hAnsi="Garamond"/>
          <w:sz w:val="20"/>
          <w:lang w:val="es-MX"/>
        </w:rPr>
        <w:t xml:space="preserve"> es el que registra el mayor porcentaje de hogares familiares de dos personas (27,4%). </w:t>
      </w:r>
    </w:p>
    <w:p w14:paraId="0F082448" w14:textId="1DACE480" w:rsidR="009B3B3A" w:rsidRDefault="005C2AF5" w:rsidP="00A664FA">
      <w:pPr>
        <w:spacing w:line="360" w:lineRule="auto"/>
        <w:jc w:val="both"/>
        <w:rPr>
          <w:rFonts w:ascii="Garamond" w:hAnsi="Garamond"/>
          <w:sz w:val="20"/>
          <w:lang w:val="es-MX"/>
        </w:rPr>
      </w:pPr>
      <w:r>
        <w:rPr>
          <w:rFonts w:ascii="Garamond" w:hAnsi="Garamond"/>
          <w:sz w:val="20"/>
          <w:lang w:val="es-MX"/>
        </w:rPr>
        <w:t>En cuanto a los hogares conformados por tres personas se destaca el estrato cinco con el 36,2% de sus hogares familiares</w:t>
      </w:r>
      <w:r w:rsidR="0019307D">
        <w:rPr>
          <w:rFonts w:ascii="Garamond" w:hAnsi="Garamond"/>
          <w:sz w:val="20"/>
          <w:lang w:val="es-MX"/>
        </w:rPr>
        <w:t xml:space="preserve"> conformados por tres </w:t>
      </w:r>
      <w:r w:rsidR="0019307D">
        <w:rPr>
          <w:rFonts w:ascii="Garamond" w:hAnsi="Garamond"/>
          <w:sz w:val="20"/>
          <w:lang w:val="es-MX"/>
        </w:rPr>
        <w:t>personas</w:t>
      </w:r>
      <w:r>
        <w:rPr>
          <w:rFonts w:ascii="Garamond" w:hAnsi="Garamond"/>
          <w:sz w:val="20"/>
          <w:lang w:val="es-MX"/>
        </w:rPr>
        <w:t xml:space="preserve">, seguido por el estrato 4 con el 30%. </w:t>
      </w:r>
      <w:r w:rsidR="0019307D">
        <w:rPr>
          <w:rFonts w:ascii="Garamond" w:hAnsi="Garamond"/>
          <w:sz w:val="20"/>
          <w:lang w:val="es-MX"/>
        </w:rPr>
        <w:t>Por su parte, los hogares conformados por cuatro personas presenta los porcentajes más altos para los estratos: seis (33,9%), uno (26,6%) y cuatro (24,6%).</w:t>
      </w:r>
    </w:p>
    <w:p w14:paraId="483407A6" w14:textId="13C9C441" w:rsidR="0019307D" w:rsidRDefault="0019307D" w:rsidP="00A664FA">
      <w:pPr>
        <w:spacing w:line="360" w:lineRule="auto"/>
        <w:jc w:val="both"/>
        <w:rPr>
          <w:rFonts w:ascii="Garamond" w:hAnsi="Garamond"/>
          <w:sz w:val="20"/>
          <w:lang w:val="es-MX"/>
        </w:rPr>
      </w:pPr>
      <w:r>
        <w:rPr>
          <w:rFonts w:ascii="Garamond" w:hAnsi="Garamond"/>
          <w:sz w:val="20"/>
          <w:lang w:val="es-MX"/>
        </w:rPr>
        <w:t xml:space="preserve">Ya en cuanto a los hogares conformados por cinco personas se observa que no son muchos en términos porcentuales, pero </w:t>
      </w:r>
      <w:r w:rsidR="00947C16">
        <w:rPr>
          <w:rFonts w:ascii="Garamond" w:hAnsi="Garamond"/>
          <w:sz w:val="20"/>
          <w:lang w:val="es-MX"/>
        </w:rPr>
        <w:t>sobresale</w:t>
      </w:r>
      <w:r>
        <w:rPr>
          <w:rFonts w:ascii="Garamond" w:hAnsi="Garamond"/>
          <w:sz w:val="20"/>
          <w:lang w:val="es-MX"/>
        </w:rPr>
        <w:t xml:space="preserve"> el estrato uno que tiene el mayor porcentaje con el 19,6% de sus hogares. </w:t>
      </w:r>
    </w:p>
    <w:p w14:paraId="0A8FD857" w14:textId="16D74542" w:rsidR="00C63180" w:rsidRDefault="0019307D" w:rsidP="001C787A">
      <w:pPr>
        <w:spacing w:line="360" w:lineRule="auto"/>
        <w:jc w:val="both"/>
        <w:rPr>
          <w:rFonts w:ascii="Garamond" w:hAnsi="Garamond"/>
          <w:sz w:val="20"/>
          <w:lang w:val="es-MX"/>
        </w:rPr>
      </w:pPr>
      <w:r>
        <w:rPr>
          <w:rFonts w:ascii="Garamond" w:hAnsi="Garamond"/>
          <w:sz w:val="20"/>
          <w:lang w:val="es-MX"/>
        </w:rPr>
        <w:t>Lo mismo ocurre para los hogares familiares conformados por seis personas, en donde el porcentaje más alto se registra en el estrato 2 con el 9,7%; sin embargo el estrato 2 es el que más porcentaje (10,4%) de hogares familiares registra con más de seis personas, seguido por el estrato uno con el 9,8% de sus hogares familiares.</w:t>
      </w:r>
    </w:p>
    <w:p w14:paraId="1B85C3C5" w14:textId="68DDAF73" w:rsidR="00FE6989" w:rsidRDefault="006F23C1" w:rsidP="00C63180">
      <w:pPr>
        <w:pStyle w:val="Ttulo2"/>
        <w:jc w:val="both"/>
        <w:rPr>
          <w:lang w:val="es-MX"/>
        </w:rPr>
      </w:pPr>
      <w:r>
        <w:rPr>
          <w:lang w:val="es-MX"/>
        </w:rPr>
        <w:t>¿A quiénes considera parte de su familia?</w:t>
      </w:r>
    </w:p>
    <w:p w14:paraId="1BA0B0F0" w14:textId="77777777" w:rsidR="00C63180" w:rsidRPr="00C63180" w:rsidRDefault="00C63180" w:rsidP="00C63180">
      <w:pPr>
        <w:rPr>
          <w:lang w:val="es-MX"/>
        </w:rPr>
      </w:pPr>
    </w:p>
    <w:p w14:paraId="7B0BA7FA" w14:textId="77777777" w:rsidR="006B71CF" w:rsidRDefault="006F23C1" w:rsidP="006F23C1">
      <w:pPr>
        <w:spacing w:line="360" w:lineRule="auto"/>
        <w:jc w:val="both"/>
        <w:rPr>
          <w:rFonts w:ascii="Garamond" w:hAnsi="Garamond"/>
          <w:sz w:val="20"/>
          <w:lang w:val="es-MX"/>
        </w:rPr>
      </w:pPr>
      <w:r>
        <w:rPr>
          <w:rFonts w:ascii="Garamond" w:hAnsi="Garamond"/>
          <w:sz w:val="20"/>
          <w:lang w:val="es-MX"/>
        </w:rPr>
        <w:t>Al preguntarle a los hogares</w:t>
      </w:r>
      <w:r w:rsidR="006B71CF">
        <w:rPr>
          <w:rFonts w:ascii="Garamond" w:hAnsi="Garamond"/>
          <w:sz w:val="20"/>
          <w:lang w:val="es-MX"/>
        </w:rPr>
        <w:t xml:space="preserve"> familiares</w:t>
      </w:r>
      <w:r>
        <w:rPr>
          <w:rFonts w:ascii="Garamond" w:hAnsi="Garamond"/>
          <w:sz w:val="20"/>
          <w:lang w:val="es-MX"/>
        </w:rPr>
        <w:t xml:space="preserve"> a quienes considera</w:t>
      </w:r>
      <w:r w:rsidR="006B71CF">
        <w:rPr>
          <w:rFonts w:ascii="Garamond" w:hAnsi="Garamond"/>
          <w:sz w:val="20"/>
          <w:lang w:val="es-MX"/>
        </w:rPr>
        <w:t>ba</w:t>
      </w:r>
      <w:r>
        <w:rPr>
          <w:rFonts w:ascii="Garamond" w:hAnsi="Garamond"/>
          <w:sz w:val="20"/>
          <w:lang w:val="es-MX"/>
        </w:rPr>
        <w:t xml:space="preserve"> parte de su familia, la mayoría (76%) consideraron a los hijos e hijastros</w:t>
      </w:r>
      <w:r w:rsidR="006B71CF">
        <w:rPr>
          <w:rFonts w:ascii="Garamond" w:hAnsi="Garamond"/>
          <w:sz w:val="20"/>
          <w:lang w:val="es-MX"/>
        </w:rPr>
        <w:t xml:space="preserve"> parte de su familia</w:t>
      </w:r>
      <w:r>
        <w:rPr>
          <w:rFonts w:ascii="Garamond" w:hAnsi="Garamond"/>
          <w:sz w:val="20"/>
          <w:lang w:val="es-MX"/>
        </w:rPr>
        <w:t xml:space="preserve">, seguido por el 66% que mencionaron a la madre, el 58% a los hermanos, el 53% al padre, 48% al esposo(a) o compañero(a), entre otros. </w:t>
      </w:r>
    </w:p>
    <w:p w14:paraId="1D42A792" w14:textId="3079FF28" w:rsidR="006F23C1" w:rsidRDefault="006F23C1" w:rsidP="001C787A">
      <w:pPr>
        <w:spacing w:line="360" w:lineRule="auto"/>
        <w:jc w:val="both"/>
        <w:rPr>
          <w:rFonts w:ascii="Garamond" w:hAnsi="Garamond"/>
          <w:sz w:val="20"/>
          <w:lang w:val="es-MX"/>
        </w:rPr>
      </w:pPr>
      <w:r>
        <w:rPr>
          <w:rFonts w:ascii="Garamond" w:hAnsi="Garamond"/>
          <w:sz w:val="20"/>
          <w:lang w:val="es-MX"/>
        </w:rPr>
        <w:t xml:space="preserve">Se destaca que hubo algunos hogares </w:t>
      </w:r>
      <w:r w:rsidR="006B71CF">
        <w:rPr>
          <w:rFonts w:ascii="Garamond" w:hAnsi="Garamond"/>
          <w:sz w:val="20"/>
          <w:lang w:val="es-MX"/>
        </w:rPr>
        <w:t xml:space="preserve">familiares </w:t>
      </w:r>
      <w:r>
        <w:rPr>
          <w:rFonts w:ascii="Garamond" w:hAnsi="Garamond"/>
          <w:sz w:val="20"/>
          <w:lang w:val="es-MX"/>
        </w:rPr>
        <w:t xml:space="preserve">(34.193) que consideraron a otros no parientes como parte de su </w:t>
      </w:r>
      <w:r w:rsidR="006B71CF">
        <w:rPr>
          <w:rFonts w:ascii="Garamond" w:hAnsi="Garamond"/>
          <w:sz w:val="20"/>
          <w:lang w:val="es-MX"/>
        </w:rPr>
        <w:t>familia</w:t>
      </w:r>
      <w:r>
        <w:rPr>
          <w:rFonts w:ascii="Garamond" w:hAnsi="Garamond"/>
          <w:sz w:val="20"/>
          <w:lang w:val="es-MX"/>
        </w:rPr>
        <w:t>, y 8.364 hogares</w:t>
      </w:r>
      <w:r w:rsidR="006B71CF">
        <w:rPr>
          <w:rFonts w:ascii="Garamond" w:hAnsi="Garamond"/>
          <w:sz w:val="20"/>
          <w:lang w:val="es-MX"/>
        </w:rPr>
        <w:t xml:space="preserve"> familiares</w:t>
      </w:r>
      <w:r>
        <w:rPr>
          <w:rFonts w:ascii="Garamond" w:hAnsi="Garamond"/>
          <w:sz w:val="20"/>
          <w:lang w:val="es-MX"/>
        </w:rPr>
        <w:t xml:space="preserve"> que consideraron a las personas del servicio domestico </w:t>
      </w:r>
      <w:r w:rsidR="006B71CF">
        <w:rPr>
          <w:rFonts w:ascii="Garamond" w:hAnsi="Garamond"/>
          <w:sz w:val="20"/>
          <w:lang w:val="es-MX"/>
        </w:rPr>
        <w:t xml:space="preserve">igualmente </w:t>
      </w:r>
      <w:r>
        <w:rPr>
          <w:rFonts w:ascii="Garamond" w:hAnsi="Garamond"/>
          <w:sz w:val="20"/>
          <w:lang w:val="es-MX"/>
        </w:rPr>
        <w:t xml:space="preserve">como parte de su </w:t>
      </w:r>
      <w:r w:rsidR="006B71CF">
        <w:rPr>
          <w:rFonts w:ascii="Garamond" w:hAnsi="Garamond"/>
          <w:sz w:val="20"/>
          <w:lang w:val="es-MX"/>
        </w:rPr>
        <w:t>familia</w:t>
      </w:r>
      <w:r>
        <w:rPr>
          <w:rFonts w:ascii="Garamond" w:hAnsi="Garamond"/>
          <w:sz w:val="20"/>
          <w:lang w:val="es-MX"/>
        </w:rPr>
        <w:t xml:space="preserve">. </w:t>
      </w:r>
    </w:p>
    <w:p w14:paraId="533E5DD9" w14:textId="5B88A24F" w:rsidR="00C63180" w:rsidRDefault="00C63180" w:rsidP="001C787A">
      <w:pPr>
        <w:spacing w:line="360" w:lineRule="auto"/>
        <w:jc w:val="both"/>
        <w:rPr>
          <w:rFonts w:ascii="Garamond" w:hAnsi="Garamond"/>
          <w:sz w:val="20"/>
          <w:lang w:val="es-MX"/>
        </w:rPr>
      </w:pPr>
    </w:p>
    <w:p w14:paraId="23C7866B" w14:textId="796083D8" w:rsidR="00A50783" w:rsidRDefault="00A50783" w:rsidP="001C787A">
      <w:pPr>
        <w:spacing w:line="360" w:lineRule="auto"/>
        <w:jc w:val="both"/>
        <w:rPr>
          <w:rFonts w:ascii="Garamond" w:hAnsi="Garamond"/>
          <w:sz w:val="20"/>
          <w:lang w:val="es-MX"/>
        </w:rPr>
      </w:pPr>
    </w:p>
    <w:p w14:paraId="06AEF899" w14:textId="77777777" w:rsidR="00723277" w:rsidRDefault="00723277" w:rsidP="001C787A">
      <w:pPr>
        <w:spacing w:line="360" w:lineRule="auto"/>
        <w:jc w:val="both"/>
        <w:rPr>
          <w:rFonts w:ascii="Garamond" w:hAnsi="Garamond"/>
          <w:sz w:val="20"/>
          <w:lang w:val="es-MX"/>
        </w:rPr>
      </w:pPr>
    </w:p>
    <w:p w14:paraId="54A97E1D" w14:textId="6A7E7236" w:rsidR="00E44D0B" w:rsidRDefault="00E44D0B" w:rsidP="00E44D0B">
      <w:pPr>
        <w:spacing w:after="0" w:line="360" w:lineRule="auto"/>
        <w:jc w:val="center"/>
        <w:rPr>
          <w:rFonts w:ascii="Garamond" w:hAnsi="Garamond"/>
          <w:b/>
          <w:sz w:val="18"/>
          <w:lang w:val="es-MX"/>
        </w:rPr>
      </w:pPr>
      <w:r w:rsidRPr="00357ECA">
        <w:rPr>
          <w:rFonts w:ascii="Garamond" w:hAnsi="Garamond"/>
          <w:b/>
          <w:sz w:val="18"/>
          <w:lang w:val="es-MX"/>
        </w:rPr>
        <w:lastRenderedPageBreak/>
        <w:t>Gráfic</w:t>
      </w:r>
      <w:r>
        <w:rPr>
          <w:rFonts w:ascii="Garamond" w:hAnsi="Garamond"/>
          <w:b/>
          <w:sz w:val="18"/>
          <w:lang w:val="es-MX"/>
        </w:rPr>
        <w:t xml:space="preserve">o </w:t>
      </w:r>
      <w:r w:rsidR="00C63180">
        <w:rPr>
          <w:rFonts w:ascii="Garamond" w:hAnsi="Garamond"/>
          <w:b/>
          <w:sz w:val="18"/>
          <w:lang w:val="es-MX"/>
        </w:rPr>
        <w:t>1</w:t>
      </w:r>
      <w:r w:rsidR="00DA696F">
        <w:rPr>
          <w:rFonts w:ascii="Garamond" w:hAnsi="Garamond"/>
          <w:b/>
          <w:sz w:val="18"/>
          <w:lang w:val="es-MX"/>
        </w:rPr>
        <w:t>3</w:t>
      </w:r>
      <w:r w:rsidRPr="00357ECA">
        <w:rPr>
          <w:rFonts w:ascii="Garamond" w:hAnsi="Garamond"/>
          <w:b/>
          <w:sz w:val="18"/>
          <w:lang w:val="es-MX"/>
        </w:rPr>
        <w:t xml:space="preserve">. </w:t>
      </w:r>
      <w:r w:rsidR="009C4265">
        <w:rPr>
          <w:rFonts w:ascii="Garamond" w:hAnsi="Garamond"/>
          <w:b/>
          <w:sz w:val="18"/>
          <w:lang w:val="es-MX"/>
        </w:rPr>
        <w:t>Personas que considera parte de su familia</w:t>
      </w:r>
    </w:p>
    <w:p w14:paraId="61DBF32E" w14:textId="017A948C" w:rsidR="0064238F" w:rsidRDefault="0064238F" w:rsidP="00E44D0B">
      <w:pPr>
        <w:spacing w:after="0" w:line="360" w:lineRule="auto"/>
        <w:jc w:val="center"/>
        <w:rPr>
          <w:rFonts w:ascii="Garamond" w:hAnsi="Garamond"/>
          <w:b/>
          <w:sz w:val="18"/>
          <w:lang w:val="es-MX"/>
        </w:rPr>
      </w:pPr>
      <w:r>
        <w:rPr>
          <w:noProof/>
          <w:lang w:val="es-ES" w:eastAsia="es-ES"/>
        </w:rPr>
        <w:drawing>
          <wp:inline distT="0" distB="0" distL="0" distR="0" wp14:anchorId="0AB9E773" wp14:editId="0D2525C4">
            <wp:extent cx="2581275" cy="3639478"/>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9CEC8E0" w14:textId="2D16A3FA" w:rsidR="00C63180" w:rsidRDefault="00C63180" w:rsidP="00C63180">
      <w:pPr>
        <w:spacing w:line="360" w:lineRule="auto"/>
        <w:jc w:val="both"/>
        <w:rPr>
          <w:rFonts w:ascii="Garamond" w:hAnsi="Garamond"/>
          <w:sz w:val="20"/>
          <w:lang w:val="es-MX"/>
        </w:rPr>
      </w:pPr>
      <w:r>
        <w:rPr>
          <w:rFonts w:ascii="Garamond" w:hAnsi="Garamond"/>
          <w:sz w:val="20"/>
          <w:lang w:val="es-MX"/>
        </w:rPr>
        <w:t>Tan sólo el 9% (251.612) de los hogares familiares de la capital registraron que uno de los miembros cabeza del hogar</w:t>
      </w:r>
      <w:r w:rsidR="00A853FB">
        <w:rPr>
          <w:rFonts w:ascii="Garamond" w:hAnsi="Garamond"/>
          <w:sz w:val="20"/>
          <w:lang w:val="es-MX"/>
        </w:rPr>
        <w:t xml:space="preserve"> familiar</w:t>
      </w:r>
      <w:r>
        <w:rPr>
          <w:rFonts w:ascii="Garamond" w:hAnsi="Garamond"/>
          <w:sz w:val="20"/>
          <w:lang w:val="es-MX"/>
        </w:rPr>
        <w:t xml:space="preserve"> hubiese tenido relacionales conyugales anteriores. Un 74% de los hogares familiares reportaron que ninguno de sus integrantes hubieran tenido uniones conyugales anteriores. Mientras que el 16% restante registraron que no aplica este tipo de pregunta para las personas que que conviven en el hogar familiar, como es el caso de hermanos que conviven juntos, entre otros.</w:t>
      </w:r>
    </w:p>
    <w:p w14:paraId="56A16C91" w14:textId="77777777" w:rsidR="00C63180" w:rsidRPr="00E44D0B" w:rsidRDefault="00C63180" w:rsidP="00E44D0B">
      <w:pPr>
        <w:spacing w:after="0" w:line="360" w:lineRule="auto"/>
        <w:jc w:val="center"/>
        <w:rPr>
          <w:rFonts w:ascii="Garamond" w:hAnsi="Garamond"/>
          <w:b/>
          <w:sz w:val="18"/>
          <w:lang w:val="es-MX"/>
        </w:rPr>
      </w:pPr>
    </w:p>
    <w:p w14:paraId="547AE453" w14:textId="168EFF89" w:rsidR="00E44D0B" w:rsidRPr="00E44D0B" w:rsidRDefault="00E44D0B" w:rsidP="00E44D0B">
      <w:pPr>
        <w:spacing w:after="0" w:line="360" w:lineRule="auto"/>
        <w:jc w:val="center"/>
        <w:rPr>
          <w:rFonts w:ascii="Garamond" w:hAnsi="Garamond"/>
          <w:b/>
          <w:sz w:val="18"/>
          <w:lang w:val="es-MX"/>
        </w:rPr>
      </w:pPr>
      <w:r w:rsidRPr="00357ECA">
        <w:rPr>
          <w:rFonts w:ascii="Garamond" w:hAnsi="Garamond"/>
          <w:b/>
          <w:sz w:val="18"/>
          <w:lang w:val="es-MX"/>
        </w:rPr>
        <w:t>Gráfic</w:t>
      </w:r>
      <w:r>
        <w:rPr>
          <w:rFonts w:ascii="Garamond" w:hAnsi="Garamond"/>
          <w:b/>
          <w:sz w:val="18"/>
          <w:lang w:val="es-MX"/>
        </w:rPr>
        <w:t xml:space="preserve">o </w:t>
      </w:r>
      <w:r w:rsidR="00C63180">
        <w:rPr>
          <w:rFonts w:ascii="Garamond" w:hAnsi="Garamond"/>
          <w:b/>
          <w:sz w:val="18"/>
          <w:lang w:val="es-MX"/>
        </w:rPr>
        <w:t>1</w:t>
      </w:r>
      <w:r w:rsidR="00DA696F">
        <w:rPr>
          <w:rFonts w:ascii="Garamond" w:hAnsi="Garamond"/>
          <w:b/>
          <w:sz w:val="18"/>
          <w:lang w:val="es-MX"/>
        </w:rPr>
        <w:t>4</w:t>
      </w:r>
      <w:r w:rsidRPr="00357ECA">
        <w:rPr>
          <w:rFonts w:ascii="Garamond" w:hAnsi="Garamond"/>
          <w:b/>
          <w:sz w:val="18"/>
          <w:lang w:val="es-MX"/>
        </w:rPr>
        <w:t xml:space="preserve">. </w:t>
      </w:r>
      <w:r w:rsidR="00034FD0">
        <w:rPr>
          <w:rFonts w:ascii="Garamond" w:hAnsi="Garamond"/>
          <w:b/>
          <w:sz w:val="18"/>
          <w:lang w:val="es-MX"/>
        </w:rPr>
        <w:t>Uniones conyugales anteriores</w:t>
      </w:r>
    </w:p>
    <w:p w14:paraId="4D6E8F8D" w14:textId="22A6E5E6" w:rsidR="005C7E4E" w:rsidRDefault="00D25DA1" w:rsidP="005C7E4E">
      <w:pPr>
        <w:spacing w:line="360" w:lineRule="auto"/>
        <w:jc w:val="center"/>
        <w:rPr>
          <w:rFonts w:ascii="Garamond" w:hAnsi="Garamond"/>
          <w:sz w:val="24"/>
          <w:lang w:val="es-MX"/>
        </w:rPr>
      </w:pPr>
      <w:r>
        <w:rPr>
          <w:noProof/>
          <w:lang w:val="es-ES" w:eastAsia="es-ES"/>
        </w:rPr>
        <w:drawing>
          <wp:inline distT="0" distB="0" distL="0" distR="0" wp14:anchorId="77CE774D" wp14:editId="097DF810">
            <wp:extent cx="2581275" cy="130175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4D53E1" w14:textId="45CE9550" w:rsidR="00C63180" w:rsidRDefault="00C63180" w:rsidP="00C63180">
      <w:pPr>
        <w:spacing w:line="360" w:lineRule="auto"/>
        <w:jc w:val="both"/>
        <w:rPr>
          <w:rFonts w:ascii="Garamond" w:hAnsi="Garamond"/>
          <w:sz w:val="20"/>
          <w:lang w:val="es-MX"/>
        </w:rPr>
      </w:pPr>
      <w:r>
        <w:rPr>
          <w:rFonts w:ascii="Garamond" w:hAnsi="Garamond"/>
          <w:sz w:val="20"/>
          <w:lang w:val="es-MX"/>
        </w:rPr>
        <w:t>En cuanto a los 251.612 hogares familiares en l</w:t>
      </w:r>
      <w:r w:rsidR="00A853FB">
        <w:rPr>
          <w:rFonts w:ascii="Garamond" w:hAnsi="Garamond"/>
          <w:sz w:val="20"/>
          <w:lang w:val="es-MX"/>
        </w:rPr>
        <w:t>o</w:t>
      </w:r>
      <w:r>
        <w:rPr>
          <w:rFonts w:ascii="Garamond" w:hAnsi="Garamond"/>
          <w:sz w:val="20"/>
          <w:lang w:val="es-MX"/>
        </w:rPr>
        <w:t xml:space="preserve">s que se registró </w:t>
      </w:r>
      <w:r w:rsidR="00A853FB">
        <w:rPr>
          <w:rFonts w:ascii="Garamond" w:hAnsi="Garamond"/>
          <w:sz w:val="20"/>
          <w:lang w:val="es-MX"/>
        </w:rPr>
        <w:t>haber tenido uniones</w:t>
      </w:r>
      <w:r>
        <w:rPr>
          <w:rFonts w:ascii="Garamond" w:hAnsi="Garamond"/>
          <w:sz w:val="20"/>
          <w:lang w:val="es-MX"/>
        </w:rPr>
        <w:t xml:space="preserve"> conyugales anteriores, se identificó que el 87,5% de estos hogares familiares tuvieron una unión conyugal </w:t>
      </w:r>
      <w:r w:rsidR="00A853FB">
        <w:rPr>
          <w:rFonts w:ascii="Garamond" w:hAnsi="Garamond"/>
          <w:sz w:val="20"/>
          <w:lang w:val="es-MX"/>
        </w:rPr>
        <w:t>previa;</w:t>
      </w:r>
      <w:r>
        <w:rPr>
          <w:rFonts w:ascii="Garamond" w:hAnsi="Garamond"/>
          <w:sz w:val="20"/>
          <w:lang w:val="es-MX"/>
        </w:rPr>
        <w:t xml:space="preserve"> el 11,1% registrar</w:t>
      </w:r>
      <w:r w:rsidR="00CD26E3">
        <w:rPr>
          <w:rFonts w:ascii="Garamond" w:hAnsi="Garamond"/>
          <w:sz w:val="20"/>
          <w:lang w:val="es-MX"/>
        </w:rPr>
        <w:t>on</w:t>
      </w:r>
      <w:r>
        <w:rPr>
          <w:rFonts w:ascii="Garamond" w:hAnsi="Garamond"/>
          <w:sz w:val="20"/>
          <w:lang w:val="es-MX"/>
        </w:rPr>
        <w:t xml:space="preserve"> haber tenido dos uniones conyugales anteriores, el 1,09% registraron haber tenido 3 uniones conyugales anteriores, y menos del 1% dijeron haber tenido cuatro o cinco uniones anteriores.</w:t>
      </w:r>
    </w:p>
    <w:p w14:paraId="47E06E3B" w14:textId="70BE4E2C" w:rsidR="00E44D0B" w:rsidRPr="00E44D0B" w:rsidRDefault="00E44D0B" w:rsidP="00E44D0B">
      <w:pPr>
        <w:spacing w:after="0" w:line="360" w:lineRule="auto"/>
        <w:jc w:val="center"/>
        <w:rPr>
          <w:rFonts w:ascii="Garamond" w:hAnsi="Garamond"/>
          <w:b/>
          <w:sz w:val="18"/>
          <w:lang w:val="es-MX"/>
        </w:rPr>
      </w:pPr>
      <w:r w:rsidRPr="00357ECA">
        <w:rPr>
          <w:rFonts w:ascii="Garamond" w:hAnsi="Garamond"/>
          <w:b/>
          <w:sz w:val="18"/>
          <w:lang w:val="es-MX"/>
        </w:rPr>
        <w:t>Gráfic</w:t>
      </w:r>
      <w:r>
        <w:rPr>
          <w:rFonts w:ascii="Garamond" w:hAnsi="Garamond"/>
          <w:b/>
          <w:sz w:val="18"/>
          <w:lang w:val="es-MX"/>
        </w:rPr>
        <w:t xml:space="preserve">o </w:t>
      </w:r>
      <w:r w:rsidR="00C63180">
        <w:rPr>
          <w:rFonts w:ascii="Garamond" w:hAnsi="Garamond"/>
          <w:b/>
          <w:sz w:val="18"/>
          <w:lang w:val="es-MX"/>
        </w:rPr>
        <w:t>1</w:t>
      </w:r>
      <w:r w:rsidR="00DA696F">
        <w:rPr>
          <w:rFonts w:ascii="Garamond" w:hAnsi="Garamond"/>
          <w:b/>
          <w:sz w:val="18"/>
          <w:lang w:val="es-MX"/>
        </w:rPr>
        <w:t>5</w:t>
      </w:r>
      <w:r w:rsidRPr="00357ECA">
        <w:rPr>
          <w:rFonts w:ascii="Garamond" w:hAnsi="Garamond"/>
          <w:b/>
          <w:sz w:val="18"/>
          <w:lang w:val="es-MX"/>
        </w:rPr>
        <w:t xml:space="preserve">. </w:t>
      </w:r>
      <w:r w:rsidR="003A5B32">
        <w:rPr>
          <w:rFonts w:ascii="Garamond" w:hAnsi="Garamond"/>
          <w:b/>
          <w:sz w:val="18"/>
          <w:lang w:val="es-MX"/>
        </w:rPr>
        <w:t>Número de uniones conyugales anteriores</w:t>
      </w:r>
    </w:p>
    <w:p w14:paraId="2197049F" w14:textId="44CE7008" w:rsidR="001C787A" w:rsidRDefault="003A5B32" w:rsidP="001C787A">
      <w:pPr>
        <w:spacing w:line="360" w:lineRule="auto"/>
        <w:jc w:val="center"/>
        <w:rPr>
          <w:rFonts w:ascii="Garamond" w:hAnsi="Garamond"/>
          <w:sz w:val="20"/>
          <w:lang w:val="es-MX"/>
        </w:rPr>
      </w:pPr>
      <w:r w:rsidRPr="006B71CF">
        <w:rPr>
          <w:rFonts w:ascii="Garamond" w:hAnsi="Garamond"/>
          <w:noProof/>
          <w:lang w:val="es-ES" w:eastAsia="es-ES"/>
        </w:rPr>
        <w:drawing>
          <wp:inline distT="0" distB="0" distL="0" distR="0" wp14:anchorId="3EACADA6" wp14:editId="36BD6482">
            <wp:extent cx="2581275" cy="1548765"/>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3008977" w14:textId="1130B446" w:rsidR="00A72D17" w:rsidRPr="00A72D17" w:rsidRDefault="00A72D17" w:rsidP="00A72D17">
      <w:pPr>
        <w:spacing w:after="0" w:line="360" w:lineRule="auto"/>
        <w:jc w:val="center"/>
        <w:rPr>
          <w:rFonts w:ascii="Garamond" w:hAnsi="Garamond"/>
          <w:b/>
          <w:sz w:val="18"/>
          <w:lang w:val="es-MX"/>
        </w:rPr>
      </w:pPr>
      <w:r w:rsidRPr="00357ECA">
        <w:rPr>
          <w:rFonts w:ascii="Garamond" w:hAnsi="Garamond"/>
          <w:b/>
          <w:sz w:val="18"/>
          <w:lang w:val="es-MX"/>
        </w:rPr>
        <w:t>Gráfic</w:t>
      </w:r>
      <w:r>
        <w:rPr>
          <w:rFonts w:ascii="Garamond" w:hAnsi="Garamond"/>
          <w:b/>
          <w:sz w:val="18"/>
          <w:lang w:val="es-MX"/>
        </w:rPr>
        <w:t>o 1</w:t>
      </w:r>
      <w:r w:rsidR="00DA696F">
        <w:rPr>
          <w:rFonts w:ascii="Garamond" w:hAnsi="Garamond"/>
          <w:b/>
          <w:sz w:val="18"/>
          <w:lang w:val="es-MX"/>
        </w:rPr>
        <w:t>6</w:t>
      </w:r>
      <w:r w:rsidRPr="00357ECA">
        <w:rPr>
          <w:rFonts w:ascii="Garamond" w:hAnsi="Garamond"/>
          <w:b/>
          <w:sz w:val="18"/>
          <w:lang w:val="es-MX"/>
        </w:rPr>
        <w:t xml:space="preserve">. </w:t>
      </w:r>
      <w:r w:rsidR="00E356A7">
        <w:rPr>
          <w:rFonts w:ascii="Garamond" w:hAnsi="Garamond"/>
          <w:b/>
          <w:sz w:val="18"/>
          <w:lang w:val="es-MX"/>
        </w:rPr>
        <w:t>Integrantes de uniones conyugales anteriores que actualmente viven con su familia</w:t>
      </w:r>
    </w:p>
    <w:p w14:paraId="3998FCE3" w14:textId="2E06257A" w:rsidR="00741111" w:rsidRDefault="00E356A7" w:rsidP="001C787A">
      <w:pPr>
        <w:spacing w:line="360" w:lineRule="auto"/>
        <w:jc w:val="center"/>
        <w:rPr>
          <w:rFonts w:ascii="Garamond" w:hAnsi="Garamond"/>
          <w:sz w:val="24"/>
          <w:lang w:val="es-MX"/>
        </w:rPr>
      </w:pPr>
      <w:r>
        <w:rPr>
          <w:noProof/>
          <w:lang w:val="es-ES" w:eastAsia="es-ES"/>
        </w:rPr>
        <w:drawing>
          <wp:inline distT="0" distB="0" distL="0" distR="0" wp14:anchorId="3CD87377" wp14:editId="2CB73A0E">
            <wp:extent cx="2581275" cy="1548765"/>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D63220" w14:textId="09D05684" w:rsidR="00983AC5" w:rsidRDefault="009C1A09" w:rsidP="009111D5">
      <w:pPr>
        <w:spacing w:line="360" w:lineRule="auto"/>
        <w:jc w:val="both"/>
        <w:rPr>
          <w:rFonts w:ascii="Garamond" w:hAnsi="Garamond"/>
          <w:sz w:val="20"/>
          <w:lang w:val="es-MX"/>
        </w:rPr>
      </w:pPr>
      <w:r>
        <w:rPr>
          <w:rFonts w:ascii="Garamond" w:hAnsi="Garamond"/>
          <w:sz w:val="20"/>
          <w:lang w:val="es-MX"/>
        </w:rPr>
        <w:t>De lo</w:t>
      </w:r>
      <w:r w:rsidR="00E356A7">
        <w:rPr>
          <w:rFonts w:ascii="Garamond" w:hAnsi="Garamond"/>
          <w:sz w:val="20"/>
          <w:lang w:val="es-MX"/>
        </w:rPr>
        <w:t xml:space="preserve">s 251.612 </w:t>
      </w:r>
      <w:r w:rsidR="00B44EB1">
        <w:rPr>
          <w:rFonts w:ascii="Garamond" w:hAnsi="Garamond"/>
          <w:sz w:val="20"/>
          <w:lang w:val="es-MX"/>
        </w:rPr>
        <w:t>hogares</w:t>
      </w:r>
      <w:r>
        <w:rPr>
          <w:rFonts w:ascii="Garamond" w:hAnsi="Garamond"/>
          <w:sz w:val="20"/>
          <w:lang w:val="es-MX"/>
        </w:rPr>
        <w:t xml:space="preserve"> </w:t>
      </w:r>
      <w:r w:rsidR="00C63180">
        <w:rPr>
          <w:rFonts w:ascii="Garamond" w:hAnsi="Garamond"/>
          <w:sz w:val="20"/>
          <w:lang w:val="es-MX"/>
        </w:rPr>
        <w:t xml:space="preserve">familiares </w:t>
      </w:r>
      <w:r>
        <w:rPr>
          <w:rFonts w:ascii="Garamond" w:hAnsi="Garamond"/>
          <w:sz w:val="20"/>
          <w:lang w:val="es-MX"/>
        </w:rPr>
        <w:t>en lo</w:t>
      </w:r>
      <w:r w:rsidR="00E356A7">
        <w:rPr>
          <w:rFonts w:ascii="Garamond" w:hAnsi="Garamond"/>
          <w:sz w:val="20"/>
          <w:lang w:val="es-MX"/>
        </w:rPr>
        <w:t>s que se registró que alguno de los mi</w:t>
      </w:r>
      <w:r w:rsidR="00B954C4">
        <w:rPr>
          <w:rFonts w:ascii="Garamond" w:hAnsi="Garamond"/>
          <w:sz w:val="20"/>
          <w:lang w:val="es-MX"/>
        </w:rPr>
        <w:t>embros cabeza del hogar tuvo</w:t>
      </w:r>
      <w:r w:rsidR="00E356A7">
        <w:rPr>
          <w:rFonts w:ascii="Garamond" w:hAnsi="Garamond"/>
          <w:sz w:val="20"/>
          <w:lang w:val="es-MX"/>
        </w:rPr>
        <w:t xml:space="preserve"> relaciones conyugales anteriores, se les preguntó s</w:t>
      </w:r>
      <w:r>
        <w:rPr>
          <w:rFonts w:ascii="Garamond" w:hAnsi="Garamond"/>
          <w:sz w:val="20"/>
          <w:lang w:val="es-MX"/>
        </w:rPr>
        <w:t>i actualmente convivian con algú</w:t>
      </w:r>
      <w:r w:rsidR="00E356A7">
        <w:rPr>
          <w:rFonts w:ascii="Garamond" w:hAnsi="Garamond"/>
          <w:sz w:val="20"/>
          <w:lang w:val="es-MX"/>
        </w:rPr>
        <w:t>n integrante de sus uniones conyugales anteriores,</w:t>
      </w:r>
      <w:r>
        <w:rPr>
          <w:rFonts w:ascii="Garamond" w:hAnsi="Garamond"/>
          <w:sz w:val="20"/>
          <w:lang w:val="es-MX"/>
        </w:rPr>
        <w:t xml:space="preserve"> y el 46% de eso</w:t>
      </w:r>
      <w:r w:rsidR="00E356A7">
        <w:rPr>
          <w:rFonts w:ascii="Garamond" w:hAnsi="Garamond"/>
          <w:sz w:val="20"/>
          <w:lang w:val="es-MX"/>
        </w:rPr>
        <w:t xml:space="preserve">s </w:t>
      </w:r>
      <w:r w:rsidR="00B44EB1">
        <w:rPr>
          <w:rFonts w:ascii="Garamond" w:hAnsi="Garamond"/>
          <w:sz w:val="20"/>
          <w:lang w:val="es-MX"/>
        </w:rPr>
        <w:t>hogares</w:t>
      </w:r>
      <w:r w:rsidR="00E356A7">
        <w:rPr>
          <w:rFonts w:ascii="Garamond" w:hAnsi="Garamond"/>
          <w:sz w:val="20"/>
          <w:lang w:val="es-MX"/>
        </w:rPr>
        <w:t xml:space="preserve"> dijeron que sí.</w:t>
      </w:r>
    </w:p>
    <w:p w14:paraId="5C09F175" w14:textId="0480F7E4" w:rsidR="007E52B2" w:rsidRDefault="007E52B2" w:rsidP="009111D5">
      <w:pPr>
        <w:spacing w:line="360" w:lineRule="auto"/>
        <w:jc w:val="both"/>
        <w:rPr>
          <w:rFonts w:ascii="Garamond" w:hAnsi="Garamond"/>
          <w:sz w:val="20"/>
          <w:lang w:val="es-MX"/>
        </w:rPr>
      </w:pPr>
    </w:p>
    <w:p w14:paraId="4F95B852" w14:textId="7F7E9762" w:rsidR="00CD6133" w:rsidRDefault="007E52B2" w:rsidP="00CD6133">
      <w:pPr>
        <w:pStyle w:val="Ttulo1"/>
        <w:rPr>
          <w:lang w:val="es-MX"/>
        </w:rPr>
      </w:pPr>
      <w:r>
        <w:rPr>
          <w:lang w:val="es-MX"/>
        </w:rPr>
        <w:lastRenderedPageBreak/>
        <w:t>CONCLUSIONES</w:t>
      </w:r>
    </w:p>
    <w:p w14:paraId="368295F8" w14:textId="77777777" w:rsidR="00CD6133" w:rsidRPr="00CD6133" w:rsidRDefault="00CD6133" w:rsidP="00CD6133">
      <w:pPr>
        <w:rPr>
          <w:lang w:val="es-MX"/>
        </w:rPr>
      </w:pPr>
    </w:p>
    <w:p w14:paraId="21B0D509" w14:textId="571B6FAC" w:rsidR="00DA696F" w:rsidRDefault="00DA696F" w:rsidP="00DA696F">
      <w:pPr>
        <w:spacing w:line="360" w:lineRule="auto"/>
        <w:jc w:val="both"/>
        <w:rPr>
          <w:rFonts w:ascii="Garamond" w:hAnsi="Garamond"/>
          <w:sz w:val="20"/>
          <w:lang w:val="es-MX"/>
        </w:rPr>
      </w:pPr>
      <w:r>
        <w:rPr>
          <w:rFonts w:ascii="Garamond" w:hAnsi="Garamond"/>
          <w:sz w:val="20"/>
          <w:lang w:val="es-MX"/>
        </w:rPr>
        <w:t xml:space="preserve">En términos generales, la mayoría de los hogares familiares en Bogotá (81,5%) están compuestos por personas adultas, siendo el grupo etario que predomina en </w:t>
      </w:r>
      <w:r w:rsidR="00CD6133">
        <w:rPr>
          <w:rFonts w:ascii="Garamond" w:hAnsi="Garamond"/>
          <w:sz w:val="20"/>
          <w:lang w:val="es-MX"/>
        </w:rPr>
        <w:t>todos los estratos de la ciudad</w:t>
      </w:r>
      <w:r>
        <w:rPr>
          <w:rFonts w:ascii="Garamond" w:hAnsi="Garamond"/>
          <w:sz w:val="20"/>
          <w:lang w:val="es-MX"/>
        </w:rPr>
        <w:t>.  Por su parte los hogares familiares con jóvenes son los que le siguen con 59,9%; luego los hogares familiares con niños y niñas (41,6%), adultos mayores (30,2%) y adolescentes (24,5%).</w:t>
      </w:r>
    </w:p>
    <w:p w14:paraId="06AF0148" w14:textId="110AF5BD" w:rsidR="004A6387" w:rsidRPr="0057764F" w:rsidRDefault="004A6387" w:rsidP="004A6387">
      <w:pPr>
        <w:spacing w:after="0" w:line="360" w:lineRule="auto"/>
        <w:jc w:val="center"/>
        <w:rPr>
          <w:rFonts w:ascii="Garamond" w:hAnsi="Garamond"/>
          <w:b/>
          <w:sz w:val="20"/>
          <w:lang w:val="es-MX"/>
        </w:rPr>
      </w:pPr>
      <w:r w:rsidRPr="00A43A86">
        <w:rPr>
          <w:rFonts w:ascii="Garamond" w:hAnsi="Garamond"/>
          <w:b/>
          <w:sz w:val="20"/>
          <w:lang w:val="es-MX"/>
        </w:rPr>
        <w:t xml:space="preserve">Gráfico </w:t>
      </w:r>
      <w:r>
        <w:rPr>
          <w:rFonts w:ascii="Garamond" w:hAnsi="Garamond"/>
          <w:b/>
          <w:sz w:val="20"/>
          <w:lang w:val="es-MX"/>
        </w:rPr>
        <w:t>1</w:t>
      </w:r>
      <w:r w:rsidR="00DA696F">
        <w:rPr>
          <w:rFonts w:ascii="Garamond" w:hAnsi="Garamond"/>
          <w:b/>
          <w:sz w:val="20"/>
          <w:lang w:val="es-MX"/>
        </w:rPr>
        <w:t>7</w:t>
      </w:r>
      <w:r w:rsidRPr="00A43A86">
        <w:rPr>
          <w:rFonts w:ascii="Garamond" w:hAnsi="Garamond"/>
          <w:b/>
          <w:sz w:val="20"/>
          <w:lang w:val="es-MX"/>
        </w:rPr>
        <w:t xml:space="preserve">. Porcentaje de hogares familiares con </w:t>
      </w:r>
      <w:r>
        <w:rPr>
          <w:rFonts w:ascii="Garamond" w:hAnsi="Garamond"/>
          <w:b/>
          <w:sz w:val="20"/>
          <w:lang w:val="es-MX"/>
        </w:rPr>
        <w:t xml:space="preserve">niños, adolescentes, jóvenes, adultos y </w:t>
      </w:r>
      <w:r w:rsidR="00A50783">
        <w:rPr>
          <w:rFonts w:ascii="Garamond" w:hAnsi="Garamond"/>
          <w:b/>
          <w:sz w:val="20"/>
          <w:lang w:val="es-MX"/>
        </w:rPr>
        <w:t>personas</w:t>
      </w:r>
      <w:r w:rsidRPr="00A43A86">
        <w:rPr>
          <w:rFonts w:ascii="Garamond" w:hAnsi="Garamond"/>
          <w:b/>
          <w:sz w:val="20"/>
          <w:lang w:val="es-MX"/>
        </w:rPr>
        <w:t xml:space="preserve"> </w:t>
      </w:r>
      <w:r>
        <w:rPr>
          <w:rFonts w:ascii="Garamond" w:hAnsi="Garamond"/>
          <w:b/>
          <w:sz w:val="20"/>
          <w:lang w:val="es-MX"/>
        </w:rPr>
        <w:t xml:space="preserve">mayores </w:t>
      </w:r>
      <w:r w:rsidRPr="00A43A86">
        <w:rPr>
          <w:rFonts w:ascii="Garamond" w:hAnsi="Garamond"/>
          <w:b/>
          <w:sz w:val="20"/>
          <w:lang w:val="es-MX"/>
        </w:rPr>
        <w:t>por estrato socioeconómico</w:t>
      </w:r>
    </w:p>
    <w:p w14:paraId="02D0E487" w14:textId="77777777" w:rsidR="004A6387" w:rsidRDefault="004A6387" w:rsidP="004A6387">
      <w:pPr>
        <w:spacing w:line="360" w:lineRule="auto"/>
        <w:jc w:val="center"/>
        <w:rPr>
          <w:rFonts w:ascii="Garamond" w:hAnsi="Garamond"/>
          <w:sz w:val="20"/>
          <w:lang w:val="es-MX"/>
        </w:rPr>
      </w:pPr>
      <w:r>
        <w:rPr>
          <w:noProof/>
          <w:lang w:val="es-ES" w:eastAsia="es-ES"/>
        </w:rPr>
        <w:drawing>
          <wp:inline distT="0" distB="0" distL="0" distR="0" wp14:anchorId="386F7FF6" wp14:editId="11F4FE1A">
            <wp:extent cx="2922905" cy="4064000"/>
            <wp:effectExtent l="0" t="0" r="0" b="0"/>
            <wp:docPr id="26" name="Gráfico 26">
              <a:extLst xmlns:a="http://schemas.openxmlformats.org/drawingml/2006/main">
                <a:ext uri="{FF2B5EF4-FFF2-40B4-BE49-F238E27FC236}">
                  <a16:creationId xmlns:a16="http://schemas.microsoft.com/office/drawing/2014/main" id="{1C88744B-7985-0C43-9F60-DF85202242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97CBDF0" w14:textId="0CA4D729" w:rsidR="00DA696F" w:rsidRDefault="00DA696F" w:rsidP="00DA696F">
      <w:pPr>
        <w:spacing w:line="360" w:lineRule="auto"/>
        <w:jc w:val="both"/>
        <w:rPr>
          <w:rFonts w:ascii="Garamond" w:hAnsi="Garamond"/>
          <w:sz w:val="20"/>
          <w:lang w:val="es-MX"/>
        </w:rPr>
      </w:pPr>
      <w:r>
        <w:rPr>
          <w:rFonts w:ascii="Garamond" w:hAnsi="Garamond"/>
          <w:sz w:val="20"/>
          <w:lang w:val="es-MX"/>
        </w:rPr>
        <w:t>El estrato 1 es el tercero en cuanto al número de hogares familiares en la capital (236.197)</w:t>
      </w:r>
      <w:r w:rsidR="00CD6133">
        <w:rPr>
          <w:rFonts w:ascii="Garamond" w:hAnsi="Garamond"/>
          <w:sz w:val="20"/>
          <w:lang w:val="es-MX"/>
        </w:rPr>
        <w:t>, que equivale al</w:t>
      </w:r>
      <w:r>
        <w:rPr>
          <w:rFonts w:ascii="Garamond" w:hAnsi="Garamond"/>
          <w:sz w:val="20"/>
          <w:lang w:val="es-MX"/>
        </w:rPr>
        <w:t xml:space="preserve"> 8,8%</w:t>
      </w:r>
      <w:r w:rsidR="00CD6133">
        <w:rPr>
          <w:rFonts w:ascii="Garamond" w:hAnsi="Garamond"/>
          <w:sz w:val="20"/>
          <w:lang w:val="es-MX"/>
        </w:rPr>
        <w:t xml:space="preserve"> de los hogares familiares de Bogotá</w:t>
      </w:r>
      <w:r>
        <w:rPr>
          <w:rFonts w:ascii="Garamond" w:hAnsi="Garamond"/>
          <w:sz w:val="20"/>
          <w:lang w:val="es-MX"/>
        </w:rPr>
        <w:t xml:space="preserve">. Sobresale </w:t>
      </w:r>
      <w:r w:rsidR="00CD6133">
        <w:rPr>
          <w:rFonts w:ascii="Garamond" w:hAnsi="Garamond"/>
          <w:sz w:val="20"/>
          <w:lang w:val="es-MX"/>
        </w:rPr>
        <w:t xml:space="preserve">este estrato </w:t>
      </w:r>
      <w:r>
        <w:rPr>
          <w:rFonts w:ascii="Garamond" w:hAnsi="Garamond"/>
          <w:sz w:val="20"/>
          <w:lang w:val="es-MX"/>
        </w:rPr>
        <w:t xml:space="preserve">como el que tiene el mayor </w:t>
      </w:r>
      <w:r>
        <w:rPr>
          <w:rFonts w:ascii="Garamond" w:hAnsi="Garamond"/>
          <w:sz w:val="20"/>
          <w:lang w:val="es-MX"/>
        </w:rPr>
        <w:t xml:space="preserve">porcentaje de hogares con niños y niñas (58,8%) en </w:t>
      </w:r>
      <w:r w:rsidR="00CD6133">
        <w:rPr>
          <w:rFonts w:ascii="Garamond" w:hAnsi="Garamond"/>
          <w:sz w:val="20"/>
          <w:lang w:val="es-MX"/>
        </w:rPr>
        <w:t>la capital</w:t>
      </w:r>
      <w:r>
        <w:rPr>
          <w:rFonts w:ascii="Garamond" w:hAnsi="Garamond"/>
          <w:sz w:val="20"/>
          <w:lang w:val="es-MX"/>
        </w:rPr>
        <w:t>, y tiene un porcentaje significativo de hogares familiares con jóvenes (58,3%) y adolescentes (27,2%).</w:t>
      </w:r>
    </w:p>
    <w:p w14:paraId="018F7BD4" w14:textId="77777777" w:rsidR="00DA696F" w:rsidRDefault="00DA696F" w:rsidP="00DA696F">
      <w:pPr>
        <w:spacing w:line="360" w:lineRule="auto"/>
        <w:jc w:val="both"/>
        <w:rPr>
          <w:rFonts w:ascii="Garamond" w:hAnsi="Garamond"/>
          <w:sz w:val="20"/>
          <w:lang w:val="es-MX"/>
        </w:rPr>
      </w:pPr>
      <w:r>
        <w:rPr>
          <w:rFonts w:ascii="Garamond" w:hAnsi="Garamond"/>
          <w:sz w:val="20"/>
          <w:lang w:val="es-MX"/>
        </w:rPr>
        <w:t>El estrato 2 es el estrato con el mayor número de hogares familiares en Bogotá (1.141.281) que equivale al 42,7% de los hogares de la ciudad. Se destaca por ser el que tiene el mayor número de hogares familiares con adultos (893.399). Además de que tiene el mayor porcentaje de hogares familiares con jóvenes (63,2%), con adolescentes (31,7%) y el que tiene el menor porcentaje de hogares familiares con adultos mayores (26,5%).</w:t>
      </w:r>
    </w:p>
    <w:p w14:paraId="788E2D1C" w14:textId="77777777" w:rsidR="00DA696F" w:rsidRDefault="00DA696F" w:rsidP="00DA696F">
      <w:pPr>
        <w:spacing w:line="360" w:lineRule="auto"/>
        <w:jc w:val="both"/>
        <w:rPr>
          <w:rFonts w:ascii="Garamond" w:hAnsi="Garamond"/>
          <w:sz w:val="20"/>
          <w:lang w:val="es-MX"/>
        </w:rPr>
      </w:pPr>
      <w:r>
        <w:rPr>
          <w:rFonts w:ascii="Garamond" w:hAnsi="Garamond"/>
          <w:sz w:val="20"/>
          <w:lang w:val="es-MX"/>
        </w:rPr>
        <w:t>El estrato 3 es el segundo estrato con el mayor número de hogares en Bogotá (958,487), esto es el 35,9% de los hogares de la ciudad. En términos porcentuales es el que tiene el mayor porcentaje de hogares familiares con adultos (86,5%), y tiene de igual forma un porcentaje importante de hogares con jóvenes (59,2%), adultos mayores (33%) y niños y niñas (31%).</w:t>
      </w:r>
    </w:p>
    <w:p w14:paraId="016574C0" w14:textId="77777777" w:rsidR="00DA696F" w:rsidRDefault="00DA696F" w:rsidP="00DA696F">
      <w:pPr>
        <w:spacing w:line="360" w:lineRule="auto"/>
        <w:jc w:val="both"/>
        <w:rPr>
          <w:rFonts w:ascii="Garamond" w:hAnsi="Garamond"/>
          <w:sz w:val="20"/>
          <w:lang w:val="es-MX"/>
        </w:rPr>
      </w:pPr>
      <w:r>
        <w:rPr>
          <w:rFonts w:ascii="Garamond" w:hAnsi="Garamond"/>
          <w:sz w:val="20"/>
          <w:lang w:val="es-MX"/>
        </w:rPr>
        <w:t>Por su parte el estrato 4 cuenta con 208.745 hogares familiares, que equivale al 7,8% de hogares familiares de la capital. Este se destaca por ser el estrato con el mayor porcentaje de hogares familiares con adultos mayores (39,9%).</w:t>
      </w:r>
    </w:p>
    <w:p w14:paraId="2C3CA638" w14:textId="77777777" w:rsidR="00DA696F" w:rsidRDefault="00DA696F" w:rsidP="00DA696F">
      <w:pPr>
        <w:spacing w:line="360" w:lineRule="auto"/>
        <w:jc w:val="both"/>
        <w:rPr>
          <w:rFonts w:ascii="Garamond" w:hAnsi="Garamond"/>
          <w:sz w:val="20"/>
          <w:lang w:val="es-MX"/>
        </w:rPr>
      </w:pPr>
      <w:r>
        <w:rPr>
          <w:rFonts w:ascii="Garamond" w:hAnsi="Garamond"/>
          <w:sz w:val="20"/>
          <w:lang w:val="es-MX"/>
        </w:rPr>
        <w:t>El estrato 5 tiene 69.287 hogares familiares, es decir el 2,6% de los hogares familiares de Bogotá. Sobresale por ser el estrato con el menor porcentaje hogares familiares con adolescentes (8,7%).</w:t>
      </w:r>
    </w:p>
    <w:p w14:paraId="106D56D6" w14:textId="2ADF0774" w:rsidR="00DA696F" w:rsidRPr="00CD6133" w:rsidRDefault="00DA696F" w:rsidP="00CD6133">
      <w:pPr>
        <w:spacing w:line="360" w:lineRule="auto"/>
        <w:jc w:val="both"/>
        <w:rPr>
          <w:rFonts w:ascii="Garamond" w:hAnsi="Garamond"/>
          <w:sz w:val="20"/>
          <w:lang w:val="es-MX"/>
        </w:rPr>
      </w:pPr>
      <w:r>
        <w:rPr>
          <w:rFonts w:ascii="Garamond" w:hAnsi="Garamond"/>
          <w:sz w:val="20"/>
          <w:lang w:val="es-MX"/>
        </w:rPr>
        <w:t xml:space="preserve">Finalmente, el estrato 6 cuenta con 50.899 hogares familiares que representa el 1,9% de hogares familiares de la ciudad. Se destaca por ser el estrato que tiene el menor porcentaje (14,1%) de hogares familiares con niños y niñas en la capital y el segundo </w:t>
      </w:r>
      <w:r>
        <w:rPr>
          <w:rFonts w:ascii="Garamond" w:hAnsi="Garamond"/>
          <w:sz w:val="20"/>
          <w:lang w:val="es-MX"/>
        </w:rPr>
        <w:lastRenderedPageBreak/>
        <w:t>con el menor porcentaje (10,4%) de hogares familiares con adolescentes, pero es el segundo de los estratos con el mayor porcentaje de hogares familiares con adultos mayores (36,6%).</w:t>
      </w:r>
    </w:p>
    <w:p w14:paraId="4DA90FA8" w14:textId="20D1F18C" w:rsidR="00DA696F" w:rsidRDefault="00DA696F" w:rsidP="00DA696F">
      <w:pPr>
        <w:spacing w:line="360" w:lineRule="auto"/>
        <w:jc w:val="both"/>
        <w:rPr>
          <w:rFonts w:ascii="Garamond" w:hAnsi="Garamond"/>
          <w:sz w:val="20"/>
          <w:lang w:val="es-MX"/>
        </w:rPr>
      </w:pPr>
      <w:r w:rsidRPr="007E52B2">
        <w:rPr>
          <w:rFonts w:ascii="Garamond" w:hAnsi="Garamond"/>
          <w:sz w:val="20"/>
          <w:lang w:val="es-MX"/>
        </w:rPr>
        <w:t>Frente a la conformación familiar</w:t>
      </w:r>
      <w:r w:rsidR="00CD6133">
        <w:rPr>
          <w:rFonts w:ascii="Garamond" w:hAnsi="Garamond"/>
          <w:sz w:val="20"/>
          <w:lang w:val="es-MX"/>
        </w:rPr>
        <w:t xml:space="preserve"> por número de integrantes</w:t>
      </w:r>
      <w:r w:rsidRPr="007E52B2">
        <w:rPr>
          <w:rFonts w:ascii="Garamond" w:hAnsi="Garamond"/>
          <w:sz w:val="20"/>
          <w:lang w:val="es-MX"/>
        </w:rPr>
        <w:t xml:space="preserve">, se identificó </w:t>
      </w:r>
      <w:r>
        <w:rPr>
          <w:rFonts w:ascii="Garamond" w:hAnsi="Garamond"/>
          <w:sz w:val="20"/>
          <w:lang w:val="es-MX"/>
        </w:rPr>
        <w:t xml:space="preserve">que </w:t>
      </w:r>
      <w:r w:rsidR="00CD6133">
        <w:rPr>
          <w:rFonts w:ascii="Garamond" w:hAnsi="Garamond"/>
          <w:sz w:val="20"/>
          <w:lang w:val="es-MX"/>
        </w:rPr>
        <w:t xml:space="preserve">el </w:t>
      </w:r>
      <w:r>
        <w:rPr>
          <w:rFonts w:ascii="Garamond" w:hAnsi="Garamond"/>
          <w:sz w:val="20"/>
          <w:lang w:val="es-MX"/>
        </w:rPr>
        <w:t xml:space="preserve">65,5% de los hogares familiares bogotanos </w:t>
      </w:r>
      <w:r w:rsidR="00CD6133">
        <w:rPr>
          <w:rFonts w:ascii="Garamond" w:hAnsi="Garamond"/>
          <w:sz w:val="20"/>
          <w:lang w:val="es-MX"/>
        </w:rPr>
        <w:t>tienen</w:t>
      </w:r>
      <w:r>
        <w:rPr>
          <w:rFonts w:ascii="Garamond" w:hAnsi="Garamond"/>
          <w:sz w:val="20"/>
          <w:lang w:val="es-MX"/>
        </w:rPr>
        <w:t xml:space="preserve"> </w:t>
      </w:r>
      <w:r w:rsidR="00CD6133">
        <w:rPr>
          <w:rFonts w:ascii="Garamond" w:hAnsi="Garamond"/>
          <w:sz w:val="20"/>
          <w:lang w:val="es-MX"/>
        </w:rPr>
        <w:t>entre</w:t>
      </w:r>
      <w:r>
        <w:rPr>
          <w:rFonts w:ascii="Garamond" w:hAnsi="Garamond"/>
          <w:sz w:val="20"/>
          <w:lang w:val="es-MX"/>
        </w:rPr>
        <w:t xml:space="preserve"> 2 a 4 </w:t>
      </w:r>
      <w:r w:rsidR="00CD6133">
        <w:rPr>
          <w:rFonts w:ascii="Garamond" w:hAnsi="Garamond"/>
          <w:sz w:val="20"/>
          <w:lang w:val="es-MX"/>
        </w:rPr>
        <w:t>integrantes</w:t>
      </w:r>
      <w:r>
        <w:rPr>
          <w:rFonts w:ascii="Garamond" w:hAnsi="Garamond"/>
          <w:sz w:val="20"/>
          <w:lang w:val="es-MX"/>
        </w:rPr>
        <w:t>. Puntualmente el 2</w:t>
      </w:r>
      <w:r w:rsidR="00CD6133">
        <w:rPr>
          <w:rFonts w:ascii="Garamond" w:hAnsi="Garamond"/>
          <w:sz w:val="20"/>
          <w:lang w:val="es-MX"/>
        </w:rPr>
        <w:t>2,8</w:t>
      </w:r>
      <w:r>
        <w:rPr>
          <w:rFonts w:ascii="Garamond" w:hAnsi="Garamond"/>
          <w:sz w:val="20"/>
          <w:lang w:val="es-MX"/>
        </w:rPr>
        <w:t>% están conformados por tres personas</w:t>
      </w:r>
      <w:r w:rsidR="00CD6133">
        <w:rPr>
          <w:rFonts w:ascii="Garamond" w:hAnsi="Garamond"/>
          <w:sz w:val="20"/>
          <w:lang w:val="es-MX"/>
        </w:rPr>
        <w:t>;</w:t>
      </w:r>
      <w:r>
        <w:rPr>
          <w:rFonts w:ascii="Garamond" w:hAnsi="Garamond"/>
          <w:sz w:val="20"/>
          <w:lang w:val="es-MX"/>
        </w:rPr>
        <w:t xml:space="preserve"> el 22</w:t>
      </w:r>
      <w:r w:rsidR="00CD6133">
        <w:rPr>
          <w:rFonts w:ascii="Garamond" w:hAnsi="Garamond"/>
          <w:sz w:val="20"/>
          <w:lang w:val="es-MX"/>
        </w:rPr>
        <w:t>,2</w:t>
      </w:r>
      <w:r>
        <w:rPr>
          <w:rFonts w:ascii="Garamond" w:hAnsi="Garamond"/>
          <w:sz w:val="20"/>
          <w:lang w:val="es-MX"/>
        </w:rPr>
        <w:t>% por dos y el 2</w:t>
      </w:r>
      <w:r w:rsidR="00CD6133">
        <w:rPr>
          <w:rFonts w:ascii="Garamond" w:hAnsi="Garamond"/>
          <w:sz w:val="20"/>
          <w:lang w:val="es-MX"/>
        </w:rPr>
        <w:t>0,6</w:t>
      </w:r>
      <w:r>
        <w:rPr>
          <w:rFonts w:ascii="Garamond" w:hAnsi="Garamond"/>
          <w:sz w:val="20"/>
          <w:lang w:val="es-MX"/>
        </w:rPr>
        <w:t>% por tres.</w:t>
      </w:r>
    </w:p>
    <w:p w14:paraId="312C4214" w14:textId="0FA6EA3E" w:rsidR="00CD6133" w:rsidRDefault="00CD6133" w:rsidP="00DA696F">
      <w:pPr>
        <w:spacing w:line="360" w:lineRule="auto"/>
        <w:jc w:val="both"/>
        <w:rPr>
          <w:rFonts w:ascii="Garamond" w:hAnsi="Garamond"/>
          <w:sz w:val="20"/>
          <w:lang w:val="es-MX"/>
        </w:rPr>
      </w:pPr>
      <w:r>
        <w:rPr>
          <w:rFonts w:ascii="Garamond" w:hAnsi="Garamond"/>
          <w:sz w:val="20"/>
          <w:lang w:val="es-MX"/>
        </w:rPr>
        <w:t>Al revisar por estrato como están conformados los hogares por número de integrantes se destaca lo siguiente:</w:t>
      </w:r>
    </w:p>
    <w:p w14:paraId="1175167B" w14:textId="6AA6D771" w:rsidR="00CD6133" w:rsidRDefault="00CD6133" w:rsidP="00DA696F">
      <w:pPr>
        <w:spacing w:line="360" w:lineRule="auto"/>
        <w:jc w:val="both"/>
        <w:rPr>
          <w:rFonts w:ascii="Garamond" w:hAnsi="Garamond"/>
          <w:sz w:val="20"/>
          <w:lang w:val="es-MX"/>
        </w:rPr>
      </w:pPr>
      <w:r>
        <w:rPr>
          <w:rFonts w:ascii="Garamond" w:hAnsi="Garamond"/>
          <w:sz w:val="20"/>
          <w:lang w:val="es-MX"/>
        </w:rPr>
        <w:t xml:space="preserve">El estrato </w:t>
      </w:r>
      <w:r w:rsidR="00796C1E">
        <w:rPr>
          <w:rFonts w:ascii="Garamond" w:hAnsi="Garamond"/>
          <w:sz w:val="20"/>
          <w:lang w:val="es-MX"/>
        </w:rPr>
        <w:t>1 reporta que el 68% de sus hogares familiares son entre tres y cinco personas, pero además tiene un porcentaje importante (9,8%) de hogares familiares conformados por más de seis personas.</w:t>
      </w:r>
    </w:p>
    <w:p w14:paraId="1DA409BB" w14:textId="75A171AB" w:rsidR="00796C1E" w:rsidRDefault="00796C1E" w:rsidP="00DA696F">
      <w:pPr>
        <w:spacing w:line="360" w:lineRule="auto"/>
        <w:jc w:val="both"/>
        <w:rPr>
          <w:rFonts w:ascii="Garamond" w:hAnsi="Garamond"/>
          <w:sz w:val="20"/>
          <w:lang w:val="es-MX"/>
        </w:rPr>
      </w:pPr>
      <w:r>
        <w:rPr>
          <w:rFonts w:ascii="Garamond" w:hAnsi="Garamond"/>
          <w:sz w:val="20"/>
          <w:lang w:val="es-MX"/>
        </w:rPr>
        <w:t>El estrato 2 por su parte se destaca porque tiene el mayor porcentaje de hogares familiares con seis (9,7%) y más de seis personas (10,4%), y registra además que el 56% de sus hogares familiares tienen entre 2 y 4 integrantes.</w:t>
      </w:r>
    </w:p>
    <w:p w14:paraId="4D92A169" w14:textId="2DBCFCB5" w:rsidR="00796C1E" w:rsidRDefault="00796C1E" w:rsidP="00DA696F">
      <w:pPr>
        <w:spacing w:line="360" w:lineRule="auto"/>
        <w:jc w:val="both"/>
        <w:rPr>
          <w:rFonts w:ascii="Garamond" w:hAnsi="Garamond"/>
          <w:sz w:val="20"/>
          <w:lang w:val="es-MX"/>
        </w:rPr>
      </w:pPr>
      <w:r>
        <w:rPr>
          <w:rFonts w:ascii="Garamond" w:hAnsi="Garamond"/>
          <w:sz w:val="20"/>
          <w:lang w:val="es-MX"/>
        </w:rPr>
        <w:t>En cuanto al estrato 3 se observa que es el que tiene el mayor porcentaje de hogares familiares con dos personas (27,4%), seguido por 25,9% de hogares familiares con tres integrantes y por 21,3% con cuatro integrantes.</w:t>
      </w:r>
    </w:p>
    <w:p w14:paraId="463765C0" w14:textId="216C8B07" w:rsidR="00796C1E" w:rsidRDefault="00796C1E" w:rsidP="00DA696F">
      <w:pPr>
        <w:spacing w:line="360" w:lineRule="auto"/>
        <w:jc w:val="both"/>
        <w:rPr>
          <w:rFonts w:ascii="Garamond" w:hAnsi="Garamond"/>
          <w:sz w:val="20"/>
          <w:lang w:val="es-MX"/>
        </w:rPr>
      </w:pPr>
      <w:r>
        <w:rPr>
          <w:rFonts w:ascii="Garamond" w:hAnsi="Garamond"/>
          <w:sz w:val="20"/>
          <w:lang w:val="es-MX"/>
        </w:rPr>
        <w:t>El estrato 4 tiene la mayoría de sus hogares familiares conformados por tres integrantes (30%), seguido de los hogares familiares con cuatro integrantes (24,6%).</w:t>
      </w:r>
    </w:p>
    <w:p w14:paraId="5C1E3D5E" w14:textId="21DE1D91" w:rsidR="00796C1E" w:rsidRDefault="00796C1E" w:rsidP="00DA696F">
      <w:pPr>
        <w:spacing w:line="360" w:lineRule="auto"/>
        <w:jc w:val="both"/>
        <w:rPr>
          <w:rFonts w:ascii="Garamond" w:hAnsi="Garamond"/>
          <w:sz w:val="20"/>
          <w:lang w:val="es-MX"/>
        </w:rPr>
      </w:pPr>
      <w:r>
        <w:rPr>
          <w:rFonts w:ascii="Garamond" w:hAnsi="Garamond"/>
          <w:sz w:val="20"/>
          <w:lang w:val="es-MX"/>
        </w:rPr>
        <w:t>El estrato 5 sobresale por ser el que tiene el mayor porcentaje de hogares con tres integrantes (36,2%)</w:t>
      </w:r>
      <w:r w:rsidR="00B8252D">
        <w:rPr>
          <w:rFonts w:ascii="Garamond" w:hAnsi="Garamond"/>
          <w:sz w:val="20"/>
          <w:lang w:val="es-MX"/>
        </w:rPr>
        <w:t xml:space="preserve"> y le siguen los hogares familiares conformados por dos personas (25%).</w:t>
      </w:r>
    </w:p>
    <w:p w14:paraId="6121023D" w14:textId="1DAF89E3" w:rsidR="00B8252D" w:rsidRDefault="00B8252D" w:rsidP="00DA696F">
      <w:pPr>
        <w:spacing w:line="360" w:lineRule="auto"/>
        <w:jc w:val="both"/>
        <w:rPr>
          <w:rFonts w:ascii="Garamond" w:hAnsi="Garamond"/>
          <w:sz w:val="20"/>
          <w:lang w:val="es-MX"/>
        </w:rPr>
      </w:pPr>
      <w:r>
        <w:rPr>
          <w:rFonts w:ascii="Garamond" w:hAnsi="Garamond"/>
          <w:sz w:val="20"/>
          <w:lang w:val="es-MX"/>
        </w:rPr>
        <w:t xml:space="preserve">El estrato 6 es el que reporta el mayor (33,9%) porcentaje de hogares con cuatro integrantes, y el estrato con el mayor porcentaje de hogares unipersonales. Además tiene un porcentaje considerable de hogares familiares con tres integrantes (26%). </w:t>
      </w:r>
    </w:p>
    <w:p w14:paraId="30D8C9A3" w14:textId="77777777" w:rsidR="00B8252D" w:rsidRDefault="00A93E02" w:rsidP="007E52B2">
      <w:pPr>
        <w:spacing w:line="360" w:lineRule="auto"/>
        <w:jc w:val="both"/>
        <w:rPr>
          <w:rFonts w:ascii="Garamond" w:hAnsi="Garamond"/>
          <w:sz w:val="20"/>
          <w:lang w:val="es-MX"/>
        </w:rPr>
      </w:pPr>
      <w:r>
        <w:rPr>
          <w:rFonts w:ascii="Garamond" w:hAnsi="Garamond"/>
          <w:sz w:val="20"/>
          <w:lang w:val="es-MX"/>
        </w:rPr>
        <w:t xml:space="preserve">La respuesta más frecuente que dieron </w:t>
      </w:r>
      <w:r w:rsidR="00B44EB1">
        <w:rPr>
          <w:rFonts w:ascii="Garamond" w:hAnsi="Garamond"/>
          <w:sz w:val="20"/>
          <w:lang w:val="es-MX"/>
        </w:rPr>
        <w:t>los hogares</w:t>
      </w:r>
      <w:r>
        <w:rPr>
          <w:rFonts w:ascii="Garamond" w:hAnsi="Garamond"/>
          <w:sz w:val="20"/>
          <w:lang w:val="es-MX"/>
        </w:rPr>
        <w:t xml:space="preserve"> frente a quien considera parte de su familia fue hijo(a)/hijastro(a) que fue en el 76%. Seguido de madre (66%), hermano(a)/hermanastro(a) (58%), padre (53%) y esposo(a)/ compañero(a) (48%).  </w:t>
      </w:r>
    </w:p>
    <w:p w14:paraId="6F50CE43" w14:textId="4E8D5BDD" w:rsidR="00A93E02" w:rsidRDefault="00B8252D" w:rsidP="007E52B2">
      <w:pPr>
        <w:spacing w:line="360" w:lineRule="auto"/>
        <w:jc w:val="both"/>
        <w:rPr>
          <w:rFonts w:ascii="Garamond" w:hAnsi="Garamond"/>
          <w:sz w:val="20"/>
          <w:lang w:val="es-MX"/>
        </w:rPr>
      </w:pPr>
      <w:r>
        <w:rPr>
          <w:rFonts w:ascii="Garamond" w:hAnsi="Garamond"/>
          <w:sz w:val="20"/>
          <w:lang w:val="es-MX"/>
        </w:rPr>
        <w:t>Sobresale que un</w:t>
      </w:r>
      <w:r w:rsidR="00A93E02">
        <w:rPr>
          <w:rFonts w:ascii="Garamond" w:hAnsi="Garamond"/>
          <w:sz w:val="20"/>
          <w:lang w:val="es-MX"/>
        </w:rPr>
        <w:t xml:space="preserve"> porcentaje pequeño de hogares </w:t>
      </w:r>
      <w:r>
        <w:rPr>
          <w:rFonts w:ascii="Garamond" w:hAnsi="Garamond"/>
          <w:sz w:val="20"/>
          <w:lang w:val="es-MX"/>
        </w:rPr>
        <w:t xml:space="preserve">(1,3%) </w:t>
      </w:r>
      <w:r w:rsidR="00A93E02">
        <w:rPr>
          <w:rFonts w:ascii="Garamond" w:hAnsi="Garamond"/>
          <w:sz w:val="20"/>
          <w:lang w:val="es-MX"/>
        </w:rPr>
        <w:t>consideran parte de su familia a personas no parientes como amigos y un 0</w:t>
      </w:r>
      <w:r>
        <w:rPr>
          <w:rFonts w:ascii="Garamond" w:hAnsi="Garamond"/>
          <w:sz w:val="20"/>
          <w:lang w:val="es-MX"/>
        </w:rPr>
        <w:t>,</w:t>
      </w:r>
      <w:r w:rsidR="00A93E02">
        <w:rPr>
          <w:rFonts w:ascii="Garamond" w:hAnsi="Garamond"/>
          <w:sz w:val="20"/>
          <w:lang w:val="es-MX"/>
        </w:rPr>
        <w:t>3% considera al servicio doméstico como parte de su familia.</w:t>
      </w:r>
    </w:p>
    <w:p w14:paraId="42DCD981" w14:textId="50182304" w:rsidR="00A93E02" w:rsidRDefault="00A93E02" w:rsidP="007E52B2">
      <w:pPr>
        <w:spacing w:line="360" w:lineRule="auto"/>
        <w:jc w:val="both"/>
        <w:rPr>
          <w:rFonts w:ascii="Garamond" w:hAnsi="Garamond"/>
          <w:sz w:val="20"/>
          <w:lang w:val="es-MX"/>
        </w:rPr>
      </w:pPr>
      <w:r>
        <w:rPr>
          <w:rFonts w:ascii="Garamond" w:hAnsi="Garamond"/>
          <w:sz w:val="20"/>
          <w:lang w:val="es-MX"/>
        </w:rPr>
        <w:t>En cuanto a uniones conyugales anteriores a la de</w:t>
      </w:r>
      <w:r w:rsidR="007A4A6F">
        <w:rPr>
          <w:rFonts w:ascii="Garamond" w:hAnsi="Garamond"/>
          <w:sz w:val="20"/>
          <w:lang w:val="es-MX"/>
        </w:rPr>
        <w:t xml:space="preserve"> </w:t>
      </w:r>
      <w:r>
        <w:rPr>
          <w:rFonts w:ascii="Garamond" w:hAnsi="Garamond"/>
          <w:sz w:val="20"/>
          <w:lang w:val="es-MX"/>
        </w:rPr>
        <w:t xml:space="preserve"> la familia actual, tan sólo el 9% de los hogares</w:t>
      </w:r>
      <w:r w:rsidR="00BC022C">
        <w:rPr>
          <w:rFonts w:ascii="Garamond" w:hAnsi="Garamond"/>
          <w:sz w:val="20"/>
          <w:lang w:val="es-MX"/>
        </w:rPr>
        <w:t xml:space="preserve"> </w:t>
      </w:r>
      <w:r w:rsidR="00B8252D">
        <w:rPr>
          <w:rFonts w:ascii="Garamond" w:hAnsi="Garamond"/>
          <w:sz w:val="20"/>
          <w:lang w:val="es-MX"/>
        </w:rPr>
        <w:t>dijeron haberlas</w:t>
      </w:r>
      <w:r w:rsidR="00BC022C">
        <w:rPr>
          <w:rFonts w:ascii="Garamond" w:hAnsi="Garamond"/>
          <w:sz w:val="20"/>
          <w:lang w:val="es-MX"/>
        </w:rPr>
        <w:t xml:space="preserve"> tenido</w:t>
      </w:r>
      <w:r w:rsidR="00B8252D">
        <w:rPr>
          <w:rFonts w:ascii="Garamond" w:hAnsi="Garamond"/>
          <w:sz w:val="20"/>
          <w:lang w:val="es-MX"/>
        </w:rPr>
        <w:t>,</w:t>
      </w:r>
      <w:r w:rsidR="00BC022C">
        <w:rPr>
          <w:rFonts w:ascii="Garamond" w:hAnsi="Garamond"/>
          <w:sz w:val="20"/>
          <w:lang w:val="es-MX"/>
        </w:rPr>
        <w:t xml:space="preserve"> y en tan solo el 4,14% de los hogares encuestados conviven integrantes de relaciones conyugales anteriores, es decir el 46% de los hogares que dijeron si a haber tenido uniones conyugales anteriores.</w:t>
      </w:r>
    </w:p>
    <w:p w14:paraId="230F64EA" w14:textId="42C2AF4B" w:rsidR="00BC022C" w:rsidRDefault="00BC022C" w:rsidP="007E52B2">
      <w:pPr>
        <w:spacing w:line="360" w:lineRule="auto"/>
        <w:jc w:val="both"/>
        <w:rPr>
          <w:rFonts w:ascii="Garamond" w:hAnsi="Garamond"/>
          <w:sz w:val="20"/>
          <w:lang w:val="es-MX"/>
        </w:rPr>
      </w:pPr>
      <w:r>
        <w:rPr>
          <w:rFonts w:ascii="Garamond" w:hAnsi="Garamond"/>
          <w:sz w:val="20"/>
          <w:lang w:val="es-MX"/>
        </w:rPr>
        <w:t xml:space="preserve">Se destaca que la frase que más fue escogida para definir qué es la familia fue </w:t>
      </w:r>
      <w:r w:rsidRPr="00BC022C">
        <w:rPr>
          <w:rFonts w:ascii="Garamond" w:hAnsi="Garamond"/>
          <w:i/>
          <w:sz w:val="20"/>
          <w:lang w:val="es-MX"/>
        </w:rPr>
        <w:t>“El primer lugar en donde se aprenden valores y principios que servirán para la vida”</w:t>
      </w:r>
      <w:r>
        <w:rPr>
          <w:rFonts w:ascii="Garamond" w:hAnsi="Garamond"/>
          <w:sz w:val="20"/>
          <w:lang w:val="es-MX"/>
        </w:rPr>
        <w:t xml:space="preserve"> (53,4%) y la menos escogida del listado fue </w:t>
      </w:r>
      <w:r w:rsidRPr="00BC022C">
        <w:rPr>
          <w:rFonts w:ascii="Garamond" w:hAnsi="Garamond"/>
          <w:i/>
          <w:sz w:val="20"/>
          <w:lang w:val="es-MX"/>
        </w:rPr>
        <w:t>“un grupo de personas que se conforman para que el apellido o la generación no se acabe”</w:t>
      </w:r>
      <w:r>
        <w:rPr>
          <w:rFonts w:ascii="Garamond" w:hAnsi="Garamond"/>
          <w:sz w:val="20"/>
          <w:lang w:val="es-MX"/>
        </w:rPr>
        <w:t xml:space="preserve"> (4,1%)</w:t>
      </w:r>
      <w:r w:rsidR="00B8252D">
        <w:rPr>
          <w:rFonts w:ascii="Garamond" w:hAnsi="Garamond"/>
          <w:sz w:val="20"/>
          <w:lang w:val="es-MX"/>
        </w:rPr>
        <w:t>.</w:t>
      </w:r>
    </w:p>
    <w:p w14:paraId="7A761DA5" w14:textId="205C3057" w:rsidR="00B954C4" w:rsidRDefault="00B954C4" w:rsidP="007E52B2">
      <w:pPr>
        <w:spacing w:line="360" w:lineRule="auto"/>
        <w:jc w:val="both"/>
        <w:rPr>
          <w:rFonts w:ascii="Garamond" w:hAnsi="Garamond"/>
          <w:sz w:val="20"/>
          <w:lang w:val="es-MX"/>
        </w:rPr>
      </w:pPr>
    </w:p>
    <w:p w14:paraId="0BB73494" w14:textId="77777777" w:rsidR="00B954C4" w:rsidRDefault="00B954C4" w:rsidP="007E52B2">
      <w:pPr>
        <w:spacing w:line="360" w:lineRule="auto"/>
        <w:jc w:val="both"/>
        <w:rPr>
          <w:rFonts w:ascii="Garamond" w:hAnsi="Garamond"/>
          <w:sz w:val="20"/>
          <w:lang w:val="es-MX"/>
        </w:rPr>
      </w:pPr>
    </w:p>
    <w:p w14:paraId="2EF366F6" w14:textId="77777777" w:rsidR="00821898" w:rsidRPr="007E52B2" w:rsidRDefault="00821898" w:rsidP="007E52B2">
      <w:pPr>
        <w:spacing w:line="360" w:lineRule="auto"/>
        <w:jc w:val="both"/>
        <w:rPr>
          <w:rFonts w:ascii="Garamond" w:hAnsi="Garamond"/>
          <w:sz w:val="20"/>
          <w:lang w:val="es-MX"/>
        </w:rPr>
      </w:pPr>
    </w:p>
    <w:sectPr w:rsidR="00821898" w:rsidRPr="007E52B2" w:rsidSect="00AB7524">
      <w:pgSz w:w="12240" w:h="15840"/>
      <w:pgMar w:top="1417" w:right="1701" w:bottom="1417" w:left="1701" w:header="708" w:footer="708"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F9D87" w14:textId="77777777" w:rsidR="0036733D" w:rsidRDefault="0036733D" w:rsidP="001A3DCB">
      <w:pPr>
        <w:spacing w:after="0" w:line="240" w:lineRule="auto"/>
      </w:pPr>
      <w:r>
        <w:separator/>
      </w:r>
    </w:p>
  </w:endnote>
  <w:endnote w:type="continuationSeparator" w:id="0">
    <w:p w14:paraId="0888B113" w14:textId="77777777" w:rsidR="0036733D" w:rsidRDefault="0036733D" w:rsidP="001A3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Sans-Bold">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81892" w14:textId="77777777" w:rsidR="00947C16" w:rsidRDefault="00947C16" w:rsidP="00914C07">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239B6" w14:textId="77777777" w:rsidR="0036733D" w:rsidRDefault="0036733D" w:rsidP="001A3DCB">
      <w:pPr>
        <w:spacing w:after="0" w:line="240" w:lineRule="auto"/>
      </w:pPr>
      <w:r>
        <w:separator/>
      </w:r>
    </w:p>
  </w:footnote>
  <w:footnote w:type="continuationSeparator" w:id="0">
    <w:p w14:paraId="6F7A2D60" w14:textId="77777777" w:rsidR="0036733D" w:rsidRDefault="0036733D" w:rsidP="001A3DCB">
      <w:pPr>
        <w:spacing w:after="0" w:line="240" w:lineRule="auto"/>
      </w:pPr>
      <w:r>
        <w:continuationSeparator/>
      </w:r>
    </w:p>
  </w:footnote>
  <w:footnote w:id="1">
    <w:p w14:paraId="425F7E0F" w14:textId="1E885A59" w:rsidR="00947C16" w:rsidRPr="00154509" w:rsidRDefault="00947C16" w:rsidP="00154509">
      <w:pPr>
        <w:pStyle w:val="Textonotapie"/>
        <w:jc w:val="both"/>
        <w:rPr>
          <w:rFonts w:ascii="Garamond" w:hAnsi="Garamond"/>
          <w:sz w:val="16"/>
          <w:szCs w:val="16"/>
        </w:rPr>
      </w:pPr>
      <w:r w:rsidRPr="00154509">
        <w:rPr>
          <w:rStyle w:val="Refdenotaalpie"/>
          <w:rFonts w:ascii="Garamond" w:hAnsi="Garamond"/>
          <w:sz w:val="16"/>
          <w:szCs w:val="16"/>
        </w:rPr>
        <w:footnoteRef/>
      </w:r>
      <w:r w:rsidRPr="00154509">
        <w:rPr>
          <w:rFonts w:ascii="Garamond" w:hAnsi="Garamond"/>
          <w:sz w:val="16"/>
          <w:szCs w:val="16"/>
        </w:rPr>
        <w:t xml:space="preserve"> </w:t>
      </w:r>
      <w:r>
        <w:rPr>
          <w:rFonts w:ascii="Garamond" w:hAnsi="Garamond"/>
          <w:sz w:val="16"/>
          <w:szCs w:val="16"/>
        </w:rPr>
        <w:t>“T</w:t>
      </w:r>
      <w:r w:rsidRPr="00154509">
        <w:rPr>
          <w:rFonts w:ascii="Garamond" w:hAnsi="Garamond"/>
          <w:sz w:val="16"/>
          <w:szCs w:val="16"/>
        </w:rPr>
        <w:t>ipologí</w:t>
      </w:r>
      <w:r>
        <w:rPr>
          <w:rFonts w:ascii="Garamond" w:hAnsi="Garamond"/>
          <w:sz w:val="16"/>
          <w:szCs w:val="16"/>
        </w:rPr>
        <w:t>as de familias en Colombia: Evolución 1993- 2014”, Observatorio de Familia, DNP, 2015.</w:t>
      </w:r>
    </w:p>
  </w:footnote>
  <w:footnote w:id="2">
    <w:p w14:paraId="753F5E97" w14:textId="0851EF3B" w:rsidR="00947C16" w:rsidRPr="006E64C9" w:rsidRDefault="00947C16" w:rsidP="00154509">
      <w:pPr>
        <w:pStyle w:val="Textonotapie"/>
        <w:jc w:val="both"/>
        <w:rPr>
          <w:rFonts w:ascii="Garamond" w:hAnsi="Garamond"/>
        </w:rPr>
      </w:pPr>
      <w:r w:rsidRPr="006E64C9">
        <w:rPr>
          <w:rStyle w:val="Refdenotaalpie"/>
          <w:rFonts w:ascii="Garamond" w:hAnsi="Garamond"/>
          <w:sz w:val="16"/>
        </w:rPr>
        <w:footnoteRef/>
      </w:r>
      <w:r w:rsidRPr="006E64C9">
        <w:rPr>
          <w:rFonts w:ascii="Garamond" w:hAnsi="Garamond"/>
          <w:sz w:val="16"/>
        </w:rPr>
        <w:t xml:space="preserve"> </w:t>
      </w:r>
      <w:r w:rsidRPr="006E64C9">
        <w:rPr>
          <w:rFonts w:ascii="Garamond" w:hAnsi="Garamond"/>
          <w:sz w:val="16"/>
        </w:rPr>
        <w:t xml:space="preserve">Ver página 34 del documento de </w:t>
      </w:r>
      <w:r w:rsidRPr="006E64C9">
        <w:rPr>
          <w:rFonts w:ascii="Garamond" w:hAnsi="Garamond"/>
          <w:sz w:val="16"/>
          <w:lang w:val="es-MX"/>
        </w:rPr>
        <w:t xml:space="preserve">Política Pública para </w:t>
      </w:r>
      <w:r>
        <w:rPr>
          <w:rFonts w:ascii="Garamond" w:hAnsi="Garamond"/>
          <w:sz w:val="16"/>
          <w:lang w:val="es-MX"/>
        </w:rPr>
        <w:t>los hogares</w:t>
      </w:r>
      <w:r w:rsidRPr="006E64C9">
        <w:rPr>
          <w:rFonts w:ascii="Garamond" w:hAnsi="Garamond"/>
          <w:sz w:val="16"/>
          <w:lang w:val="es-MX"/>
        </w:rPr>
        <w:t xml:space="preserve"> del Distrito 2011-2025, Secretaría Distrital de Integración Social.</w:t>
      </w:r>
    </w:p>
  </w:footnote>
  <w:footnote w:id="3">
    <w:p w14:paraId="2AE8505E" w14:textId="544C1A27" w:rsidR="00947C16" w:rsidRPr="00997D6D" w:rsidRDefault="00947C16" w:rsidP="00997D6D">
      <w:pPr>
        <w:pStyle w:val="Textonotapie"/>
        <w:jc w:val="both"/>
        <w:rPr>
          <w:rFonts w:ascii="Garamond" w:hAnsi="Garamond"/>
          <w:sz w:val="16"/>
          <w:szCs w:val="16"/>
        </w:rPr>
      </w:pPr>
      <w:r w:rsidRPr="00997D6D">
        <w:rPr>
          <w:rStyle w:val="Refdenotaalpie"/>
          <w:rFonts w:ascii="Garamond" w:hAnsi="Garamond"/>
          <w:sz w:val="16"/>
          <w:szCs w:val="16"/>
        </w:rPr>
        <w:footnoteRef/>
      </w:r>
      <w:r w:rsidRPr="00997D6D">
        <w:rPr>
          <w:rFonts w:ascii="Garamond" w:hAnsi="Garamond"/>
          <w:sz w:val="16"/>
          <w:szCs w:val="16"/>
        </w:rPr>
        <w:t xml:space="preserve"> </w:t>
      </w:r>
      <w:r w:rsidRPr="00997D6D">
        <w:rPr>
          <w:rFonts w:ascii="Garamond" w:hAnsi="Garamond"/>
          <w:sz w:val="16"/>
          <w:szCs w:val="16"/>
        </w:rPr>
        <w:t xml:space="preserve">Al </w:t>
      </w:r>
      <w:r>
        <w:rPr>
          <w:rFonts w:ascii="Garamond" w:hAnsi="Garamond"/>
          <w:sz w:val="16"/>
          <w:szCs w:val="16"/>
        </w:rPr>
        <w:t>mencionar hogares familiares encuestados se hace la precisión que de acuerdo al diseño muestral, se encuestaron hogares donde una persona mayor de edad respondió en nombre de los integrantes de su familia con quienes vive.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847C4"/>
    <w:multiLevelType w:val="hybridMultilevel"/>
    <w:tmpl w:val="B8869A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92361CB"/>
    <w:multiLevelType w:val="hybridMultilevel"/>
    <w:tmpl w:val="FBFC97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F78"/>
    <w:rsid w:val="0001246A"/>
    <w:rsid w:val="000168F3"/>
    <w:rsid w:val="0002735F"/>
    <w:rsid w:val="000308F4"/>
    <w:rsid w:val="00034FD0"/>
    <w:rsid w:val="00036DFF"/>
    <w:rsid w:val="00046C6C"/>
    <w:rsid w:val="00051A01"/>
    <w:rsid w:val="00051DBA"/>
    <w:rsid w:val="000A1067"/>
    <w:rsid w:val="000C622B"/>
    <w:rsid w:val="000C6417"/>
    <w:rsid w:val="000D7F6D"/>
    <w:rsid w:val="000F0BB4"/>
    <w:rsid w:val="001107A7"/>
    <w:rsid w:val="00126367"/>
    <w:rsid w:val="00130368"/>
    <w:rsid w:val="00130F60"/>
    <w:rsid w:val="001406A8"/>
    <w:rsid w:val="00154509"/>
    <w:rsid w:val="001602FA"/>
    <w:rsid w:val="001923F7"/>
    <w:rsid w:val="0019307D"/>
    <w:rsid w:val="001A1CBA"/>
    <w:rsid w:val="001A3DCB"/>
    <w:rsid w:val="001A5B45"/>
    <w:rsid w:val="001B5C57"/>
    <w:rsid w:val="001B7CAF"/>
    <w:rsid w:val="001C5641"/>
    <w:rsid w:val="001C787A"/>
    <w:rsid w:val="001F1889"/>
    <w:rsid w:val="00202972"/>
    <w:rsid w:val="00205534"/>
    <w:rsid w:val="00211917"/>
    <w:rsid w:val="002151DA"/>
    <w:rsid w:val="002232F9"/>
    <w:rsid w:val="00225A0B"/>
    <w:rsid w:val="0023517A"/>
    <w:rsid w:val="002435C0"/>
    <w:rsid w:val="00255F58"/>
    <w:rsid w:val="0028492F"/>
    <w:rsid w:val="002B00AB"/>
    <w:rsid w:val="002B4CEC"/>
    <w:rsid w:val="002E3193"/>
    <w:rsid w:val="0030260A"/>
    <w:rsid w:val="003069EF"/>
    <w:rsid w:val="003073BE"/>
    <w:rsid w:val="00307D7D"/>
    <w:rsid w:val="00326015"/>
    <w:rsid w:val="00327D13"/>
    <w:rsid w:val="00330606"/>
    <w:rsid w:val="00357ECA"/>
    <w:rsid w:val="00361D0E"/>
    <w:rsid w:val="0036733D"/>
    <w:rsid w:val="00380DC2"/>
    <w:rsid w:val="00391EA5"/>
    <w:rsid w:val="00394387"/>
    <w:rsid w:val="003A5B32"/>
    <w:rsid w:val="003B07D1"/>
    <w:rsid w:val="003C37D7"/>
    <w:rsid w:val="003D0977"/>
    <w:rsid w:val="003E46B5"/>
    <w:rsid w:val="004010EA"/>
    <w:rsid w:val="00403C55"/>
    <w:rsid w:val="004110B0"/>
    <w:rsid w:val="00412EC6"/>
    <w:rsid w:val="00432A5E"/>
    <w:rsid w:val="00445BA1"/>
    <w:rsid w:val="0045711D"/>
    <w:rsid w:val="00460525"/>
    <w:rsid w:val="00467132"/>
    <w:rsid w:val="00491341"/>
    <w:rsid w:val="004A6387"/>
    <w:rsid w:val="004B36F9"/>
    <w:rsid w:val="004C7551"/>
    <w:rsid w:val="004D2457"/>
    <w:rsid w:val="004D7A03"/>
    <w:rsid w:val="004E2CB3"/>
    <w:rsid w:val="00503FAA"/>
    <w:rsid w:val="005078CC"/>
    <w:rsid w:val="00513E0F"/>
    <w:rsid w:val="00525C19"/>
    <w:rsid w:val="00525D7E"/>
    <w:rsid w:val="0053782B"/>
    <w:rsid w:val="00551EA7"/>
    <w:rsid w:val="00555EA7"/>
    <w:rsid w:val="00557CB7"/>
    <w:rsid w:val="00563D62"/>
    <w:rsid w:val="00570FAE"/>
    <w:rsid w:val="005739D2"/>
    <w:rsid w:val="005757D8"/>
    <w:rsid w:val="0057764F"/>
    <w:rsid w:val="0059256F"/>
    <w:rsid w:val="00595387"/>
    <w:rsid w:val="005B51AB"/>
    <w:rsid w:val="005C2AF5"/>
    <w:rsid w:val="005C432E"/>
    <w:rsid w:val="005C7E4E"/>
    <w:rsid w:val="005E283A"/>
    <w:rsid w:val="00620EF2"/>
    <w:rsid w:val="006216D2"/>
    <w:rsid w:val="00624D9B"/>
    <w:rsid w:val="00625A91"/>
    <w:rsid w:val="0063013D"/>
    <w:rsid w:val="00631003"/>
    <w:rsid w:val="0064238F"/>
    <w:rsid w:val="00644DB7"/>
    <w:rsid w:val="00671D7C"/>
    <w:rsid w:val="00672B88"/>
    <w:rsid w:val="00685122"/>
    <w:rsid w:val="0068577F"/>
    <w:rsid w:val="00693CF4"/>
    <w:rsid w:val="006B6533"/>
    <w:rsid w:val="006B70AB"/>
    <w:rsid w:val="006B71CF"/>
    <w:rsid w:val="006C2DCF"/>
    <w:rsid w:val="006D214C"/>
    <w:rsid w:val="006E2C7D"/>
    <w:rsid w:val="006E403D"/>
    <w:rsid w:val="006E579E"/>
    <w:rsid w:val="006E5CFC"/>
    <w:rsid w:val="006E64C9"/>
    <w:rsid w:val="006E7597"/>
    <w:rsid w:val="006E7C3D"/>
    <w:rsid w:val="006F23C1"/>
    <w:rsid w:val="006F2A05"/>
    <w:rsid w:val="00711CB1"/>
    <w:rsid w:val="00712C5E"/>
    <w:rsid w:val="00713846"/>
    <w:rsid w:val="00723277"/>
    <w:rsid w:val="00741111"/>
    <w:rsid w:val="00742B1F"/>
    <w:rsid w:val="0076716E"/>
    <w:rsid w:val="00770DC6"/>
    <w:rsid w:val="00791402"/>
    <w:rsid w:val="007918C5"/>
    <w:rsid w:val="00791AE8"/>
    <w:rsid w:val="00795D64"/>
    <w:rsid w:val="00796C1E"/>
    <w:rsid w:val="007A026F"/>
    <w:rsid w:val="007A4A6F"/>
    <w:rsid w:val="007A6F04"/>
    <w:rsid w:val="007B1CC6"/>
    <w:rsid w:val="007C4579"/>
    <w:rsid w:val="007C7A8F"/>
    <w:rsid w:val="007D1412"/>
    <w:rsid w:val="007D5AB5"/>
    <w:rsid w:val="007D62D6"/>
    <w:rsid w:val="007D6BBE"/>
    <w:rsid w:val="007E52B2"/>
    <w:rsid w:val="007E6A29"/>
    <w:rsid w:val="007E7DA8"/>
    <w:rsid w:val="008163B7"/>
    <w:rsid w:val="00821898"/>
    <w:rsid w:val="0082218C"/>
    <w:rsid w:val="00822A4A"/>
    <w:rsid w:val="00835744"/>
    <w:rsid w:val="00835D05"/>
    <w:rsid w:val="00836507"/>
    <w:rsid w:val="008426BD"/>
    <w:rsid w:val="00847022"/>
    <w:rsid w:val="00852AD1"/>
    <w:rsid w:val="00852DE5"/>
    <w:rsid w:val="00870BEF"/>
    <w:rsid w:val="00881FAD"/>
    <w:rsid w:val="008853B7"/>
    <w:rsid w:val="008861C4"/>
    <w:rsid w:val="00886C77"/>
    <w:rsid w:val="008961E9"/>
    <w:rsid w:val="008B37AA"/>
    <w:rsid w:val="008B53A9"/>
    <w:rsid w:val="008C3254"/>
    <w:rsid w:val="008F04DC"/>
    <w:rsid w:val="008F5BEF"/>
    <w:rsid w:val="00905AD5"/>
    <w:rsid w:val="009111D5"/>
    <w:rsid w:val="009122B4"/>
    <w:rsid w:val="00914C07"/>
    <w:rsid w:val="009176E7"/>
    <w:rsid w:val="00930591"/>
    <w:rsid w:val="00931E5F"/>
    <w:rsid w:val="00934EA0"/>
    <w:rsid w:val="00940794"/>
    <w:rsid w:val="00947C16"/>
    <w:rsid w:val="00950055"/>
    <w:rsid w:val="009559DF"/>
    <w:rsid w:val="00957D48"/>
    <w:rsid w:val="00963C91"/>
    <w:rsid w:val="00971770"/>
    <w:rsid w:val="009744DE"/>
    <w:rsid w:val="00983AC5"/>
    <w:rsid w:val="00987AFF"/>
    <w:rsid w:val="0099652A"/>
    <w:rsid w:val="00997D6D"/>
    <w:rsid w:val="009A0B7F"/>
    <w:rsid w:val="009A615D"/>
    <w:rsid w:val="009A7F78"/>
    <w:rsid w:val="009B18D0"/>
    <w:rsid w:val="009B3B3A"/>
    <w:rsid w:val="009B775F"/>
    <w:rsid w:val="009C1A09"/>
    <w:rsid w:val="009C4265"/>
    <w:rsid w:val="009E2030"/>
    <w:rsid w:val="009E4812"/>
    <w:rsid w:val="009F1B6A"/>
    <w:rsid w:val="009F61F9"/>
    <w:rsid w:val="00A14BC5"/>
    <w:rsid w:val="00A14E75"/>
    <w:rsid w:val="00A16521"/>
    <w:rsid w:val="00A35602"/>
    <w:rsid w:val="00A40C1D"/>
    <w:rsid w:val="00A43A86"/>
    <w:rsid w:val="00A43DD6"/>
    <w:rsid w:val="00A457EE"/>
    <w:rsid w:val="00A50783"/>
    <w:rsid w:val="00A50FEC"/>
    <w:rsid w:val="00A631C0"/>
    <w:rsid w:val="00A664FA"/>
    <w:rsid w:val="00A72991"/>
    <w:rsid w:val="00A72D17"/>
    <w:rsid w:val="00A81CC6"/>
    <w:rsid w:val="00A853FB"/>
    <w:rsid w:val="00A86979"/>
    <w:rsid w:val="00A93E02"/>
    <w:rsid w:val="00A96891"/>
    <w:rsid w:val="00AA0FF8"/>
    <w:rsid w:val="00AA2FE3"/>
    <w:rsid w:val="00AB7524"/>
    <w:rsid w:val="00AC2B89"/>
    <w:rsid w:val="00AC3467"/>
    <w:rsid w:val="00AC3571"/>
    <w:rsid w:val="00AC69E9"/>
    <w:rsid w:val="00AD0BB3"/>
    <w:rsid w:val="00AE43AE"/>
    <w:rsid w:val="00AF292D"/>
    <w:rsid w:val="00B020A0"/>
    <w:rsid w:val="00B078BE"/>
    <w:rsid w:val="00B23266"/>
    <w:rsid w:val="00B35E17"/>
    <w:rsid w:val="00B405E6"/>
    <w:rsid w:val="00B44800"/>
    <w:rsid w:val="00B44EB1"/>
    <w:rsid w:val="00B4795C"/>
    <w:rsid w:val="00B8252D"/>
    <w:rsid w:val="00B9162B"/>
    <w:rsid w:val="00B928FC"/>
    <w:rsid w:val="00B943CF"/>
    <w:rsid w:val="00B954C4"/>
    <w:rsid w:val="00BA4AF1"/>
    <w:rsid w:val="00BA7EEF"/>
    <w:rsid w:val="00BB4814"/>
    <w:rsid w:val="00BB4A87"/>
    <w:rsid w:val="00BC022C"/>
    <w:rsid w:val="00BC7B43"/>
    <w:rsid w:val="00C010B7"/>
    <w:rsid w:val="00C025B9"/>
    <w:rsid w:val="00C125CA"/>
    <w:rsid w:val="00C2563F"/>
    <w:rsid w:val="00C31236"/>
    <w:rsid w:val="00C32610"/>
    <w:rsid w:val="00C4181F"/>
    <w:rsid w:val="00C440BB"/>
    <w:rsid w:val="00C63180"/>
    <w:rsid w:val="00C90A1B"/>
    <w:rsid w:val="00CD09A0"/>
    <w:rsid w:val="00CD26E3"/>
    <w:rsid w:val="00CD6133"/>
    <w:rsid w:val="00CF53CD"/>
    <w:rsid w:val="00CF547F"/>
    <w:rsid w:val="00D06392"/>
    <w:rsid w:val="00D210F2"/>
    <w:rsid w:val="00D25DA1"/>
    <w:rsid w:val="00D51EE2"/>
    <w:rsid w:val="00D53722"/>
    <w:rsid w:val="00D5698A"/>
    <w:rsid w:val="00D72904"/>
    <w:rsid w:val="00D828D9"/>
    <w:rsid w:val="00D84EE3"/>
    <w:rsid w:val="00D85BC4"/>
    <w:rsid w:val="00DA696F"/>
    <w:rsid w:val="00DC1089"/>
    <w:rsid w:val="00DC35EB"/>
    <w:rsid w:val="00DC440B"/>
    <w:rsid w:val="00DC71F2"/>
    <w:rsid w:val="00DC7E8D"/>
    <w:rsid w:val="00DD5DB3"/>
    <w:rsid w:val="00DF1F02"/>
    <w:rsid w:val="00E13096"/>
    <w:rsid w:val="00E17815"/>
    <w:rsid w:val="00E351CB"/>
    <w:rsid w:val="00E356A7"/>
    <w:rsid w:val="00E374EB"/>
    <w:rsid w:val="00E44D0B"/>
    <w:rsid w:val="00E54FED"/>
    <w:rsid w:val="00E71202"/>
    <w:rsid w:val="00E730A0"/>
    <w:rsid w:val="00EA204A"/>
    <w:rsid w:val="00EC6CB5"/>
    <w:rsid w:val="00EF173A"/>
    <w:rsid w:val="00EF7278"/>
    <w:rsid w:val="00F1383B"/>
    <w:rsid w:val="00F34A77"/>
    <w:rsid w:val="00F446E7"/>
    <w:rsid w:val="00F54326"/>
    <w:rsid w:val="00F55F32"/>
    <w:rsid w:val="00F854BC"/>
    <w:rsid w:val="00F8614A"/>
    <w:rsid w:val="00FA2257"/>
    <w:rsid w:val="00FB0ED5"/>
    <w:rsid w:val="00FC5008"/>
    <w:rsid w:val="00FE6989"/>
    <w:rsid w:val="00FF3A3A"/>
    <w:rsid w:val="00FF6146"/>
    <w:rsid w:val="00FF75B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EEC7CD"/>
  <w15:docId w15:val="{608B8C0D-F336-9748-8128-38EE81E7F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CO"/>
    </w:rPr>
  </w:style>
  <w:style w:type="paragraph" w:styleId="Ttulo1">
    <w:name w:val="heading 1"/>
    <w:basedOn w:val="Normal"/>
    <w:next w:val="Normal"/>
    <w:link w:val="Ttulo1Car"/>
    <w:uiPriority w:val="9"/>
    <w:qFormat/>
    <w:rsid w:val="00DD5D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C2563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A22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2257"/>
    <w:rPr>
      <w:rFonts w:ascii="Tahoma" w:hAnsi="Tahoma" w:cs="Tahoma"/>
      <w:sz w:val="16"/>
      <w:szCs w:val="16"/>
      <w:lang w:val="es-CO"/>
    </w:rPr>
  </w:style>
  <w:style w:type="character" w:styleId="Refdecomentario">
    <w:name w:val="annotation reference"/>
    <w:basedOn w:val="Fuentedeprrafopredeter"/>
    <w:uiPriority w:val="99"/>
    <w:semiHidden/>
    <w:unhideWhenUsed/>
    <w:rsid w:val="005739D2"/>
    <w:rPr>
      <w:sz w:val="16"/>
      <w:szCs w:val="16"/>
    </w:rPr>
  </w:style>
  <w:style w:type="paragraph" w:styleId="Textocomentario">
    <w:name w:val="annotation text"/>
    <w:basedOn w:val="Normal"/>
    <w:link w:val="TextocomentarioCar"/>
    <w:uiPriority w:val="99"/>
    <w:semiHidden/>
    <w:unhideWhenUsed/>
    <w:rsid w:val="005739D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39D2"/>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5739D2"/>
    <w:rPr>
      <w:b/>
      <w:bCs/>
    </w:rPr>
  </w:style>
  <w:style w:type="character" w:customStyle="1" w:styleId="AsuntodelcomentarioCar">
    <w:name w:val="Asunto del comentario Car"/>
    <w:basedOn w:val="TextocomentarioCar"/>
    <w:link w:val="Asuntodelcomentario"/>
    <w:uiPriority w:val="99"/>
    <w:semiHidden/>
    <w:rsid w:val="005739D2"/>
    <w:rPr>
      <w:b/>
      <w:bCs/>
      <w:sz w:val="20"/>
      <w:szCs w:val="20"/>
      <w:lang w:val="es-CO"/>
    </w:rPr>
  </w:style>
  <w:style w:type="paragraph" w:styleId="Textonotapie">
    <w:name w:val="footnote text"/>
    <w:basedOn w:val="Normal"/>
    <w:link w:val="TextonotapieCar"/>
    <w:uiPriority w:val="99"/>
    <w:semiHidden/>
    <w:unhideWhenUsed/>
    <w:rsid w:val="001A3DC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A3DCB"/>
    <w:rPr>
      <w:sz w:val="20"/>
      <w:szCs w:val="20"/>
      <w:lang w:val="es-CO"/>
    </w:rPr>
  </w:style>
  <w:style w:type="character" w:styleId="Refdenotaalpie">
    <w:name w:val="footnote reference"/>
    <w:basedOn w:val="Fuentedeprrafopredeter"/>
    <w:uiPriority w:val="99"/>
    <w:semiHidden/>
    <w:unhideWhenUsed/>
    <w:rsid w:val="001A3DCB"/>
    <w:rPr>
      <w:vertAlign w:val="superscript"/>
    </w:rPr>
  </w:style>
  <w:style w:type="paragraph" w:styleId="Encabezado">
    <w:name w:val="header"/>
    <w:basedOn w:val="Normal"/>
    <w:link w:val="EncabezadoCar"/>
    <w:uiPriority w:val="99"/>
    <w:unhideWhenUsed/>
    <w:rsid w:val="00914C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4C07"/>
    <w:rPr>
      <w:lang w:val="es-CO"/>
    </w:rPr>
  </w:style>
  <w:style w:type="paragraph" w:styleId="Piedepgina">
    <w:name w:val="footer"/>
    <w:basedOn w:val="Normal"/>
    <w:link w:val="PiedepginaCar"/>
    <w:uiPriority w:val="99"/>
    <w:unhideWhenUsed/>
    <w:rsid w:val="00914C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4C07"/>
    <w:rPr>
      <w:lang w:val="es-CO"/>
    </w:rPr>
  </w:style>
  <w:style w:type="character" w:customStyle="1" w:styleId="Ttulo1Car">
    <w:name w:val="Título 1 Car"/>
    <w:basedOn w:val="Fuentedeprrafopredeter"/>
    <w:link w:val="Ttulo1"/>
    <w:uiPriority w:val="9"/>
    <w:rsid w:val="00DD5DB3"/>
    <w:rPr>
      <w:rFonts w:asciiTheme="majorHAnsi" w:eastAsiaTheme="majorEastAsia" w:hAnsiTheme="majorHAnsi" w:cstheme="majorBidi"/>
      <w:color w:val="365F91" w:themeColor="accent1" w:themeShade="BF"/>
      <w:sz w:val="32"/>
      <w:szCs w:val="32"/>
      <w:lang w:val="es-CO"/>
    </w:rPr>
  </w:style>
  <w:style w:type="paragraph" w:styleId="Revisin">
    <w:name w:val="Revision"/>
    <w:hidden/>
    <w:uiPriority w:val="99"/>
    <w:semiHidden/>
    <w:rsid w:val="00835744"/>
    <w:pPr>
      <w:spacing w:after="0" w:line="240" w:lineRule="auto"/>
    </w:pPr>
    <w:rPr>
      <w:lang w:val="es-CO"/>
    </w:rPr>
  </w:style>
  <w:style w:type="paragraph" w:styleId="Prrafodelista">
    <w:name w:val="List Paragraph"/>
    <w:basedOn w:val="Normal"/>
    <w:uiPriority w:val="34"/>
    <w:qFormat/>
    <w:rsid w:val="00620EF2"/>
    <w:pPr>
      <w:ind w:left="720"/>
      <w:contextualSpacing/>
    </w:pPr>
  </w:style>
  <w:style w:type="character" w:customStyle="1" w:styleId="Ttulo2Car">
    <w:name w:val="Título 2 Car"/>
    <w:basedOn w:val="Fuentedeprrafopredeter"/>
    <w:link w:val="Ttulo2"/>
    <w:uiPriority w:val="9"/>
    <w:rsid w:val="00C2563F"/>
    <w:rPr>
      <w:rFonts w:asciiTheme="majorHAnsi" w:eastAsiaTheme="majorEastAsia" w:hAnsiTheme="majorHAnsi" w:cstheme="majorBidi"/>
      <w:color w:val="365F91" w:themeColor="accent1" w:themeShade="BF"/>
      <w:sz w:val="26"/>
      <w:szCs w:val="26"/>
      <w:lang w:val="es-CO"/>
    </w:rPr>
  </w:style>
  <w:style w:type="paragraph" w:styleId="Sinespaciado">
    <w:name w:val="No Spacing"/>
    <w:link w:val="SinespaciadoCar"/>
    <w:uiPriority w:val="1"/>
    <w:qFormat/>
    <w:rsid w:val="00AB7524"/>
    <w:pPr>
      <w:spacing w:after="0" w:line="240" w:lineRule="auto"/>
    </w:pPr>
    <w:rPr>
      <w:rFonts w:eastAsiaTheme="minorEastAsia"/>
      <w:lang w:val="en-US" w:eastAsia="zh-CN"/>
    </w:rPr>
  </w:style>
  <w:style w:type="character" w:customStyle="1" w:styleId="SinespaciadoCar">
    <w:name w:val="Sin espaciado Car"/>
    <w:basedOn w:val="Fuentedeprrafopredeter"/>
    <w:link w:val="Sinespaciado"/>
    <w:uiPriority w:val="1"/>
    <w:rsid w:val="00AB7524"/>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091107">
      <w:bodyDiv w:val="1"/>
      <w:marLeft w:val="0"/>
      <w:marRight w:val="0"/>
      <w:marTop w:val="0"/>
      <w:marBottom w:val="0"/>
      <w:divBdr>
        <w:top w:val="none" w:sz="0" w:space="0" w:color="auto"/>
        <w:left w:val="none" w:sz="0" w:space="0" w:color="auto"/>
        <w:bottom w:val="none" w:sz="0" w:space="0" w:color="auto"/>
        <w:right w:val="none" w:sz="0" w:space="0" w:color="auto"/>
      </w:divBdr>
    </w:div>
    <w:div w:id="171680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10" Type="http://schemas.openxmlformats.org/officeDocument/2006/relationships/image" Target="media/image3.pn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ulianamoncada:Desktop:Informacio&#769;n%20ENCAF%202do%20Boleti&#769;n.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Users\Juli\Downloads\Informacio&#769;n%20ENCAF%202do%20Boleti&#769;n.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Juli\Downloads\Informacio&#769;n%20ENCAF%202do%20Boleti&#769;n.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Juli\Downloads\Informacio&#769;n%20ENCAF%202do%20Boleti&#769;n.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julianamoncada:Desktop:Informacio&#769;n%20ENCAF%202do%20Boleti&#769;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julianamoncada:Desktop:Informacio&#769;n%20ENCAF%202do%20Boleti&#769;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julianamoncada:Desktop:Informacio&#769;n%20ENCAF%202do%20Boleti&#769;n.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julianamoncada:Desktop:Informacio&#769;n%20ENCAF%202do%20Boleti&#769;n.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Users\Juli\Downloads\Informacio&#769;n%20ENCAF%202do%20Boleti&#769;n.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Users\Juli\Downloads\Informacio&#769;n%20ENCAF%202do%20Boleti&#769;n.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Users\Juli\Downloads\Informacio&#769;n%20ENCAF%202do%20Boleti&#769;n.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Users\Juli\Downloads\Informacio&#769;n%20ENCAF%202do%20Boleti&#769;n.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Users\Juli\Downloads\Informacio&#769;n%20ENCAF%202do%20Boleti&#769;n.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Users\Juli\Downloads\Informacio&#769;n%20ENCAF%202do%20Boleti&#769;n.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Users\Juli\Downloads\Informacio&#769;n%20ENCAF%202do%20Boleti&#769;n.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Users\Juli\Downloads\Informacio&#769;n%20ENCAF%202do%20Boleti&#769;n.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Users\Juli\Downloads\Informacio&#769;n%20ENCAF%202do%20Boleti&#769;n.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54257837696487199"/>
          <c:y val="5.2652542143572303E-2"/>
          <c:w val="0.31405138933279098"/>
          <c:h val="0.89469491571285498"/>
        </c:manualLayout>
      </c:layout>
      <c:barChart>
        <c:barDir val="bar"/>
        <c:grouping val="clustered"/>
        <c:varyColors val="0"/>
        <c:ser>
          <c:idx val="0"/>
          <c:order val="0"/>
          <c:tx>
            <c:strRef>
              <c:f>'P14'!$C$1</c:f>
              <c:strCache>
                <c:ptCount val="1"/>
                <c:pt idx="0">
                  <c:v>%</c:v>
                </c:pt>
              </c:strCache>
            </c:strRef>
          </c:tx>
          <c:invertIfNegative val="0"/>
          <c:dLbls>
            <c:dLbl>
              <c:idx val="0"/>
              <c:layout>
                <c:manualLayout>
                  <c:x val="4.4444444444444398E-2"/>
                  <c:y val="-1.697511254402670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A5-4AE7-B143-4E6D9E6149BB}"/>
                </c:ext>
              </c:extLst>
            </c:dLbl>
            <c:dLbl>
              <c:idx val="1"/>
              <c:layout>
                <c:manualLayout>
                  <c:x val="6.6666666666666693E-2"/>
                  <c:y val="-1.38888888888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A5-4AE7-B143-4E6D9E6149BB}"/>
                </c:ext>
              </c:extLst>
            </c:dLbl>
            <c:dLbl>
              <c:idx val="2"/>
              <c:layout>
                <c:manualLayout>
                  <c:x val="6.6666666666666693E-2"/>
                  <c:y val="-4.62962962962963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A5-4AE7-B143-4E6D9E6149BB}"/>
                </c:ext>
              </c:extLst>
            </c:dLbl>
            <c:dLbl>
              <c:idx val="3"/>
              <c:layout>
                <c:manualLayout>
                  <c:x val="8.8888888888888906E-2"/>
                  <c:y val="-4.62962962962963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A5-4AE7-B143-4E6D9E6149BB}"/>
                </c:ext>
              </c:extLst>
            </c:dLbl>
            <c:dLbl>
              <c:idx val="4"/>
              <c:layout>
                <c:manualLayout>
                  <c:x val="0.102777777777778"/>
                  <c:y val="-3.2407407407407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A5-4AE7-B143-4E6D9E6149BB}"/>
                </c:ext>
              </c:extLst>
            </c:dLbl>
            <c:dLbl>
              <c:idx val="5"/>
              <c:layout>
                <c:manualLayout>
                  <c:x val="0.122222222222222"/>
                  <c:y val="-1.38888888888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A5-4AE7-B143-4E6D9E6149BB}"/>
                </c:ext>
              </c:extLst>
            </c:dLbl>
            <c:dLbl>
              <c:idx val="6"/>
              <c:layout>
                <c:manualLayout>
                  <c:x val="0.12777777777777799"/>
                  <c:y val="-1.38888888888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A5-4AE7-B143-4E6D9E6149BB}"/>
                </c:ext>
              </c:extLst>
            </c:dLbl>
            <c:dLbl>
              <c:idx val="7"/>
              <c:layout>
                <c:manualLayout>
                  <c:x val="0.16944444444444401"/>
                  <c:y val="-9.25925925925923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A5-4AE7-B143-4E6D9E6149BB}"/>
                </c:ext>
              </c:extLst>
            </c:dLbl>
            <c:dLbl>
              <c:idx val="8"/>
              <c:layout>
                <c:manualLayout>
                  <c:x val="0.23888888888888901"/>
                  <c:y val="-1.38888888888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CA5-4AE7-B143-4E6D9E6149B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'P14'!$B$3:$B$10</c:f>
              <c:strCache>
                <c:ptCount val="8"/>
                <c:pt idx="0">
                  <c:v>Un grupo de personas que se conforma para que el apellido o la generación no se acaben</c:v>
                </c:pt>
                <c:pt idx="1">
                  <c:v>Un grupo de personas que comen y duermen en el mismo espacio</c:v>
                </c:pt>
                <c:pt idx="2">
                  <c:v>Todas las anteriores</c:v>
                </c:pt>
                <c:pt idx="3">
                  <c:v>Un grupo de personas en donde nos ayudamos a satisfacer las necesidades económicas</c:v>
                </c:pt>
                <c:pt idx="4">
                  <c:v>Núcleo de la sociedad formado por: padre, madre e hijos</c:v>
                </c:pt>
                <c:pt idx="5">
                  <c:v>El núcleo de la sociedad</c:v>
                </c:pt>
                <c:pt idx="6">
                  <c:v>Espacio de relaciones donde se construye el afecto y la autonomía de sus integrantes</c:v>
                </c:pt>
                <c:pt idx="7">
                  <c:v>El primer lugar en donde se aprenden valores y principios que servirán para la vida</c:v>
                </c:pt>
              </c:strCache>
            </c:strRef>
          </c:cat>
          <c:val>
            <c:numRef>
              <c:f>'P14'!$C$3:$C$10</c:f>
              <c:numCache>
                <c:formatCode>0.0%</c:formatCode>
                <c:ptCount val="8"/>
                <c:pt idx="0">
                  <c:v>4.0954994125128701E-2</c:v>
                </c:pt>
                <c:pt idx="1">
                  <c:v>8.4877283256272001E-2</c:v>
                </c:pt>
                <c:pt idx="2">
                  <c:v>0.13344585674956499</c:v>
                </c:pt>
                <c:pt idx="3">
                  <c:v>0.162891716847374</c:v>
                </c:pt>
                <c:pt idx="4">
                  <c:v>0.22503079991056499</c:v>
                </c:pt>
                <c:pt idx="5">
                  <c:v>0.22937873472759701</c:v>
                </c:pt>
                <c:pt idx="6">
                  <c:v>0.34399367103425599</c:v>
                </c:pt>
                <c:pt idx="7">
                  <c:v>0.53403496833688302</c:v>
                </c:pt>
              </c:numCache>
            </c:numRef>
          </c:val>
          <c:extLst>
            <c:ext xmlns:c16="http://schemas.microsoft.com/office/drawing/2014/chart" uri="{C3380CC4-5D6E-409C-BE32-E72D297353CC}">
              <c16:uniqueId val="{00000009-6CA5-4AE7-B143-4E6D9E6149BB}"/>
            </c:ext>
          </c:extLst>
        </c:ser>
        <c:dLbls>
          <c:showLegendKey val="0"/>
          <c:showVal val="0"/>
          <c:showCatName val="0"/>
          <c:showSerName val="0"/>
          <c:showPercent val="0"/>
          <c:showBubbleSize val="0"/>
        </c:dLbls>
        <c:gapWidth val="150"/>
        <c:axId val="2090608296"/>
        <c:axId val="2056872056"/>
      </c:barChart>
      <c:catAx>
        <c:axId val="2090608296"/>
        <c:scaling>
          <c:orientation val="minMax"/>
        </c:scaling>
        <c:delete val="0"/>
        <c:axPos val="l"/>
        <c:numFmt formatCode="General" sourceLinked="0"/>
        <c:majorTickMark val="out"/>
        <c:minorTickMark val="none"/>
        <c:tickLblPos val="nextTo"/>
        <c:crossAx val="2056872056"/>
        <c:crosses val="autoZero"/>
        <c:auto val="1"/>
        <c:lblAlgn val="ctr"/>
        <c:lblOffset val="100"/>
        <c:noMultiLvlLbl val="0"/>
      </c:catAx>
      <c:valAx>
        <c:axId val="2056872056"/>
        <c:scaling>
          <c:orientation val="minMax"/>
        </c:scaling>
        <c:delete val="1"/>
        <c:axPos val="b"/>
        <c:numFmt formatCode="0.0%" sourceLinked="1"/>
        <c:majorTickMark val="out"/>
        <c:minorTickMark val="none"/>
        <c:tickLblPos val="nextTo"/>
        <c:crossAx val="2090608296"/>
        <c:crosses val="autoZero"/>
        <c:crossBetween val="between"/>
      </c:valAx>
    </c:plotArea>
    <c:plotVisOnly val="1"/>
    <c:dispBlanksAs val="gap"/>
    <c:showDLblsOverMax val="0"/>
  </c:chart>
  <c:spPr>
    <a:noFill/>
    <a:ln>
      <a:noFill/>
    </a:ln>
  </c:spPr>
  <c:txPr>
    <a:bodyPr/>
    <a:lstStyle/>
    <a:p>
      <a:pPr>
        <a:defRPr sz="800">
          <a:latin typeface="Garamond"/>
          <a:cs typeface="Garamond"/>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'P16.5Adultos mayores'!$K$24</c:f>
              <c:strCache>
                <c:ptCount val="1"/>
                <c:pt idx="0">
                  <c:v>Con adultos Mayores</c:v>
                </c:pt>
              </c:strCache>
            </c:strRef>
          </c:tx>
          <c:spPr>
            <a:solidFill>
              <a:schemeClr val="accent1"/>
            </a:solidFill>
            <a:ln>
              <a:noFill/>
            </a:ln>
            <a:effectLst/>
          </c:spPr>
          <c:invertIfNegative val="0"/>
          <c:dPt>
            <c:idx val="6"/>
            <c:invertIfNegative val="0"/>
            <c:bubble3D val="0"/>
            <c:spPr>
              <a:solidFill>
                <a:srgbClr val="00B0F0"/>
              </a:solidFill>
              <a:ln>
                <a:noFill/>
              </a:ln>
              <a:effectLst/>
            </c:spPr>
            <c:extLst>
              <c:ext xmlns:c16="http://schemas.microsoft.com/office/drawing/2014/chart" uri="{C3380CC4-5D6E-409C-BE32-E72D297353CC}">
                <c16:uniqueId val="{00000001-F7C5-F946-8606-9A4F34B8005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'P16.5Adultos mayores'!$J$25:$J$31</c:f>
              <c:strCache>
                <c:ptCount val="7"/>
                <c:pt idx="0">
                  <c:v>Estrato 1</c:v>
                </c:pt>
                <c:pt idx="1">
                  <c:v>Estrato 2</c:v>
                </c:pt>
                <c:pt idx="2">
                  <c:v>Estrato 3</c:v>
                </c:pt>
                <c:pt idx="3">
                  <c:v>Estrato 4</c:v>
                </c:pt>
                <c:pt idx="4">
                  <c:v>Estrato 5</c:v>
                </c:pt>
                <c:pt idx="5">
                  <c:v>Estrato 6</c:v>
                </c:pt>
                <c:pt idx="6">
                  <c:v>Bogotá</c:v>
                </c:pt>
              </c:strCache>
            </c:strRef>
          </c:cat>
          <c:val>
            <c:numRef>
              <c:f>'P16.5Adultos mayores'!$K$25:$K$31</c:f>
              <c:numCache>
                <c:formatCode>0.0%</c:formatCode>
                <c:ptCount val="7"/>
                <c:pt idx="0">
                  <c:v>0.26757015334594603</c:v>
                </c:pt>
                <c:pt idx="1">
                  <c:v>0.26539779371164401</c:v>
                </c:pt>
                <c:pt idx="2">
                  <c:v>0.33038502128220398</c:v>
                </c:pt>
                <c:pt idx="3">
                  <c:v>0.39863506440510998</c:v>
                </c:pt>
                <c:pt idx="4">
                  <c:v>0.27396382583325901</c:v>
                </c:pt>
                <c:pt idx="5">
                  <c:v>0.366050609313742</c:v>
                </c:pt>
                <c:pt idx="6">
                  <c:v>0.30204699665249102</c:v>
                </c:pt>
              </c:numCache>
            </c:numRef>
          </c:val>
          <c:extLst>
            <c:ext xmlns:c16="http://schemas.microsoft.com/office/drawing/2014/chart" uri="{C3380CC4-5D6E-409C-BE32-E72D297353CC}">
              <c16:uniqueId val="{00000002-F7C5-F946-8606-9A4F34B8005F}"/>
            </c:ext>
          </c:extLst>
        </c:ser>
        <c:dLbls>
          <c:showLegendKey val="0"/>
          <c:showVal val="0"/>
          <c:showCatName val="0"/>
          <c:showSerName val="0"/>
          <c:showPercent val="0"/>
          <c:showBubbleSize val="0"/>
        </c:dLbls>
        <c:gapWidth val="219"/>
        <c:overlap val="-27"/>
        <c:axId val="2091710312"/>
        <c:axId val="2091713704"/>
      </c:barChart>
      <c:catAx>
        <c:axId val="2091710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091713704"/>
        <c:crosses val="autoZero"/>
        <c:auto val="1"/>
        <c:lblAlgn val="ctr"/>
        <c:lblOffset val="100"/>
        <c:noMultiLvlLbl val="0"/>
      </c:catAx>
      <c:valAx>
        <c:axId val="2091713704"/>
        <c:scaling>
          <c:orientation val="minMax"/>
        </c:scaling>
        <c:delete val="1"/>
        <c:axPos val="l"/>
        <c:numFmt formatCode="0.0%" sourceLinked="1"/>
        <c:majorTickMark val="none"/>
        <c:minorTickMark val="none"/>
        <c:tickLblPos val="nextTo"/>
        <c:crossAx val="20917103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'P16.5Adultos mayores'!$H$106</c:f>
              <c:strCache>
                <c:ptCount val="1"/>
                <c:pt idx="0">
                  <c:v> HF con Adulto Mayor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'P16.5Adultos mayores'!$G$107:$G$126</c:f>
              <c:strCache>
                <c:ptCount val="20"/>
                <c:pt idx="0">
                  <c:v>Usme</c:v>
                </c:pt>
                <c:pt idx="1">
                  <c:v>Ciudad Bolívar</c:v>
                </c:pt>
                <c:pt idx="2">
                  <c:v>Usaquén</c:v>
                </c:pt>
                <c:pt idx="3">
                  <c:v>Chapinero</c:v>
                </c:pt>
                <c:pt idx="4">
                  <c:v>Bosa</c:v>
                </c:pt>
                <c:pt idx="5">
                  <c:v>Suba</c:v>
                </c:pt>
                <c:pt idx="6">
                  <c:v>Sumapaz</c:v>
                </c:pt>
                <c:pt idx="7">
                  <c:v>Rafael Uribe Uribe</c:v>
                </c:pt>
                <c:pt idx="8">
                  <c:v>Los Mártires</c:v>
                </c:pt>
                <c:pt idx="9">
                  <c:v>Antonio Nariño</c:v>
                </c:pt>
                <c:pt idx="10">
                  <c:v>Santa Fe</c:v>
                </c:pt>
                <c:pt idx="11">
                  <c:v>San Cristóbal</c:v>
                </c:pt>
                <c:pt idx="12">
                  <c:v>Tunjuelito</c:v>
                </c:pt>
                <c:pt idx="13">
                  <c:v>Kennedy</c:v>
                </c:pt>
                <c:pt idx="14">
                  <c:v>La Candelaria</c:v>
                </c:pt>
                <c:pt idx="15">
                  <c:v>Barrios Unidos</c:v>
                </c:pt>
                <c:pt idx="16">
                  <c:v>Puente Aranda</c:v>
                </c:pt>
                <c:pt idx="17">
                  <c:v>Teusaquillo</c:v>
                </c:pt>
                <c:pt idx="18">
                  <c:v>Fontibón</c:v>
                </c:pt>
                <c:pt idx="19">
                  <c:v>Engativá</c:v>
                </c:pt>
              </c:strCache>
            </c:strRef>
          </c:cat>
          <c:val>
            <c:numRef>
              <c:f>'P16.5Adultos mayores'!$H$107:$H$126</c:f>
              <c:numCache>
                <c:formatCode>0.0%</c:formatCode>
                <c:ptCount val="20"/>
                <c:pt idx="0">
                  <c:v>3.8867064964802203E-2</c:v>
                </c:pt>
                <c:pt idx="1">
                  <c:v>9.8314058475720098E-2</c:v>
                </c:pt>
                <c:pt idx="2">
                  <c:v>0.118039860810259</c:v>
                </c:pt>
                <c:pt idx="3">
                  <c:v>0.239440613819211</c:v>
                </c:pt>
                <c:pt idx="4">
                  <c:v>0.25053771851503298</c:v>
                </c:pt>
                <c:pt idx="5">
                  <c:v>0.25363785194955102</c:v>
                </c:pt>
                <c:pt idx="6">
                  <c:v>0.28716715018726002</c:v>
                </c:pt>
                <c:pt idx="7">
                  <c:v>0.30386430096502098</c:v>
                </c:pt>
                <c:pt idx="8">
                  <c:v>0.31980289149499702</c:v>
                </c:pt>
                <c:pt idx="9">
                  <c:v>0.32378014956247603</c:v>
                </c:pt>
                <c:pt idx="10">
                  <c:v>0.325253968921764</c:v>
                </c:pt>
                <c:pt idx="11">
                  <c:v>0.326429201387473</c:v>
                </c:pt>
                <c:pt idx="12">
                  <c:v>0.34457047966119903</c:v>
                </c:pt>
                <c:pt idx="13">
                  <c:v>0.38624553118403299</c:v>
                </c:pt>
                <c:pt idx="14">
                  <c:v>0.38982534218128101</c:v>
                </c:pt>
                <c:pt idx="15">
                  <c:v>0.39536760838097501</c:v>
                </c:pt>
                <c:pt idx="16">
                  <c:v>0.41259494960029103</c:v>
                </c:pt>
                <c:pt idx="17">
                  <c:v>0.41452974408730497</c:v>
                </c:pt>
                <c:pt idx="18">
                  <c:v>0.44564889419208498</c:v>
                </c:pt>
                <c:pt idx="19">
                  <c:v>0.51207353790658305</c:v>
                </c:pt>
              </c:numCache>
            </c:numRef>
          </c:val>
          <c:extLst>
            <c:ext xmlns:c16="http://schemas.microsoft.com/office/drawing/2014/chart" uri="{C3380CC4-5D6E-409C-BE32-E72D297353CC}">
              <c16:uniqueId val="{00000000-34BF-9C45-91AD-27CCDE19908B}"/>
            </c:ext>
          </c:extLst>
        </c:ser>
        <c:dLbls>
          <c:showLegendKey val="0"/>
          <c:showVal val="0"/>
          <c:showCatName val="0"/>
          <c:showSerName val="0"/>
          <c:showPercent val="0"/>
          <c:showBubbleSize val="0"/>
        </c:dLbls>
        <c:gapWidth val="182"/>
        <c:axId val="2056920952"/>
        <c:axId val="2056924408"/>
      </c:barChart>
      <c:catAx>
        <c:axId val="2056920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056924408"/>
        <c:crosses val="autoZero"/>
        <c:auto val="1"/>
        <c:lblAlgn val="ctr"/>
        <c:lblOffset val="100"/>
        <c:noMultiLvlLbl val="0"/>
      </c:catAx>
      <c:valAx>
        <c:axId val="2056924408"/>
        <c:scaling>
          <c:orientation val="minMax"/>
        </c:scaling>
        <c:delete val="1"/>
        <c:axPos val="b"/>
        <c:numFmt formatCode="0.0%" sourceLinked="1"/>
        <c:majorTickMark val="none"/>
        <c:minorTickMark val="none"/>
        <c:tickLblPos val="nextTo"/>
        <c:crossAx val="20569209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'P16 Total'!$H$13</c:f>
              <c:strCache>
                <c:ptCount val="1"/>
                <c:pt idx="0">
                  <c:v>Una</c:v>
                </c:pt>
              </c:strCache>
            </c:strRef>
          </c:tx>
          <c:spPr>
            <a:solidFill>
              <a:schemeClr val="tx2">
                <a:lumMod val="20000"/>
                <a:lumOff val="80000"/>
              </a:schemeClr>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'P16 Total'!$G$14:$G$20</c:f>
              <c:strCache>
                <c:ptCount val="7"/>
                <c:pt idx="0">
                  <c:v>Estrato 1</c:v>
                </c:pt>
                <c:pt idx="1">
                  <c:v>Estrato 2</c:v>
                </c:pt>
                <c:pt idx="2">
                  <c:v>Estrato 3</c:v>
                </c:pt>
                <c:pt idx="3">
                  <c:v>Estrato 4</c:v>
                </c:pt>
                <c:pt idx="4">
                  <c:v>Estrato 5</c:v>
                </c:pt>
                <c:pt idx="5">
                  <c:v>Estrato 6</c:v>
                </c:pt>
                <c:pt idx="6">
                  <c:v> Bogotá </c:v>
                </c:pt>
              </c:strCache>
            </c:strRef>
          </c:cat>
          <c:val>
            <c:numRef>
              <c:f>'P16 Total'!$H$14:$H$20</c:f>
              <c:numCache>
                <c:formatCode>0.0%</c:formatCode>
                <c:ptCount val="7"/>
                <c:pt idx="0">
                  <c:v>5.2765217964225203E-2</c:v>
                </c:pt>
                <c:pt idx="1">
                  <c:v>9.6969925723753805E-2</c:v>
                </c:pt>
                <c:pt idx="2">
                  <c:v>6.9083933707094994E-2</c:v>
                </c:pt>
                <c:pt idx="3">
                  <c:v>8.3236840773832102E-2</c:v>
                </c:pt>
                <c:pt idx="4">
                  <c:v>7.5504929100751197E-2</c:v>
                </c:pt>
                <c:pt idx="5">
                  <c:v>0.153481378524815</c:v>
                </c:pt>
                <c:pt idx="6">
                  <c:v>8.3496757568970195E-2</c:v>
                </c:pt>
              </c:numCache>
            </c:numRef>
          </c:val>
          <c:extLst>
            <c:ext xmlns:c16="http://schemas.microsoft.com/office/drawing/2014/chart" uri="{C3380CC4-5D6E-409C-BE32-E72D297353CC}">
              <c16:uniqueId val="{00000000-92B3-9845-96D9-1B97DB0E0296}"/>
            </c:ext>
          </c:extLst>
        </c:ser>
        <c:ser>
          <c:idx val="1"/>
          <c:order val="1"/>
          <c:tx>
            <c:strRef>
              <c:f>'P16 Total'!$I$13</c:f>
              <c:strCache>
                <c:ptCount val="1"/>
                <c:pt idx="0">
                  <c:v>Dos</c:v>
                </c:pt>
              </c:strCache>
            </c:strRef>
          </c:tx>
          <c:spPr>
            <a:solidFill>
              <a:schemeClr val="tx2">
                <a:lumMod val="60000"/>
                <a:lumOff val="40000"/>
              </a:schemeClr>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'P16 Total'!$G$14:$G$20</c:f>
              <c:strCache>
                <c:ptCount val="7"/>
                <c:pt idx="0">
                  <c:v>Estrato 1</c:v>
                </c:pt>
                <c:pt idx="1">
                  <c:v>Estrato 2</c:v>
                </c:pt>
                <c:pt idx="2">
                  <c:v>Estrato 3</c:v>
                </c:pt>
                <c:pt idx="3">
                  <c:v>Estrato 4</c:v>
                </c:pt>
                <c:pt idx="4">
                  <c:v>Estrato 5</c:v>
                </c:pt>
                <c:pt idx="5">
                  <c:v>Estrato 6</c:v>
                </c:pt>
                <c:pt idx="6">
                  <c:v> Bogotá </c:v>
                </c:pt>
              </c:strCache>
            </c:strRef>
          </c:cat>
          <c:val>
            <c:numRef>
              <c:f>'P16 Total'!$I$14:$I$20</c:f>
              <c:numCache>
                <c:formatCode>0.0%</c:formatCode>
                <c:ptCount val="7"/>
                <c:pt idx="0">
                  <c:v>0.116505165363256</c:v>
                </c:pt>
                <c:pt idx="1">
                  <c:v>0.20379765406154399</c:v>
                </c:pt>
                <c:pt idx="2">
                  <c:v>0.27369799752815299</c:v>
                </c:pt>
                <c:pt idx="3">
                  <c:v>0.22648883674196901</c:v>
                </c:pt>
                <c:pt idx="4">
                  <c:v>0.249636463645766</c:v>
                </c:pt>
                <c:pt idx="5">
                  <c:v>0.122318826140456</c:v>
                </c:pt>
                <c:pt idx="6">
                  <c:v>0.22221521945485301</c:v>
                </c:pt>
              </c:numCache>
            </c:numRef>
          </c:val>
          <c:extLst>
            <c:ext xmlns:c16="http://schemas.microsoft.com/office/drawing/2014/chart" uri="{C3380CC4-5D6E-409C-BE32-E72D297353CC}">
              <c16:uniqueId val="{00000001-92B3-9845-96D9-1B97DB0E0296}"/>
            </c:ext>
          </c:extLst>
        </c:ser>
        <c:ser>
          <c:idx val="2"/>
          <c:order val="2"/>
          <c:tx>
            <c:strRef>
              <c:f>'P16 Total'!$J$13</c:f>
              <c:strCache>
                <c:ptCount val="1"/>
                <c:pt idx="0">
                  <c:v>Tres</c:v>
                </c:pt>
              </c:strCache>
            </c:strRef>
          </c:tx>
          <c:spPr>
            <a:solidFill>
              <a:srgbClr val="00B0F0"/>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'P16 Total'!$G$14:$G$20</c:f>
              <c:strCache>
                <c:ptCount val="7"/>
                <c:pt idx="0">
                  <c:v>Estrato 1</c:v>
                </c:pt>
                <c:pt idx="1">
                  <c:v>Estrato 2</c:v>
                </c:pt>
                <c:pt idx="2">
                  <c:v>Estrato 3</c:v>
                </c:pt>
                <c:pt idx="3">
                  <c:v>Estrato 4</c:v>
                </c:pt>
                <c:pt idx="4">
                  <c:v>Estrato 5</c:v>
                </c:pt>
                <c:pt idx="5">
                  <c:v>Estrato 6</c:v>
                </c:pt>
                <c:pt idx="6">
                  <c:v> Bogotá </c:v>
                </c:pt>
              </c:strCache>
            </c:strRef>
          </c:cat>
          <c:val>
            <c:numRef>
              <c:f>'P16 Total'!$J$14:$J$20</c:f>
              <c:numCache>
                <c:formatCode>0.0%</c:formatCode>
                <c:ptCount val="7"/>
                <c:pt idx="0">
                  <c:v>0.218044713391263</c:v>
                </c:pt>
                <c:pt idx="1">
                  <c:v>0.18130274762884999</c:v>
                </c:pt>
                <c:pt idx="2">
                  <c:v>0.25907755335661398</c:v>
                </c:pt>
                <c:pt idx="3">
                  <c:v>0.30046271430432803</c:v>
                </c:pt>
                <c:pt idx="4">
                  <c:v>0.36183188834005803</c:v>
                </c:pt>
                <c:pt idx="5">
                  <c:v>0.259771124384927</c:v>
                </c:pt>
                <c:pt idx="6">
                  <c:v>0.227670956259208</c:v>
                </c:pt>
              </c:numCache>
            </c:numRef>
          </c:val>
          <c:extLst>
            <c:ext xmlns:c16="http://schemas.microsoft.com/office/drawing/2014/chart" uri="{C3380CC4-5D6E-409C-BE32-E72D297353CC}">
              <c16:uniqueId val="{00000002-92B3-9845-96D9-1B97DB0E0296}"/>
            </c:ext>
          </c:extLst>
        </c:ser>
        <c:ser>
          <c:idx val="3"/>
          <c:order val="3"/>
          <c:tx>
            <c:strRef>
              <c:f>'P16 Total'!$K$13</c:f>
              <c:strCache>
                <c:ptCount val="1"/>
                <c:pt idx="0">
                  <c:v>Cuatro</c:v>
                </c:pt>
              </c:strCache>
            </c:strRef>
          </c:tx>
          <c:spPr>
            <a:solidFill>
              <a:schemeClr val="accent5">
                <a:lumMod val="60000"/>
                <a:lumOff val="40000"/>
              </a:schemeClr>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'P16 Total'!$G$14:$G$20</c:f>
              <c:strCache>
                <c:ptCount val="7"/>
                <c:pt idx="0">
                  <c:v>Estrato 1</c:v>
                </c:pt>
                <c:pt idx="1">
                  <c:v>Estrato 2</c:v>
                </c:pt>
                <c:pt idx="2">
                  <c:v>Estrato 3</c:v>
                </c:pt>
                <c:pt idx="3">
                  <c:v>Estrato 4</c:v>
                </c:pt>
                <c:pt idx="4">
                  <c:v>Estrato 5</c:v>
                </c:pt>
                <c:pt idx="5">
                  <c:v>Estrato 6</c:v>
                </c:pt>
                <c:pt idx="6">
                  <c:v> Bogotá </c:v>
                </c:pt>
              </c:strCache>
            </c:strRef>
          </c:cat>
          <c:val>
            <c:numRef>
              <c:f>'P16 Total'!$K$14:$K$20</c:f>
              <c:numCache>
                <c:formatCode>0.0%</c:formatCode>
                <c:ptCount val="7"/>
                <c:pt idx="0">
                  <c:v>0.266187320363519</c:v>
                </c:pt>
                <c:pt idx="1">
                  <c:v>0.17495572805322099</c:v>
                </c:pt>
                <c:pt idx="2">
                  <c:v>0.21295543437434</c:v>
                </c:pt>
                <c:pt idx="3">
                  <c:v>0.24580327408424099</c:v>
                </c:pt>
                <c:pt idx="4">
                  <c:v>0.196179639127603</c:v>
                </c:pt>
                <c:pt idx="5">
                  <c:v>0.33881197328559898</c:v>
                </c:pt>
                <c:pt idx="6">
                  <c:v>0.20551570641530301</c:v>
                </c:pt>
              </c:numCache>
            </c:numRef>
          </c:val>
          <c:extLst>
            <c:ext xmlns:c16="http://schemas.microsoft.com/office/drawing/2014/chart" uri="{C3380CC4-5D6E-409C-BE32-E72D297353CC}">
              <c16:uniqueId val="{00000003-92B3-9845-96D9-1B97DB0E0296}"/>
            </c:ext>
          </c:extLst>
        </c:ser>
        <c:ser>
          <c:idx val="4"/>
          <c:order val="4"/>
          <c:tx>
            <c:strRef>
              <c:f>'P16 Total'!$L$13</c:f>
              <c:strCache>
                <c:ptCount val="1"/>
                <c:pt idx="0">
                  <c:v>Cinco</c:v>
                </c:pt>
              </c:strCache>
            </c:strRef>
          </c:tx>
          <c:spPr>
            <a:solidFill>
              <a:schemeClr val="accent1">
                <a:lumMod val="20000"/>
                <a:lumOff val="80000"/>
              </a:schemeClr>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'P16 Total'!$G$14:$G$20</c:f>
              <c:strCache>
                <c:ptCount val="7"/>
                <c:pt idx="0">
                  <c:v>Estrato 1</c:v>
                </c:pt>
                <c:pt idx="1">
                  <c:v>Estrato 2</c:v>
                </c:pt>
                <c:pt idx="2">
                  <c:v>Estrato 3</c:v>
                </c:pt>
                <c:pt idx="3">
                  <c:v>Estrato 4</c:v>
                </c:pt>
                <c:pt idx="4">
                  <c:v>Estrato 5</c:v>
                </c:pt>
                <c:pt idx="5">
                  <c:v>Estrato 6</c:v>
                </c:pt>
                <c:pt idx="6">
                  <c:v> Bogotá </c:v>
                </c:pt>
              </c:strCache>
            </c:strRef>
          </c:cat>
          <c:val>
            <c:numRef>
              <c:f>'P16 Total'!$L$14:$L$20</c:f>
              <c:numCache>
                <c:formatCode>0.0%</c:formatCode>
                <c:ptCount val="7"/>
                <c:pt idx="0">
                  <c:v>0.19554761828907599</c:v>
                </c:pt>
                <c:pt idx="1">
                  <c:v>0.141789115725276</c:v>
                </c:pt>
                <c:pt idx="2">
                  <c:v>0.108733982132469</c:v>
                </c:pt>
                <c:pt idx="3">
                  <c:v>0.1054513924931</c:v>
                </c:pt>
                <c:pt idx="4">
                  <c:v>7.3560254834040703E-2</c:v>
                </c:pt>
                <c:pt idx="5">
                  <c:v>0.125616697664203</c:v>
                </c:pt>
                <c:pt idx="6">
                  <c:v>0.12948187953069201</c:v>
                </c:pt>
              </c:numCache>
            </c:numRef>
          </c:val>
          <c:extLst>
            <c:ext xmlns:c16="http://schemas.microsoft.com/office/drawing/2014/chart" uri="{C3380CC4-5D6E-409C-BE32-E72D297353CC}">
              <c16:uniqueId val="{00000004-92B3-9845-96D9-1B97DB0E0296}"/>
            </c:ext>
          </c:extLst>
        </c:ser>
        <c:ser>
          <c:idx val="5"/>
          <c:order val="5"/>
          <c:tx>
            <c:strRef>
              <c:f>'P16 Total'!$M$13</c:f>
              <c:strCache>
                <c:ptCount val="1"/>
                <c:pt idx="0">
                  <c:v>Seis</c:v>
                </c:pt>
              </c:strCache>
            </c:strRef>
          </c:tx>
          <c:spPr>
            <a:solidFill>
              <a:schemeClr val="accent1">
                <a:lumMod val="75000"/>
              </a:schemeClr>
            </a:solidFill>
            <a:ln>
              <a:noFill/>
            </a:ln>
            <a:effectLst/>
          </c:spPr>
          <c:invertIfNegative val="0"/>
          <c:dLbls>
            <c:dLbl>
              <c:idx val="3"/>
              <c:layout>
                <c:manualLayout>
                  <c:x val="1.4760147601475924E-2"/>
                  <c:y val="0"/>
                </c:manualLayout>
              </c:layout>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FD-C94E-ABBE-5BB92BAA804D}"/>
                </c:ext>
              </c:extLst>
            </c:dLbl>
            <c:dLbl>
              <c:idx val="4"/>
              <c:layout>
                <c:manualLayout>
                  <c:x val="1.4760147601475924E-2"/>
                  <c:y val="-6.2020032298879529E-18"/>
                </c:manualLayout>
              </c:layout>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FD-C94E-ABBE-5BB92BAA804D}"/>
                </c:ext>
              </c:extLst>
            </c:dLbl>
            <c:dLbl>
              <c:idx val="5"/>
              <c:delete val="1"/>
              <c:extLst>
                <c:ext xmlns:c15="http://schemas.microsoft.com/office/drawing/2012/chart" uri="{CE6537A1-D6FC-4f65-9D91-7224C49458BB}"/>
                <c:ext xmlns:c16="http://schemas.microsoft.com/office/drawing/2014/chart" uri="{C3380CC4-5D6E-409C-BE32-E72D297353CC}">
                  <c16:uniqueId val="{0000000A-92B3-9845-96D9-1B97DB0E0296}"/>
                </c:ext>
              </c:extLst>
            </c:dLbl>
            <c:spPr>
              <a:noFill/>
              <a:ln>
                <a:noFill/>
              </a:ln>
              <a:effectLst/>
            </c:spPr>
            <c:txPr>
              <a:bodyPr rot="-5400000" spcFirstLastPara="1" vertOverflow="ellipsis" wrap="square" anchor="ctr" anchorCtr="1"/>
              <a:lstStyle/>
              <a:p>
                <a:pPr>
                  <a:defRPr sz="7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'P16 Total'!$G$14:$G$20</c:f>
              <c:strCache>
                <c:ptCount val="7"/>
                <c:pt idx="0">
                  <c:v>Estrato 1</c:v>
                </c:pt>
                <c:pt idx="1">
                  <c:v>Estrato 2</c:v>
                </c:pt>
                <c:pt idx="2">
                  <c:v>Estrato 3</c:v>
                </c:pt>
                <c:pt idx="3">
                  <c:v>Estrato 4</c:v>
                </c:pt>
                <c:pt idx="4">
                  <c:v>Estrato 5</c:v>
                </c:pt>
                <c:pt idx="5">
                  <c:v>Estrato 6</c:v>
                </c:pt>
                <c:pt idx="6">
                  <c:v> Bogotá </c:v>
                </c:pt>
              </c:strCache>
            </c:strRef>
          </c:cat>
          <c:val>
            <c:numRef>
              <c:f>'P16 Total'!$M$14:$M$20</c:f>
              <c:numCache>
                <c:formatCode>0.0%</c:formatCode>
                <c:ptCount val="7"/>
                <c:pt idx="0">
                  <c:v>5.2926776878900801E-2</c:v>
                </c:pt>
                <c:pt idx="1">
                  <c:v>9.6699768568376698E-2</c:v>
                </c:pt>
                <c:pt idx="2">
                  <c:v>5.2124349291696001E-2</c:v>
                </c:pt>
                <c:pt idx="3">
                  <c:v>3.4901717641145399E-2</c:v>
                </c:pt>
                <c:pt idx="4">
                  <c:v>2.83774051728433E-2</c:v>
                </c:pt>
                <c:pt idx="5">
                  <c:v>0</c:v>
                </c:pt>
                <c:pt idx="6">
                  <c:v>6.8904187827087293E-2</c:v>
                </c:pt>
              </c:numCache>
            </c:numRef>
          </c:val>
          <c:extLst>
            <c:ext xmlns:c16="http://schemas.microsoft.com/office/drawing/2014/chart" uri="{C3380CC4-5D6E-409C-BE32-E72D297353CC}">
              <c16:uniqueId val="{00000005-92B3-9845-96D9-1B97DB0E0296}"/>
            </c:ext>
          </c:extLst>
        </c:ser>
        <c:ser>
          <c:idx val="6"/>
          <c:order val="6"/>
          <c:tx>
            <c:strRef>
              <c:f>'P16 Total'!$N$13</c:f>
              <c:strCache>
                <c:ptCount val="1"/>
                <c:pt idx="0">
                  <c:v>Más de seis</c:v>
                </c:pt>
              </c:strCache>
            </c:strRef>
          </c:tx>
          <c:spPr>
            <a:solidFill>
              <a:schemeClr val="accent5">
                <a:lumMod val="20000"/>
                <a:lumOff val="80000"/>
              </a:schemeClr>
            </a:solidFill>
            <a:ln>
              <a:noFill/>
            </a:ln>
            <a:effectLst/>
          </c:spPr>
          <c:invertIfNegative val="0"/>
          <c:dLbls>
            <c:dLbl>
              <c:idx val="3"/>
              <c:layout>
                <c:manualLayout>
                  <c:x val="0"/>
                  <c:y val="-8.31140047097935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B3-9845-96D9-1B97DB0E0296}"/>
                </c:ext>
              </c:extLst>
            </c:dLbl>
            <c:dLbl>
              <c:idx val="4"/>
              <c:layout>
                <c:manualLayout>
                  <c:x val="-9.0199860012540304E-17"/>
                  <c:y val="-1.3852334118298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B3-9845-96D9-1B97DB0E0296}"/>
                </c:ext>
              </c:extLst>
            </c:dLbl>
            <c:dLbl>
              <c:idx val="5"/>
              <c:delete val="1"/>
              <c:extLst>
                <c:ext xmlns:c15="http://schemas.microsoft.com/office/drawing/2012/chart" uri="{CE6537A1-D6FC-4f65-9D91-7224C49458BB}"/>
                <c:ext xmlns:c16="http://schemas.microsoft.com/office/drawing/2014/chart" uri="{C3380CC4-5D6E-409C-BE32-E72D297353CC}">
                  <c16:uniqueId val="{00000009-92B3-9845-96D9-1B97DB0E0296}"/>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'P16 Total'!$G$14:$G$20</c:f>
              <c:strCache>
                <c:ptCount val="7"/>
                <c:pt idx="0">
                  <c:v>Estrato 1</c:v>
                </c:pt>
                <c:pt idx="1">
                  <c:v>Estrato 2</c:v>
                </c:pt>
                <c:pt idx="2">
                  <c:v>Estrato 3</c:v>
                </c:pt>
                <c:pt idx="3">
                  <c:v>Estrato 4</c:v>
                </c:pt>
                <c:pt idx="4">
                  <c:v>Estrato 5</c:v>
                </c:pt>
                <c:pt idx="5">
                  <c:v>Estrato 6</c:v>
                </c:pt>
                <c:pt idx="6">
                  <c:v> Bogotá </c:v>
                </c:pt>
              </c:strCache>
            </c:strRef>
          </c:cat>
          <c:val>
            <c:numRef>
              <c:f>'P16 Total'!$N$14:$N$20</c:f>
              <c:numCache>
                <c:formatCode>0.0%</c:formatCode>
                <c:ptCount val="7"/>
                <c:pt idx="0">
                  <c:v>9.8023187749759599E-2</c:v>
                </c:pt>
                <c:pt idx="1">
                  <c:v>0.10448506023897799</c:v>
                </c:pt>
                <c:pt idx="2">
                  <c:v>2.43267496096326E-2</c:v>
                </c:pt>
                <c:pt idx="3">
                  <c:v>3.6552239613847101E-3</c:v>
                </c:pt>
                <c:pt idx="4">
                  <c:v>1.4909419778937699E-2</c:v>
                </c:pt>
                <c:pt idx="5">
                  <c:v>0</c:v>
                </c:pt>
                <c:pt idx="6">
                  <c:v>6.2715292943886003E-2</c:v>
                </c:pt>
              </c:numCache>
            </c:numRef>
          </c:val>
          <c:extLst>
            <c:ext xmlns:c16="http://schemas.microsoft.com/office/drawing/2014/chart" uri="{C3380CC4-5D6E-409C-BE32-E72D297353CC}">
              <c16:uniqueId val="{00000006-92B3-9845-96D9-1B97DB0E0296}"/>
            </c:ext>
          </c:extLst>
        </c:ser>
        <c:dLbls>
          <c:showLegendKey val="0"/>
          <c:showVal val="0"/>
          <c:showCatName val="0"/>
          <c:showSerName val="0"/>
          <c:showPercent val="0"/>
          <c:showBubbleSize val="0"/>
        </c:dLbls>
        <c:gapWidth val="150"/>
        <c:overlap val="100"/>
        <c:axId val="2091734408"/>
        <c:axId val="2091738200"/>
      </c:barChart>
      <c:catAx>
        <c:axId val="2091734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091738200"/>
        <c:crosses val="autoZero"/>
        <c:auto val="1"/>
        <c:lblAlgn val="ctr"/>
        <c:lblOffset val="100"/>
        <c:noMultiLvlLbl val="0"/>
      </c:catAx>
      <c:valAx>
        <c:axId val="2091738200"/>
        <c:scaling>
          <c:orientation val="minMax"/>
          <c:max val="1"/>
        </c:scaling>
        <c:delete val="1"/>
        <c:axPos val="l"/>
        <c:numFmt formatCode="0.0%" sourceLinked="1"/>
        <c:majorTickMark val="none"/>
        <c:minorTickMark val="none"/>
        <c:tickLblPos val="nextTo"/>
        <c:crossAx val="2091734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49615248278467"/>
          <c:y val="4.5367300645611598E-2"/>
          <c:w val="0.43988687760893402"/>
          <c:h val="0.90926539870877698"/>
        </c:manualLayout>
      </c:layout>
      <c:barChart>
        <c:barDir val="bar"/>
        <c:grouping val="clustered"/>
        <c:varyColors val="0"/>
        <c:ser>
          <c:idx val="0"/>
          <c:order val="0"/>
          <c:tx>
            <c:strRef>
              <c:f>'P18'!$B$1</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'P18'!$A$2:$A$16</c:f>
              <c:strCache>
                <c:ptCount val="15"/>
                <c:pt idx="0">
                  <c:v>Servicio domestico</c:v>
                </c:pt>
                <c:pt idx="1">
                  <c:v>Madastra</c:v>
                </c:pt>
                <c:pt idx="2">
                  <c:v>Padrastro</c:v>
                </c:pt>
                <c:pt idx="3">
                  <c:v>Otro no pariente (amigos, etc.)</c:v>
                </c:pt>
                <c:pt idx="4">
                  <c:v>Otro(s) pariente(s)</c:v>
                </c:pt>
                <c:pt idx="5">
                  <c:v>Suegro/a</c:v>
                </c:pt>
                <c:pt idx="6">
                  <c:v>Yerno, nuera</c:v>
                </c:pt>
                <c:pt idx="7">
                  <c:v>Abuelos/as</c:v>
                </c:pt>
                <c:pt idx="8">
                  <c:v>Nieto/a</c:v>
                </c:pt>
                <c:pt idx="9">
                  <c:v>Primos/as, tios/as, sobrinos/as </c:v>
                </c:pt>
                <c:pt idx="10">
                  <c:v>Esposo/a o Compañero/a</c:v>
                </c:pt>
                <c:pt idx="11">
                  <c:v>Padre</c:v>
                </c:pt>
                <c:pt idx="12">
                  <c:v>Hermano/a, hermanastro/a</c:v>
                </c:pt>
                <c:pt idx="13">
                  <c:v>Madre</c:v>
                </c:pt>
                <c:pt idx="14">
                  <c:v>Hijo/a, hijastro/a</c:v>
                </c:pt>
              </c:strCache>
            </c:strRef>
          </c:cat>
          <c:val>
            <c:numRef>
              <c:f>'P18'!$B$2:$B$16</c:f>
              <c:numCache>
                <c:formatCode>0.0%</c:formatCode>
                <c:ptCount val="15"/>
                <c:pt idx="0">
                  <c:v>3.13112776115679E-3</c:v>
                </c:pt>
                <c:pt idx="1">
                  <c:v>6.9501027252449896E-3</c:v>
                </c:pt>
                <c:pt idx="2">
                  <c:v>1.0656154498760201E-2</c:v>
                </c:pt>
                <c:pt idx="3">
                  <c:v>1.28001542361802E-2</c:v>
                </c:pt>
                <c:pt idx="4">
                  <c:v>3.6943273036176401E-2</c:v>
                </c:pt>
                <c:pt idx="5" formatCode="0%">
                  <c:v>9.7449963403969206E-2</c:v>
                </c:pt>
                <c:pt idx="6" formatCode="0%">
                  <c:v>0.119910217251663</c:v>
                </c:pt>
                <c:pt idx="7" formatCode="0%">
                  <c:v>0.18545653491101199</c:v>
                </c:pt>
                <c:pt idx="8" formatCode="0%">
                  <c:v>0.21516474222644599</c:v>
                </c:pt>
                <c:pt idx="9" formatCode="0%">
                  <c:v>0.42130608872445102</c:v>
                </c:pt>
                <c:pt idx="10" formatCode="0%">
                  <c:v>0.47901970553797701</c:v>
                </c:pt>
                <c:pt idx="11" formatCode="0%">
                  <c:v>0.52666701126965298</c:v>
                </c:pt>
                <c:pt idx="12" formatCode="0%">
                  <c:v>0.582671154166577</c:v>
                </c:pt>
                <c:pt idx="13" formatCode="0%">
                  <c:v>0.660313499874433</c:v>
                </c:pt>
                <c:pt idx="14" formatCode="0%">
                  <c:v>0.75566093294117598</c:v>
                </c:pt>
              </c:numCache>
            </c:numRef>
          </c:val>
          <c:extLst>
            <c:ext xmlns:c16="http://schemas.microsoft.com/office/drawing/2014/chart" uri="{C3380CC4-5D6E-409C-BE32-E72D297353CC}">
              <c16:uniqueId val="{00000000-697D-4B97-9B5D-C6354DC730B8}"/>
            </c:ext>
          </c:extLst>
        </c:ser>
        <c:dLbls>
          <c:showLegendKey val="0"/>
          <c:showVal val="0"/>
          <c:showCatName val="0"/>
          <c:showSerName val="0"/>
          <c:showPercent val="0"/>
          <c:showBubbleSize val="0"/>
        </c:dLbls>
        <c:gapWidth val="150"/>
        <c:axId val="2090269720"/>
        <c:axId val="2090265880"/>
      </c:barChart>
      <c:catAx>
        <c:axId val="2090269720"/>
        <c:scaling>
          <c:orientation val="minMax"/>
        </c:scaling>
        <c:delete val="0"/>
        <c:axPos val="l"/>
        <c:numFmt formatCode="General" sourceLinked="0"/>
        <c:majorTickMark val="out"/>
        <c:minorTickMark val="none"/>
        <c:tickLblPos val="nextTo"/>
        <c:txPr>
          <a:bodyPr/>
          <a:lstStyle/>
          <a:p>
            <a:pPr>
              <a:defRPr sz="700"/>
            </a:pPr>
            <a:endParaRPr lang="es-CO"/>
          </a:p>
        </c:txPr>
        <c:crossAx val="2090265880"/>
        <c:crosses val="autoZero"/>
        <c:auto val="1"/>
        <c:lblAlgn val="ctr"/>
        <c:lblOffset val="100"/>
        <c:noMultiLvlLbl val="0"/>
      </c:catAx>
      <c:valAx>
        <c:axId val="2090265880"/>
        <c:scaling>
          <c:orientation val="minMax"/>
        </c:scaling>
        <c:delete val="1"/>
        <c:axPos val="b"/>
        <c:numFmt formatCode="0.0%" sourceLinked="1"/>
        <c:majorTickMark val="out"/>
        <c:minorTickMark val="none"/>
        <c:tickLblPos val="nextTo"/>
        <c:crossAx val="2090269720"/>
        <c:crosses val="autoZero"/>
        <c:crossBetween val="between"/>
      </c:valAx>
    </c:plotArea>
    <c:plotVisOnly val="1"/>
    <c:dispBlanksAs val="gap"/>
    <c:showDLblsOverMax val="0"/>
  </c:chart>
  <c:spPr>
    <a:noFill/>
    <a:ln>
      <a:noFill/>
    </a:ln>
  </c:spPr>
  <c:txPr>
    <a:bodyPr/>
    <a:lstStyle/>
    <a:p>
      <a:pPr>
        <a:defRPr sz="800">
          <a:latin typeface="Garamond" panose="02020404030301010803" pitchFamily="18" charset="0"/>
          <a:cs typeface="Cambria"/>
        </a:defRPr>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'P20'!$B$1</c:f>
              <c:strCache>
                <c:ptCount val="1"/>
                <c:pt idx="0">
                  <c:v>%</c:v>
                </c:pt>
              </c:strCache>
            </c:strRef>
          </c:tx>
          <c:invertIfNegative val="0"/>
          <c:dLbls>
            <c:dLbl>
              <c:idx val="0"/>
              <c:layout>
                <c:manualLayout>
                  <c:x val="2.5000000000000001E-2"/>
                  <c:y val="-1.85185185185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AC-40DD-BB46-D07C841622B8}"/>
                </c:ext>
              </c:extLst>
            </c:dLbl>
            <c:dLbl>
              <c:idx val="1"/>
              <c:layout>
                <c:manualLayout>
                  <c:x val="1.38888888888888E-2"/>
                  <c:y val="-2.7777777777777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AC-40DD-BB46-D07C841622B8}"/>
                </c:ext>
              </c:extLst>
            </c:dLbl>
            <c:dLbl>
              <c:idx val="2"/>
              <c:layout>
                <c:manualLayout>
                  <c:x val="2.5000000000000001E-2"/>
                  <c:y val="-1.85185185185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AC-40DD-BB46-D07C841622B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'P20'!$A$2:$A$4</c:f>
              <c:strCache>
                <c:ptCount val="3"/>
                <c:pt idx="0">
                  <c:v>No</c:v>
                </c:pt>
                <c:pt idx="1">
                  <c:v>No aplica</c:v>
                </c:pt>
                <c:pt idx="2">
                  <c:v>Sí</c:v>
                </c:pt>
              </c:strCache>
            </c:strRef>
          </c:cat>
          <c:val>
            <c:numRef>
              <c:f>'P20'!$B$2:$B$4</c:f>
              <c:numCache>
                <c:formatCode>0%</c:formatCode>
                <c:ptCount val="3"/>
                <c:pt idx="0">
                  <c:v>0.74400216610103298</c:v>
                </c:pt>
                <c:pt idx="1">
                  <c:v>0.161806795686119</c:v>
                </c:pt>
                <c:pt idx="2">
                  <c:v>9.41910382128473E-2</c:v>
                </c:pt>
              </c:numCache>
            </c:numRef>
          </c:val>
          <c:extLst>
            <c:ext xmlns:c16="http://schemas.microsoft.com/office/drawing/2014/chart" uri="{C3380CC4-5D6E-409C-BE32-E72D297353CC}">
              <c16:uniqueId val="{00000003-49AC-40DD-BB46-D07C841622B8}"/>
            </c:ext>
          </c:extLst>
        </c:ser>
        <c:dLbls>
          <c:showLegendKey val="0"/>
          <c:showVal val="0"/>
          <c:showCatName val="0"/>
          <c:showSerName val="0"/>
          <c:showPercent val="0"/>
          <c:showBubbleSize val="0"/>
        </c:dLbls>
        <c:gapWidth val="150"/>
        <c:shape val="box"/>
        <c:axId val="2090234056"/>
        <c:axId val="2090230232"/>
        <c:axId val="0"/>
      </c:bar3DChart>
      <c:catAx>
        <c:axId val="2090234056"/>
        <c:scaling>
          <c:orientation val="minMax"/>
        </c:scaling>
        <c:delete val="0"/>
        <c:axPos val="l"/>
        <c:numFmt formatCode="General" sourceLinked="0"/>
        <c:majorTickMark val="out"/>
        <c:minorTickMark val="none"/>
        <c:tickLblPos val="nextTo"/>
        <c:crossAx val="2090230232"/>
        <c:crosses val="autoZero"/>
        <c:auto val="1"/>
        <c:lblAlgn val="ctr"/>
        <c:lblOffset val="100"/>
        <c:noMultiLvlLbl val="0"/>
      </c:catAx>
      <c:valAx>
        <c:axId val="2090230232"/>
        <c:scaling>
          <c:orientation val="minMax"/>
        </c:scaling>
        <c:delete val="1"/>
        <c:axPos val="b"/>
        <c:numFmt formatCode="0%" sourceLinked="1"/>
        <c:majorTickMark val="out"/>
        <c:minorTickMark val="none"/>
        <c:tickLblPos val="nextTo"/>
        <c:crossAx val="2090234056"/>
        <c:crosses val="autoZero"/>
        <c:crossBetween val="between"/>
      </c:valAx>
    </c:plotArea>
    <c:plotVisOnly val="1"/>
    <c:dispBlanksAs val="gap"/>
    <c:showDLblsOverMax val="0"/>
  </c:chart>
  <c:spPr>
    <a:noFill/>
    <a:ln>
      <a:noFill/>
    </a:ln>
  </c:spPr>
  <c:txPr>
    <a:bodyPr/>
    <a:lstStyle/>
    <a:p>
      <a:pPr>
        <a:defRPr sz="800">
          <a:latin typeface="Cambria"/>
          <a:cs typeface="Cambria"/>
        </a:defRPr>
      </a:pPr>
      <a:endParaRPr lang="es-C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P201.1A!$B$1</c:f>
              <c:strCache>
                <c:ptCount val="1"/>
                <c:pt idx="0">
                  <c:v>%</c:v>
                </c:pt>
              </c:strCache>
            </c:strRef>
          </c:tx>
          <c:invertIfNegative val="0"/>
          <c:dLbls>
            <c:dLbl>
              <c:idx val="0"/>
              <c:layout>
                <c:manualLayout>
                  <c:x val="1.38888888888889E-2"/>
                  <c:y val="-1.85185185185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26-44F0-8CBE-07E4A84AAB5B}"/>
                </c:ext>
              </c:extLst>
            </c:dLbl>
            <c:dLbl>
              <c:idx val="1"/>
              <c:layout>
                <c:manualLayout>
                  <c:x val="1.6666666666666701E-2"/>
                  <c:y val="8.487556272013380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26-44F0-8CBE-07E4A84AAB5B}"/>
                </c:ext>
              </c:extLst>
            </c:dLbl>
            <c:dLbl>
              <c:idx val="2"/>
              <c:layout>
                <c:manualLayout>
                  <c:x val="1.94444444444444E-2"/>
                  <c:y val="-1.8518518518518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26-44F0-8CBE-07E4A84AAB5B}"/>
                </c:ext>
              </c:extLst>
            </c:dLbl>
            <c:dLbl>
              <c:idx val="3"/>
              <c:layout>
                <c:manualLayout>
                  <c:x val="2.5000000000000001E-2"/>
                  <c:y val="-8.487556272013380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26-44F0-8CBE-07E4A84AAB5B}"/>
                </c:ext>
              </c:extLst>
            </c:dLbl>
            <c:dLbl>
              <c:idx val="4"/>
              <c:layout>
                <c:manualLayout>
                  <c:x val="2.22222222222221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26-44F0-8CBE-07E4A84AAB5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P201.1A!$A$2:$A$6</c:f>
              <c:strCache>
                <c:ptCount val="5"/>
                <c:pt idx="0">
                  <c:v>Una</c:v>
                </c:pt>
                <c:pt idx="1">
                  <c:v>Dos</c:v>
                </c:pt>
                <c:pt idx="2">
                  <c:v>Tres</c:v>
                </c:pt>
                <c:pt idx="3">
                  <c:v>Cuatro</c:v>
                </c:pt>
                <c:pt idx="4">
                  <c:v>Cinco</c:v>
                </c:pt>
              </c:strCache>
            </c:strRef>
          </c:cat>
          <c:val>
            <c:numRef>
              <c:f>P201.1A!$B$2:$B$6</c:f>
              <c:numCache>
                <c:formatCode>0.0%</c:formatCode>
                <c:ptCount val="5"/>
                <c:pt idx="0">
                  <c:v>0.87510909200467502</c:v>
                </c:pt>
                <c:pt idx="1">
                  <c:v>0.110928601411542</c:v>
                </c:pt>
                <c:pt idx="2" formatCode="0.00%">
                  <c:v>1.09021782814018E-2</c:v>
                </c:pt>
                <c:pt idx="3" formatCode="0.00%">
                  <c:v>2.9414487964761599E-3</c:v>
                </c:pt>
                <c:pt idx="4" formatCode="0.00%">
                  <c:v>1.18679505904558E-4</c:v>
                </c:pt>
              </c:numCache>
            </c:numRef>
          </c:val>
          <c:extLst>
            <c:ext xmlns:c16="http://schemas.microsoft.com/office/drawing/2014/chart" uri="{C3380CC4-5D6E-409C-BE32-E72D297353CC}">
              <c16:uniqueId val="{00000005-E726-44F0-8CBE-07E4A84AAB5B}"/>
            </c:ext>
          </c:extLst>
        </c:ser>
        <c:dLbls>
          <c:showLegendKey val="0"/>
          <c:showVal val="0"/>
          <c:showCatName val="0"/>
          <c:showSerName val="0"/>
          <c:showPercent val="0"/>
          <c:showBubbleSize val="0"/>
        </c:dLbls>
        <c:gapWidth val="150"/>
        <c:shape val="box"/>
        <c:axId val="2090194632"/>
        <c:axId val="2090190808"/>
        <c:axId val="0"/>
      </c:bar3DChart>
      <c:catAx>
        <c:axId val="2090194632"/>
        <c:scaling>
          <c:orientation val="minMax"/>
        </c:scaling>
        <c:delete val="0"/>
        <c:axPos val="b"/>
        <c:numFmt formatCode="General" sourceLinked="0"/>
        <c:majorTickMark val="out"/>
        <c:minorTickMark val="none"/>
        <c:tickLblPos val="nextTo"/>
        <c:crossAx val="2090190808"/>
        <c:crosses val="autoZero"/>
        <c:auto val="1"/>
        <c:lblAlgn val="ctr"/>
        <c:lblOffset val="100"/>
        <c:noMultiLvlLbl val="0"/>
      </c:catAx>
      <c:valAx>
        <c:axId val="2090190808"/>
        <c:scaling>
          <c:orientation val="minMax"/>
        </c:scaling>
        <c:delete val="1"/>
        <c:axPos val="l"/>
        <c:numFmt formatCode="0.0%" sourceLinked="1"/>
        <c:majorTickMark val="out"/>
        <c:minorTickMark val="none"/>
        <c:tickLblPos val="nextTo"/>
        <c:crossAx val="2090194632"/>
        <c:crosses val="autoZero"/>
        <c:crossBetween val="between"/>
      </c:valAx>
    </c:plotArea>
    <c:plotVisOnly val="1"/>
    <c:dispBlanksAs val="gap"/>
    <c:showDLblsOverMax val="0"/>
  </c:chart>
  <c:spPr>
    <a:noFill/>
    <a:ln>
      <a:noFill/>
    </a:ln>
  </c:spPr>
  <c:txPr>
    <a:bodyPr/>
    <a:lstStyle/>
    <a:p>
      <a:pPr>
        <a:defRPr sz="800">
          <a:latin typeface="Garamond" panose="02020404030301010803" pitchFamily="18" charset="0"/>
          <a:cs typeface="Cambria"/>
        </a:defRPr>
      </a:pPr>
      <a:endParaRPr lang="es-C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'P21'!$B$1</c:f>
              <c:strCache>
                <c:ptCount val="1"/>
                <c:pt idx="0">
                  <c:v>%</c:v>
                </c:pt>
              </c:strCache>
            </c:strRef>
          </c:tx>
          <c:invertIfNegative val="0"/>
          <c:dLbls>
            <c:dLbl>
              <c:idx val="0"/>
              <c:layout>
                <c:manualLayout>
                  <c:x val="4.4444444444444398E-2"/>
                  <c:y val="-5.5555555555555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DA-4E3D-8D0B-0971C5C1CD20}"/>
                </c:ext>
              </c:extLst>
            </c:dLbl>
            <c:dLbl>
              <c:idx val="1"/>
              <c:layout>
                <c:manualLayout>
                  <c:x val="4.9999999999999899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DA-4E3D-8D0B-0971C5C1CD20}"/>
                </c:ext>
              </c:extLst>
            </c:dLbl>
            <c:spPr>
              <a:noFill/>
              <a:ln>
                <a:noFill/>
              </a:ln>
              <a:effectLst/>
            </c:spPr>
            <c:txPr>
              <a:bodyPr wrap="square" lIns="38100" tIns="19050" rIns="38100" bIns="19050" anchor="ctr">
                <a:spAutoFit/>
              </a:bodyPr>
              <a:lstStyle/>
              <a:p>
                <a:pPr>
                  <a:defRPr>
                    <a:latin typeface="Garamond" panose="02020404030301010803"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'P21'!$A$2:$A$3</c:f>
              <c:strCache>
                <c:ptCount val="2"/>
                <c:pt idx="0">
                  <c:v>Si</c:v>
                </c:pt>
                <c:pt idx="1">
                  <c:v>No</c:v>
                </c:pt>
              </c:strCache>
            </c:strRef>
          </c:cat>
          <c:val>
            <c:numRef>
              <c:f>'P21'!$B$2:$B$3</c:f>
              <c:numCache>
                <c:formatCode>0%</c:formatCode>
                <c:ptCount val="2"/>
                <c:pt idx="0">
                  <c:v>0.46452944478909203</c:v>
                </c:pt>
                <c:pt idx="1">
                  <c:v>0.53547055521090703</c:v>
                </c:pt>
              </c:numCache>
            </c:numRef>
          </c:val>
          <c:extLst>
            <c:ext xmlns:c16="http://schemas.microsoft.com/office/drawing/2014/chart" uri="{C3380CC4-5D6E-409C-BE32-E72D297353CC}">
              <c16:uniqueId val="{00000002-2CDA-4E3D-8D0B-0971C5C1CD20}"/>
            </c:ext>
          </c:extLst>
        </c:ser>
        <c:dLbls>
          <c:showLegendKey val="0"/>
          <c:showVal val="0"/>
          <c:showCatName val="0"/>
          <c:showSerName val="0"/>
          <c:showPercent val="0"/>
          <c:showBubbleSize val="0"/>
        </c:dLbls>
        <c:gapWidth val="150"/>
        <c:shape val="box"/>
        <c:axId val="2091764536"/>
        <c:axId val="2091767640"/>
        <c:axId val="0"/>
      </c:bar3DChart>
      <c:catAx>
        <c:axId val="2091764536"/>
        <c:scaling>
          <c:orientation val="minMax"/>
        </c:scaling>
        <c:delete val="0"/>
        <c:axPos val="b"/>
        <c:numFmt formatCode="General" sourceLinked="0"/>
        <c:majorTickMark val="out"/>
        <c:minorTickMark val="none"/>
        <c:tickLblPos val="nextTo"/>
        <c:txPr>
          <a:bodyPr/>
          <a:lstStyle/>
          <a:p>
            <a:pPr>
              <a:defRPr>
                <a:latin typeface="Garamond" panose="02020404030301010803" pitchFamily="18" charset="0"/>
              </a:defRPr>
            </a:pPr>
            <a:endParaRPr lang="es-CO"/>
          </a:p>
        </c:txPr>
        <c:crossAx val="2091767640"/>
        <c:crosses val="autoZero"/>
        <c:auto val="1"/>
        <c:lblAlgn val="ctr"/>
        <c:lblOffset val="100"/>
        <c:noMultiLvlLbl val="0"/>
      </c:catAx>
      <c:valAx>
        <c:axId val="2091767640"/>
        <c:scaling>
          <c:orientation val="minMax"/>
        </c:scaling>
        <c:delete val="1"/>
        <c:axPos val="l"/>
        <c:numFmt formatCode="0%" sourceLinked="1"/>
        <c:majorTickMark val="out"/>
        <c:minorTickMark val="none"/>
        <c:tickLblPos val="nextTo"/>
        <c:crossAx val="2091764536"/>
        <c:crosses val="autoZero"/>
        <c:crossBetween val="between"/>
      </c:valAx>
      <c:spPr>
        <a:noFill/>
        <a:ln w="25400">
          <a:noFill/>
        </a:ln>
      </c:spPr>
    </c:plotArea>
    <c:plotVisOnly val="1"/>
    <c:dispBlanksAs val="gap"/>
    <c:showDLblsOverMax val="0"/>
  </c:chart>
  <c:spPr>
    <a:noFill/>
    <a:ln>
      <a:noFill/>
    </a:ln>
  </c:spPr>
  <c:txPr>
    <a:bodyPr/>
    <a:lstStyle/>
    <a:p>
      <a:pPr>
        <a:defRPr sz="800">
          <a:latin typeface="Cambria"/>
          <a:cs typeface="Cambria"/>
        </a:defRPr>
      </a:pPr>
      <a:endParaRPr lang="es-C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794916358896399E-2"/>
          <c:y val="0"/>
          <c:w val="0.90441016728220702"/>
          <c:h val="0.80100209596102701"/>
        </c:manualLayout>
      </c:layout>
      <c:barChart>
        <c:barDir val="col"/>
        <c:grouping val="stacked"/>
        <c:varyColors val="0"/>
        <c:ser>
          <c:idx val="0"/>
          <c:order val="0"/>
          <c:tx>
            <c:strRef>
              <c:f>'consolidado '!$J$2</c:f>
              <c:strCache>
                <c:ptCount val="1"/>
                <c:pt idx="0">
                  <c:v>Niños o niñas</c:v>
                </c:pt>
              </c:strCache>
            </c:strRef>
          </c:tx>
          <c:spPr>
            <a:solidFill>
              <a:schemeClr val="tx2">
                <a:lumMod val="20000"/>
                <a:lumOff val="80000"/>
              </a:schemeClr>
            </a:solidFill>
            <a:ln>
              <a:noFill/>
            </a:ln>
            <a:effectLst/>
          </c:spPr>
          <c:invertIfNegative val="0"/>
          <c:dLbls>
            <c:dLbl>
              <c:idx val="2"/>
              <c:layout>
                <c:manualLayout>
                  <c:x val="-3.9828636861935302E-17"/>
                  <c:y val="7.19424460431654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1F-3249-A1FD-9F2E31F1D580}"/>
                </c:ext>
              </c:extLst>
            </c:dLbl>
            <c:dLbl>
              <c:idx val="3"/>
              <c:layout>
                <c:manualLayout>
                  <c:x val="-4.3449923962633101E-3"/>
                  <c:y val="7.19424460431654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1F-3249-A1FD-9F2E31F1D580}"/>
                </c:ext>
              </c:extLst>
            </c:dLbl>
            <c:dLbl>
              <c:idx val="5"/>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extLst>
                <c:ext xmlns:c16="http://schemas.microsoft.com/office/drawing/2014/chart" uri="{C3380CC4-5D6E-409C-BE32-E72D297353CC}">
                  <c16:uniqueId val="{00000000-A877-EA49-9661-1911C289FE75}"/>
                </c:ext>
              </c:extLst>
            </c:dLbl>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'!$I$3:$I$9</c:f>
              <c:strCache>
                <c:ptCount val="7"/>
                <c:pt idx="0">
                  <c:v>Estrato 1</c:v>
                </c:pt>
                <c:pt idx="1">
                  <c:v>Estrato 2</c:v>
                </c:pt>
                <c:pt idx="2">
                  <c:v>Estrato 3</c:v>
                </c:pt>
                <c:pt idx="3">
                  <c:v>Estrato 4</c:v>
                </c:pt>
                <c:pt idx="4">
                  <c:v>Estrato 5</c:v>
                </c:pt>
                <c:pt idx="5">
                  <c:v>Estrato 6</c:v>
                </c:pt>
                <c:pt idx="6">
                  <c:v> Bogotá </c:v>
                </c:pt>
              </c:strCache>
            </c:strRef>
          </c:cat>
          <c:val>
            <c:numRef>
              <c:f>'consolidado '!$J$3:$J$9</c:f>
              <c:numCache>
                <c:formatCode>0.0%</c:formatCode>
                <c:ptCount val="7"/>
                <c:pt idx="0">
                  <c:v>0.58837522244010398</c:v>
                </c:pt>
                <c:pt idx="1">
                  <c:v>0.51477968996654699</c:v>
                </c:pt>
                <c:pt idx="2">
                  <c:v>0.31032990705072</c:v>
                </c:pt>
                <c:pt idx="3">
                  <c:v>0.28142069877269499</c:v>
                </c:pt>
                <c:pt idx="4">
                  <c:v>0.30204402161099397</c:v>
                </c:pt>
                <c:pt idx="5">
                  <c:v>0.140965750547772</c:v>
                </c:pt>
                <c:pt idx="6">
                  <c:v>0.41605670132745098</c:v>
                </c:pt>
              </c:numCache>
            </c:numRef>
          </c:val>
          <c:extLst>
            <c:ext xmlns:c16="http://schemas.microsoft.com/office/drawing/2014/chart" uri="{C3380CC4-5D6E-409C-BE32-E72D297353CC}">
              <c16:uniqueId val="{00000003-9C1F-3249-A1FD-9F2E31F1D580}"/>
            </c:ext>
          </c:extLst>
        </c:ser>
        <c:ser>
          <c:idx val="1"/>
          <c:order val="1"/>
          <c:tx>
            <c:strRef>
              <c:f>'consolidado '!$K$2</c:f>
              <c:strCache>
                <c:ptCount val="1"/>
                <c:pt idx="0">
                  <c:v> Adolescentes  </c:v>
                </c:pt>
              </c:strCache>
            </c:strRef>
          </c:tx>
          <c:spPr>
            <a:solidFill>
              <a:schemeClr val="tx2">
                <a:lumMod val="40000"/>
                <a:lumOff val="60000"/>
              </a:schemeClr>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extLst>
                <c:ext xmlns:c16="http://schemas.microsoft.com/office/drawing/2014/chart" uri="{C3380CC4-5D6E-409C-BE32-E72D297353CC}">
                  <c16:uniqueId val="{00000001-A877-EA49-9661-1911C289FE75}"/>
                </c:ext>
              </c:extLst>
            </c:dLbl>
            <c:dLbl>
              <c:idx val="5"/>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extLst>
                <c:ext xmlns:c16="http://schemas.microsoft.com/office/drawing/2014/chart" uri="{C3380CC4-5D6E-409C-BE32-E72D297353CC}">
                  <c16:uniqueId val="{00000002-A877-EA49-9661-1911C289FE75}"/>
                </c:ext>
              </c:extLst>
            </c:dLbl>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'!$I$3:$I$9</c:f>
              <c:strCache>
                <c:ptCount val="7"/>
                <c:pt idx="0">
                  <c:v>Estrato 1</c:v>
                </c:pt>
                <c:pt idx="1">
                  <c:v>Estrato 2</c:v>
                </c:pt>
                <c:pt idx="2">
                  <c:v>Estrato 3</c:v>
                </c:pt>
                <c:pt idx="3">
                  <c:v>Estrato 4</c:v>
                </c:pt>
                <c:pt idx="4">
                  <c:v>Estrato 5</c:v>
                </c:pt>
                <c:pt idx="5">
                  <c:v>Estrato 6</c:v>
                </c:pt>
                <c:pt idx="6">
                  <c:v> Bogotá </c:v>
                </c:pt>
              </c:strCache>
            </c:strRef>
          </c:cat>
          <c:val>
            <c:numRef>
              <c:f>'consolidado '!$K$3:$K$9</c:f>
              <c:numCache>
                <c:formatCode>0.0%</c:formatCode>
                <c:ptCount val="7"/>
                <c:pt idx="0">
                  <c:v>0.27166838687044198</c:v>
                </c:pt>
                <c:pt idx="1">
                  <c:v>0.31738559767824298</c:v>
                </c:pt>
                <c:pt idx="2">
                  <c:v>0.18382146550946801</c:v>
                </c:pt>
                <c:pt idx="3">
                  <c:v>0.187450184373015</c:v>
                </c:pt>
                <c:pt idx="4">
                  <c:v>8.6920982353054899E-2</c:v>
                </c:pt>
                <c:pt idx="5">
                  <c:v>0.103889204377089</c:v>
                </c:pt>
                <c:pt idx="6">
                  <c:v>0.24526580006194801</c:v>
                </c:pt>
              </c:numCache>
            </c:numRef>
          </c:val>
          <c:extLst>
            <c:ext xmlns:c16="http://schemas.microsoft.com/office/drawing/2014/chart" uri="{C3380CC4-5D6E-409C-BE32-E72D297353CC}">
              <c16:uniqueId val="{00000006-9C1F-3249-A1FD-9F2E31F1D580}"/>
            </c:ext>
          </c:extLst>
        </c:ser>
        <c:ser>
          <c:idx val="2"/>
          <c:order val="2"/>
          <c:tx>
            <c:strRef>
              <c:f>'consolidado '!$L$2</c:f>
              <c:strCache>
                <c:ptCount val="1"/>
                <c:pt idx="0">
                  <c:v> Jóvenes </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'!$I$3:$I$9</c:f>
              <c:strCache>
                <c:ptCount val="7"/>
                <c:pt idx="0">
                  <c:v>Estrato 1</c:v>
                </c:pt>
                <c:pt idx="1">
                  <c:v>Estrato 2</c:v>
                </c:pt>
                <c:pt idx="2">
                  <c:v>Estrato 3</c:v>
                </c:pt>
                <c:pt idx="3">
                  <c:v>Estrato 4</c:v>
                </c:pt>
                <c:pt idx="4">
                  <c:v>Estrato 5</c:v>
                </c:pt>
                <c:pt idx="5">
                  <c:v>Estrato 6</c:v>
                </c:pt>
                <c:pt idx="6">
                  <c:v> Bogotá </c:v>
                </c:pt>
              </c:strCache>
            </c:strRef>
          </c:cat>
          <c:val>
            <c:numRef>
              <c:f>'consolidado '!$L$3:$L$9</c:f>
              <c:numCache>
                <c:formatCode>0.0%</c:formatCode>
                <c:ptCount val="7"/>
                <c:pt idx="0">
                  <c:v>0.5828265411411</c:v>
                </c:pt>
                <c:pt idx="1">
                  <c:v>0.63245640895671895</c:v>
                </c:pt>
                <c:pt idx="2">
                  <c:v>0.59229675230479395</c:v>
                </c:pt>
                <c:pt idx="3">
                  <c:v>0.50854668634788103</c:v>
                </c:pt>
                <c:pt idx="4">
                  <c:v>0.51585408394653298</c:v>
                </c:pt>
                <c:pt idx="5">
                  <c:v>0.56447357474598703</c:v>
                </c:pt>
                <c:pt idx="6">
                  <c:v>0.599080370818313</c:v>
                </c:pt>
              </c:numCache>
            </c:numRef>
          </c:val>
          <c:extLst>
            <c:ext xmlns:c16="http://schemas.microsoft.com/office/drawing/2014/chart" uri="{C3380CC4-5D6E-409C-BE32-E72D297353CC}">
              <c16:uniqueId val="{00000007-9C1F-3249-A1FD-9F2E31F1D580}"/>
            </c:ext>
          </c:extLst>
        </c:ser>
        <c:ser>
          <c:idx val="3"/>
          <c:order val="3"/>
          <c:tx>
            <c:strRef>
              <c:f>'consolidado '!$M$2</c:f>
              <c:strCache>
                <c:ptCount val="1"/>
                <c:pt idx="0">
                  <c:v>Adultos</c:v>
                </c:pt>
              </c:strCache>
            </c:strRef>
          </c:tx>
          <c:spPr>
            <a:solidFill>
              <a:srgbClr val="00B0F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'!$I$3:$I$9</c:f>
              <c:strCache>
                <c:ptCount val="7"/>
                <c:pt idx="0">
                  <c:v>Estrato 1</c:v>
                </c:pt>
                <c:pt idx="1">
                  <c:v>Estrato 2</c:v>
                </c:pt>
                <c:pt idx="2">
                  <c:v>Estrato 3</c:v>
                </c:pt>
                <c:pt idx="3">
                  <c:v>Estrato 4</c:v>
                </c:pt>
                <c:pt idx="4">
                  <c:v>Estrato 5</c:v>
                </c:pt>
                <c:pt idx="5">
                  <c:v>Estrato 6</c:v>
                </c:pt>
                <c:pt idx="6">
                  <c:v> Bogotá </c:v>
                </c:pt>
              </c:strCache>
            </c:strRef>
          </c:cat>
          <c:val>
            <c:numRef>
              <c:f>'consolidado '!$M$3:$M$9</c:f>
              <c:numCache>
                <c:formatCode>0.0%</c:formatCode>
                <c:ptCount val="7"/>
                <c:pt idx="0">
                  <c:v>0.771028344417519</c:v>
                </c:pt>
                <c:pt idx="1">
                  <c:v>0.78280377158441306</c:v>
                </c:pt>
                <c:pt idx="2">
                  <c:v>0.86530227278485605</c:v>
                </c:pt>
                <c:pt idx="3">
                  <c:v>0.796161271960244</c:v>
                </c:pt>
                <c:pt idx="4">
                  <c:v>0.89638176223426302</c:v>
                </c:pt>
                <c:pt idx="5">
                  <c:v>0.81004428094622705</c:v>
                </c:pt>
                <c:pt idx="6">
                  <c:v>0.81517689888197598</c:v>
                </c:pt>
              </c:numCache>
            </c:numRef>
          </c:val>
          <c:extLst>
            <c:ext xmlns:c16="http://schemas.microsoft.com/office/drawing/2014/chart" uri="{C3380CC4-5D6E-409C-BE32-E72D297353CC}">
              <c16:uniqueId val="{00000008-9C1F-3249-A1FD-9F2E31F1D580}"/>
            </c:ext>
          </c:extLst>
        </c:ser>
        <c:ser>
          <c:idx val="4"/>
          <c:order val="4"/>
          <c:tx>
            <c:strRef>
              <c:f>'consolidado '!$N$2</c:f>
              <c:strCache>
                <c:ptCount val="1"/>
                <c:pt idx="0">
                  <c:v>Adultos mayores</c:v>
                </c:pt>
              </c:strCache>
            </c:strRef>
          </c:tx>
          <c:spPr>
            <a:solidFill>
              <a:schemeClr val="accent1">
                <a:lumMod val="7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'!$I$3:$I$9</c:f>
              <c:strCache>
                <c:ptCount val="7"/>
                <c:pt idx="0">
                  <c:v>Estrato 1</c:v>
                </c:pt>
                <c:pt idx="1">
                  <c:v>Estrato 2</c:v>
                </c:pt>
                <c:pt idx="2">
                  <c:v>Estrato 3</c:v>
                </c:pt>
                <c:pt idx="3">
                  <c:v>Estrato 4</c:v>
                </c:pt>
                <c:pt idx="4">
                  <c:v>Estrato 5</c:v>
                </c:pt>
                <c:pt idx="5">
                  <c:v>Estrato 6</c:v>
                </c:pt>
                <c:pt idx="6">
                  <c:v> Bogotá </c:v>
                </c:pt>
              </c:strCache>
            </c:strRef>
          </c:cat>
          <c:val>
            <c:numRef>
              <c:f>'consolidado '!$N$3:$N$9</c:f>
              <c:numCache>
                <c:formatCode>0.0%</c:formatCode>
                <c:ptCount val="7"/>
                <c:pt idx="0">
                  <c:v>0.26757015334594603</c:v>
                </c:pt>
                <c:pt idx="1">
                  <c:v>0.26539779371164401</c:v>
                </c:pt>
                <c:pt idx="2">
                  <c:v>0.33038502128220398</c:v>
                </c:pt>
                <c:pt idx="3">
                  <c:v>0.39863506440510998</c:v>
                </c:pt>
                <c:pt idx="4">
                  <c:v>0.27396382583325901</c:v>
                </c:pt>
                <c:pt idx="5">
                  <c:v>0.366050609313742</c:v>
                </c:pt>
                <c:pt idx="6">
                  <c:v>0.30204699665249102</c:v>
                </c:pt>
              </c:numCache>
            </c:numRef>
          </c:val>
          <c:extLst>
            <c:ext xmlns:c16="http://schemas.microsoft.com/office/drawing/2014/chart" uri="{C3380CC4-5D6E-409C-BE32-E72D297353CC}">
              <c16:uniqueId val="{00000009-9C1F-3249-A1FD-9F2E31F1D580}"/>
            </c:ext>
          </c:extLst>
        </c:ser>
        <c:dLbls>
          <c:showLegendKey val="0"/>
          <c:showVal val="0"/>
          <c:showCatName val="0"/>
          <c:showSerName val="0"/>
          <c:showPercent val="0"/>
          <c:showBubbleSize val="0"/>
        </c:dLbls>
        <c:gapWidth val="150"/>
        <c:overlap val="100"/>
        <c:axId val="2090088328"/>
        <c:axId val="2090084120"/>
      </c:barChart>
      <c:catAx>
        <c:axId val="2090088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090084120"/>
        <c:crosses val="autoZero"/>
        <c:auto val="1"/>
        <c:lblAlgn val="ctr"/>
        <c:lblOffset val="100"/>
        <c:noMultiLvlLbl val="0"/>
      </c:catAx>
      <c:valAx>
        <c:axId val="2090084120"/>
        <c:scaling>
          <c:orientation val="minMax"/>
        </c:scaling>
        <c:delete val="1"/>
        <c:axPos val="l"/>
        <c:numFmt formatCode="0.0%" sourceLinked="1"/>
        <c:majorTickMark val="none"/>
        <c:minorTickMark val="none"/>
        <c:tickLblPos val="nextTo"/>
        <c:crossAx val="2090088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187830687830701E-2"/>
          <c:y val="8.0645161290322596E-3"/>
          <c:w val="0.96362433862433905"/>
          <c:h val="0.75465556887781504"/>
        </c:manualLayout>
      </c:layout>
      <c:barChart>
        <c:barDir val="col"/>
        <c:grouping val="stacked"/>
        <c:varyColors val="0"/>
        <c:ser>
          <c:idx val="0"/>
          <c:order val="0"/>
          <c:tx>
            <c:strRef>
              <c:f>'P16.1Niños'!$O$52</c:f>
              <c:strCache>
                <c:ptCount val="1"/>
                <c:pt idx="0">
                  <c:v>Hogares con niños o niñas</c:v>
                </c:pt>
              </c:strCache>
            </c:strRef>
          </c:tx>
          <c:spPr>
            <a:solidFill>
              <a:schemeClr val="accent1"/>
            </a:solidFill>
            <a:ln>
              <a:noFill/>
            </a:ln>
            <a:effectLst/>
          </c:spPr>
          <c:invertIfNegative val="0"/>
          <c:dPt>
            <c:idx val="6"/>
            <c:invertIfNegative val="0"/>
            <c:bubble3D val="0"/>
            <c:spPr>
              <a:solidFill>
                <a:srgbClr val="00B0F0"/>
              </a:solidFill>
              <a:ln>
                <a:noFill/>
              </a:ln>
              <a:effectLst/>
            </c:spPr>
            <c:extLst>
              <c:ext xmlns:c16="http://schemas.microsoft.com/office/drawing/2014/chart" uri="{C3380CC4-5D6E-409C-BE32-E72D297353CC}">
                <c16:uniqueId val="{00000006-0D0F-834D-BF60-06B8CD767991}"/>
              </c:ext>
            </c:extLst>
          </c:dPt>
          <c:dLbls>
            <c:dLbl>
              <c:idx val="0"/>
              <c:layout>
                <c:manualLayout>
                  <c:x val="0"/>
                  <c:y val="-0.362663180987026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0F-834D-BF60-06B8CD767991}"/>
                </c:ext>
              </c:extLst>
            </c:dLbl>
            <c:dLbl>
              <c:idx val="1"/>
              <c:layout>
                <c:manualLayout>
                  <c:x val="2.14390175397815E-3"/>
                  <c:y val="-0.3217581857806379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1258548585485855"/>
                      <c:h val="6.7104298871399085E-2"/>
                    </c:manualLayout>
                  </c15:layout>
                </c:ext>
                <c:ext xmlns:c16="http://schemas.microsoft.com/office/drawing/2014/chart" uri="{C3380CC4-5D6E-409C-BE32-E72D297353CC}">
                  <c16:uniqueId val="{00000001-0D0F-834D-BF60-06B8CD767991}"/>
                </c:ext>
              </c:extLst>
            </c:dLbl>
            <c:dLbl>
              <c:idx val="2"/>
              <c:layout>
                <c:manualLayout>
                  <c:x val="0"/>
                  <c:y val="-0.21256764114592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0F-834D-BF60-06B8CD767991}"/>
                </c:ext>
              </c:extLst>
            </c:dLbl>
            <c:dLbl>
              <c:idx val="3"/>
              <c:layout>
                <c:manualLayout>
                  <c:x val="-2.1440823327615799E-3"/>
                  <c:y val="-0.1904309767130170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0F-834D-BF60-06B8CD767991}"/>
                </c:ext>
              </c:extLst>
            </c:dLbl>
            <c:dLbl>
              <c:idx val="4"/>
              <c:layout>
                <c:manualLayout>
                  <c:x val="-2.1440823327616601E-3"/>
                  <c:y val="-0.2026689981571450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0F-834D-BF60-06B8CD767991}"/>
                </c:ext>
              </c:extLst>
            </c:dLbl>
            <c:dLbl>
              <c:idx val="5"/>
              <c:layout>
                <c:manualLayout>
                  <c:x val="0"/>
                  <c:y val="-9.783422683866649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0F-834D-BF60-06B8CD767991}"/>
                </c:ext>
              </c:extLst>
            </c:dLbl>
            <c:dLbl>
              <c:idx val="6"/>
              <c:layout>
                <c:manualLayout>
                  <c:x val="-2.1440823327615799E-3"/>
                  <c:y val="-0.2730046909029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0F-834D-BF60-06B8CD767991}"/>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'P16.1Niños'!$F$64:$F$70</c:f>
              <c:strCache>
                <c:ptCount val="7"/>
                <c:pt idx="0">
                  <c:v>Estrato 1</c:v>
                </c:pt>
                <c:pt idx="1">
                  <c:v>Estrato 2</c:v>
                </c:pt>
                <c:pt idx="2">
                  <c:v>Estrato 3</c:v>
                </c:pt>
                <c:pt idx="3">
                  <c:v>Estrato 4</c:v>
                </c:pt>
                <c:pt idx="4">
                  <c:v>Estrato 5</c:v>
                </c:pt>
                <c:pt idx="5">
                  <c:v>Estrato 6</c:v>
                </c:pt>
                <c:pt idx="6">
                  <c:v> Bogotá </c:v>
                </c:pt>
              </c:strCache>
            </c:strRef>
          </c:cat>
          <c:val>
            <c:numRef>
              <c:f>'P16.1Niños'!$O$53:$O$59</c:f>
              <c:numCache>
                <c:formatCode>0.0%</c:formatCode>
                <c:ptCount val="7"/>
                <c:pt idx="0">
                  <c:v>0.58837522244010398</c:v>
                </c:pt>
                <c:pt idx="1">
                  <c:v>0.51477968996654699</c:v>
                </c:pt>
                <c:pt idx="2">
                  <c:v>0.31032990705072</c:v>
                </c:pt>
                <c:pt idx="3">
                  <c:v>0.28142069877269499</c:v>
                </c:pt>
                <c:pt idx="4">
                  <c:v>0.30204402161099397</c:v>
                </c:pt>
                <c:pt idx="5">
                  <c:v>0.140965750547772</c:v>
                </c:pt>
                <c:pt idx="6">
                  <c:v>0.41605670132745098</c:v>
                </c:pt>
              </c:numCache>
            </c:numRef>
          </c:val>
          <c:extLst>
            <c:ext xmlns:c16="http://schemas.microsoft.com/office/drawing/2014/chart" uri="{C3380CC4-5D6E-409C-BE32-E72D297353CC}">
              <c16:uniqueId val="{00000007-0D0F-834D-BF60-06B8CD767991}"/>
            </c:ext>
          </c:extLst>
        </c:ser>
        <c:dLbls>
          <c:showLegendKey val="0"/>
          <c:showVal val="0"/>
          <c:showCatName val="0"/>
          <c:showSerName val="0"/>
          <c:showPercent val="0"/>
          <c:showBubbleSize val="0"/>
        </c:dLbls>
        <c:gapWidth val="150"/>
        <c:overlap val="100"/>
        <c:axId val="2056879816"/>
        <c:axId val="2056883384"/>
      </c:barChart>
      <c:catAx>
        <c:axId val="2056879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056883384"/>
        <c:crosses val="autoZero"/>
        <c:auto val="1"/>
        <c:lblAlgn val="ctr"/>
        <c:lblOffset val="100"/>
        <c:noMultiLvlLbl val="0"/>
      </c:catAx>
      <c:valAx>
        <c:axId val="2056883384"/>
        <c:scaling>
          <c:orientation val="minMax"/>
        </c:scaling>
        <c:delete val="1"/>
        <c:axPos val="l"/>
        <c:numFmt formatCode="0.0%" sourceLinked="1"/>
        <c:majorTickMark val="none"/>
        <c:minorTickMark val="none"/>
        <c:tickLblPos val="nextTo"/>
        <c:crossAx val="20568798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'P16.1Niños'!$T$26</c:f>
              <c:strCache>
                <c:ptCount val="1"/>
                <c:pt idx="0">
                  <c:v> Hogares con niños o niñas </c:v>
                </c:pt>
              </c:strCache>
            </c:strRef>
          </c:tx>
          <c:spPr>
            <a:solidFill>
              <a:schemeClr val="accent1"/>
            </a:solidFill>
            <a:ln>
              <a:noFill/>
            </a:ln>
            <a:effectLst/>
          </c:spPr>
          <c:invertIfNegative val="0"/>
          <c:dLbls>
            <c:dLbl>
              <c:idx val="0"/>
              <c:layout>
                <c:manualLayout>
                  <c:x val="8.9938499384993903E-2"/>
                  <c:y val="-1.131674169601779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3C-AD42-B79D-162C64751562}"/>
                </c:ext>
              </c:extLst>
            </c:dLbl>
            <c:dLbl>
              <c:idx val="1"/>
              <c:layout>
                <c:manualLayout>
                  <c:x val="0.1344622328113050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A3C-AD42-B79D-162C64751562}"/>
                </c:ext>
              </c:extLst>
            </c:dLbl>
            <c:dLbl>
              <c:idx val="2"/>
              <c:layout>
                <c:manualLayout>
                  <c:x val="0.13783382243271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A3C-AD42-B79D-162C64751562}"/>
                </c:ext>
              </c:extLst>
            </c:dLbl>
            <c:dLbl>
              <c:idx val="3"/>
              <c:layout>
                <c:manualLayout>
                  <c:x val="0.14539985084890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A3C-AD42-B79D-162C64751562}"/>
                </c:ext>
              </c:extLst>
            </c:dLbl>
            <c:dLbl>
              <c:idx val="4"/>
              <c:layout>
                <c:manualLayout>
                  <c:x val="0.15414126739692599"/>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A3C-AD42-B79D-162C64751562}"/>
                </c:ext>
              </c:extLst>
            </c:dLbl>
            <c:dLbl>
              <c:idx val="5"/>
              <c:layout>
                <c:manualLayout>
                  <c:x val="0.1525866093306600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A3C-AD42-B79D-162C64751562}"/>
                </c:ext>
              </c:extLst>
            </c:dLbl>
            <c:dLbl>
              <c:idx val="6"/>
              <c:layout>
                <c:manualLayout>
                  <c:x val="0.17006208172317899"/>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A3C-AD42-B79D-162C64751562}"/>
                </c:ext>
              </c:extLst>
            </c:dLbl>
            <c:dLbl>
              <c:idx val="7"/>
              <c:layout>
                <c:manualLayout>
                  <c:x val="0.17460286098923999"/>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A3C-AD42-B79D-162C64751562}"/>
                </c:ext>
              </c:extLst>
            </c:dLbl>
            <c:dLbl>
              <c:idx val="8"/>
              <c:layout>
                <c:manualLayout>
                  <c:x val="0.17738598173383299"/>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A3C-AD42-B79D-162C64751562}"/>
                </c:ext>
              </c:extLst>
            </c:dLbl>
            <c:dLbl>
              <c:idx val="9"/>
              <c:layout>
                <c:manualLayout>
                  <c:x val="0.18249314776612299"/>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A3C-AD42-B79D-162C64751562}"/>
                </c:ext>
              </c:extLst>
            </c:dLbl>
            <c:dLbl>
              <c:idx val="10"/>
              <c:layout>
                <c:manualLayout>
                  <c:x val="0.18566522358137"/>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A3C-AD42-B79D-162C64751562}"/>
                </c:ext>
              </c:extLst>
            </c:dLbl>
            <c:dLbl>
              <c:idx val="11"/>
              <c:layout>
                <c:manualLayout>
                  <c:x val="0.18410165518978"/>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A3C-AD42-B79D-162C64751562}"/>
                </c:ext>
              </c:extLst>
            </c:dLbl>
            <c:dLbl>
              <c:idx val="12"/>
              <c:layout>
                <c:manualLayout>
                  <c:x val="0.18956213499142899"/>
                  <c:y val="3.0864197530864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A3C-AD42-B79D-162C64751562}"/>
                </c:ext>
              </c:extLst>
            </c:dLbl>
            <c:dLbl>
              <c:idx val="13"/>
              <c:layout>
                <c:manualLayout>
                  <c:x val="0.196539307125355"/>
                  <c:y val="3.0864197530864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3C-AD42-B79D-162C64751562}"/>
                </c:ext>
              </c:extLst>
            </c:dLbl>
            <c:dLbl>
              <c:idx val="14"/>
              <c:layout>
                <c:manualLayout>
                  <c:x val="0.2022438523597830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3C-AD42-B79D-162C64751562}"/>
                </c:ext>
              </c:extLst>
            </c:dLbl>
            <c:dLbl>
              <c:idx val="15"/>
              <c:layout>
                <c:manualLayout>
                  <c:x val="0.209737823362486"/>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3C-AD42-B79D-162C64751562}"/>
                </c:ext>
              </c:extLst>
            </c:dLbl>
            <c:dLbl>
              <c:idx val="16"/>
              <c:layout>
                <c:manualLayout>
                  <c:x val="0.218774442862539"/>
                  <c:y val="3.086419753086390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3C-AD42-B79D-162C64751562}"/>
                </c:ext>
              </c:extLst>
            </c:dLbl>
            <c:dLbl>
              <c:idx val="17"/>
              <c:layout>
                <c:manualLayout>
                  <c:x val="0.23238670811904999"/>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3C-AD42-B79D-162C64751562}"/>
                </c:ext>
              </c:extLst>
            </c:dLbl>
            <c:dLbl>
              <c:idx val="18"/>
              <c:layout>
                <c:manualLayout>
                  <c:x val="0.23896214080250999"/>
                  <c:y val="-3.0864197530864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3C-AD42-B79D-162C64751562}"/>
                </c:ext>
              </c:extLst>
            </c:dLbl>
            <c:dLbl>
              <c:idx val="19"/>
              <c:layout>
                <c:manualLayout>
                  <c:x val="0.29790587984619998"/>
                  <c:y val="3.0864197530864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3C-AD42-B79D-162C64751562}"/>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Garamond" panose="02020404030301010803" pitchFamily="18" charset="0"/>
                    <a:ea typeface="+mn-ea"/>
                    <a:cs typeface="+mn-cs"/>
                  </a:defRPr>
                </a:pPr>
                <a:endParaRPr lang="es-C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'P16.1Niños'!$S$27:$S$46</c:f>
              <c:strCache>
                <c:ptCount val="20"/>
                <c:pt idx="0">
                  <c:v>Usaquén</c:v>
                </c:pt>
                <c:pt idx="1">
                  <c:v>Fontibón</c:v>
                </c:pt>
                <c:pt idx="2">
                  <c:v>Teusaquillo</c:v>
                </c:pt>
                <c:pt idx="3">
                  <c:v>Chapinero</c:v>
                </c:pt>
                <c:pt idx="4">
                  <c:v>Suba</c:v>
                </c:pt>
                <c:pt idx="5">
                  <c:v>Barrios Unidos</c:v>
                </c:pt>
                <c:pt idx="6">
                  <c:v>Los Mártires</c:v>
                </c:pt>
                <c:pt idx="7">
                  <c:v>Puente Aranda</c:v>
                </c:pt>
                <c:pt idx="8">
                  <c:v>La Candelaria</c:v>
                </c:pt>
                <c:pt idx="9">
                  <c:v>Tunjuelito</c:v>
                </c:pt>
                <c:pt idx="10">
                  <c:v>Kennedy</c:v>
                </c:pt>
                <c:pt idx="11">
                  <c:v>Bosa</c:v>
                </c:pt>
                <c:pt idx="12">
                  <c:v>Antonio Nariño</c:v>
                </c:pt>
                <c:pt idx="13">
                  <c:v>Usme</c:v>
                </c:pt>
                <c:pt idx="14">
                  <c:v>San Cristóbal</c:v>
                </c:pt>
                <c:pt idx="15">
                  <c:v>Engativá</c:v>
                </c:pt>
                <c:pt idx="16">
                  <c:v>Santa Fe</c:v>
                </c:pt>
                <c:pt idx="17">
                  <c:v>Rafael Uribe Uribe</c:v>
                </c:pt>
                <c:pt idx="18">
                  <c:v>Sumapaz</c:v>
                </c:pt>
                <c:pt idx="19">
                  <c:v>Ciudad Bolívar</c:v>
                </c:pt>
              </c:strCache>
            </c:strRef>
          </c:cat>
          <c:val>
            <c:numRef>
              <c:f>'P16.1Niños'!$T$27:$T$46</c:f>
              <c:numCache>
                <c:formatCode>0.0%</c:formatCode>
                <c:ptCount val="20"/>
                <c:pt idx="0">
                  <c:v>0.107999944312221</c:v>
                </c:pt>
                <c:pt idx="1">
                  <c:v>0.25648777715792198</c:v>
                </c:pt>
                <c:pt idx="2">
                  <c:v>0.26170890649891498</c:v>
                </c:pt>
                <c:pt idx="3">
                  <c:v>0.285966987457697</c:v>
                </c:pt>
                <c:pt idx="4">
                  <c:v>0.30626171817008802</c:v>
                </c:pt>
                <c:pt idx="5">
                  <c:v>0.31150306030737801</c:v>
                </c:pt>
                <c:pt idx="6">
                  <c:v>0.38529718188904999</c:v>
                </c:pt>
                <c:pt idx="7">
                  <c:v>0.38657577267190502</c:v>
                </c:pt>
                <c:pt idx="8">
                  <c:v>0.39378086733873102</c:v>
                </c:pt>
                <c:pt idx="9">
                  <c:v>0.40973995610882002</c:v>
                </c:pt>
                <c:pt idx="10">
                  <c:v>0.415633575736785</c:v>
                </c:pt>
                <c:pt idx="11">
                  <c:v>0.42090670748891501</c:v>
                </c:pt>
                <c:pt idx="12">
                  <c:v>0.45226339108491598</c:v>
                </c:pt>
                <c:pt idx="13">
                  <c:v>0.46191737819405398</c:v>
                </c:pt>
                <c:pt idx="14">
                  <c:v>0.47586179584420202</c:v>
                </c:pt>
                <c:pt idx="15">
                  <c:v>0.51695251646612095</c:v>
                </c:pt>
                <c:pt idx="16">
                  <c:v>0.55284049620680398</c:v>
                </c:pt>
                <c:pt idx="17">
                  <c:v>0.58989088451812</c:v>
                </c:pt>
                <c:pt idx="18">
                  <c:v>0.60089946419365403</c:v>
                </c:pt>
                <c:pt idx="19">
                  <c:v>0.81689323369651301</c:v>
                </c:pt>
              </c:numCache>
            </c:numRef>
          </c:val>
          <c:extLst>
            <c:ext xmlns:c16="http://schemas.microsoft.com/office/drawing/2014/chart" uri="{C3380CC4-5D6E-409C-BE32-E72D297353CC}">
              <c16:uniqueId val="{00000000-8A3C-AD42-B79D-162C64751562}"/>
            </c:ext>
          </c:extLst>
        </c:ser>
        <c:dLbls>
          <c:showLegendKey val="0"/>
          <c:showVal val="0"/>
          <c:showCatName val="0"/>
          <c:showSerName val="0"/>
          <c:showPercent val="0"/>
          <c:showBubbleSize val="0"/>
        </c:dLbls>
        <c:gapWidth val="150"/>
        <c:overlap val="100"/>
        <c:axId val="2090742792"/>
        <c:axId val="2090746232"/>
      </c:barChart>
      <c:catAx>
        <c:axId val="2090742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090746232"/>
        <c:crosses val="autoZero"/>
        <c:auto val="1"/>
        <c:lblAlgn val="ctr"/>
        <c:lblOffset val="100"/>
        <c:noMultiLvlLbl val="0"/>
      </c:catAx>
      <c:valAx>
        <c:axId val="2090746232"/>
        <c:scaling>
          <c:orientation val="minMax"/>
        </c:scaling>
        <c:delete val="1"/>
        <c:axPos val="b"/>
        <c:numFmt formatCode="0.0%" sourceLinked="1"/>
        <c:majorTickMark val="none"/>
        <c:minorTickMark val="none"/>
        <c:tickLblPos val="nextTo"/>
        <c:crossAx val="20907427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120541205412098E-2"/>
          <c:y val="6.4497214892993301E-2"/>
          <c:w val="0.89175891758917603"/>
          <c:h val="0.67217778516471705"/>
        </c:manualLayout>
      </c:layout>
      <c:barChart>
        <c:barDir val="col"/>
        <c:grouping val="clustered"/>
        <c:varyColors val="0"/>
        <c:ser>
          <c:idx val="0"/>
          <c:order val="0"/>
          <c:tx>
            <c:strRef>
              <c:f>'P16.2Adolescentes'!$G$22</c:f>
              <c:strCache>
                <c:ptCount val="1"/>
                <c:pt idx="0">
                  <c:v> Hogares con adolescentes por estrato </c:v>
                </c:pt>
              </c:strCache>
            </c:strRef>
          </c:tx>
          <c:spPr>
            <a:solidFill>
              <a:schemeClr val="accent1"/>
            </a:solidFill>
            <a:ln>
              <a:noFill/>
            </a:ln>
            <a:effectLst/>
          </c:spPr>
          <c:invertIfNegative val="0"/>
          <c:dPt>
            <c:idx val="6"/>
            <c:invertIfNegative val="0"/>
            <c:bubble3D val="0"/>
            <c:spPr>
              <a:solidFill>
                <a:srgbClr val="00B0F0"/>
              </a:solidFill>
              <a:ln>
                <a:noFill/>
              </a:ln>
              <a:effectLst/>
            </c:spPr>
            <c:extLst>
              <c:ext xmlns:c16="http://schemas.microsoft.com/office/drawing/2014/chart" uri="{C3380CC4-5D6E-409C-BE32-E72D297353CC}">
                <c16:uniqueId val="{00000001-F82A-3A4A-AFEF-7477C38C9B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'P16.2Adolescentes'!$F$23:$F$29</c:f>
              <c:strCache>
                <c:ptCount val="7"/>
                <c:pt idx="0">
                  <c:v>Estrato 1</c:v>
                </c:pt>
                <c:pt idx="1">
                  <c:v>Estrato 2</c:v>
                </c:pt>
                <c:pt idx="2">
                  <c:v>Estrato 3</c:v>
                </c:pt>
                <c:pt idx="3">
                  <c:v>Estrato 4</c:v>
                </c:pt>
                <c:pt idx="4">
                  <c:v>Estrato 5</c:v>
                </c:pt>
                <c:pt idx="5">
                  <c:v>Estrato 6</c:v>
                </c:pt>
                <c:pt idx="6">
                  <c:v> Bogotá </c:v>
                </c:pt>
              </c:strCache>
            </c:strRef>
          </c:cat>
          <c:val>
            <c:numRef>
              <c:f>'P16.2Adolescentes'!$G$23:$G$29</c:f>
              <c:numCache>
                <c:formatCode>0.0%</c:formatCode>
                <c:ptCount val="7"/>
                <c:pt idx="0">
                  <c:v>0.27166838687044198</c:v>
                </c:pt>
                <c:pt idx="1">
                  <c:v>0.31738559767824298</c:v>
                </c:pt>
                <c:pt idx="2">
                  <c:v>0.18382146550946801</c:v>
                </c:pt>
                <c:pt idx="3">
                  <c:v>0.187450184373015</c:v>
                </c:pt>
                <c:pt idx="4">
                  <c:v>8.6920982353054899E-2</c:v>
                </c:pt>
                <c:pt idx="5">
                  <c:v>0.103889204377089</c:v>
                </c:pt>
                <c:pt idx="6">
                  <c:v>0.24526580006194801</c:v>
                </c:pt>
              </c:numCache>
            </c:numRef>
          </c:val>
          <c:extLst>
            <c:ext xmlns:c16="http://schemas.microsoft.com/office/drawing/2014/chart" uri="{C3380CC4-5D6E-409C-BE32-E72D297353CC}">
              <c16:uniqueId val="{00000000-F82A-3A4A-AFEF-7477C38C9B23}"/>
            </c:ext>
          </c:extLst>
        </c:ser>
        <c:dLbls>
          <c:showLegendKey val="0"/>
          <c:showVal val="0"/>
          <c:showCatName val="0"/>
          <c:showSerName val="0"/>
          <c:showPercent val="0"/>
          <c:showBubbleSize val="0"/>
        </c:dLbls>
        <c:gapWidth val="219"/>
        <c:overlap val="-27"/>
        <c:axId val="2056886984"/>
        <c:axId val="2056889576"/>
      </c:barChart>
      <c:catAx>
        <c:axId val="2056886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056889576"/>
        <c:crosses val="autoZero"/>
        <c:auto val="1"/>
        <c:lblAlgn val="ctr"/>
        <c:lblOffset val="100"/>
        <c:noMultiLvlLbl val="0"/>
      </c:catAx>
      <c:valAx>
        <c:axId val="2056889576"/>
        <c:scaling>
          <c:orientation val="minMax"/>
        </c:scaling>
        <c:delete val="1"/>
        <c:axPos val="l"/>
        <c:numFmt formatCode="0.0%" sourceLinked="1"/>
        <c:majorTickMark val="none"/>
        <c:minorTickMark val="none"/>
        <c:tickLblPos val="nextTo"/>
        <c:crossAx val="20568869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296704148143802"/>
          <c:y val="3.8213540977998603E-2"/>
          <c:w val="0.56562551452286203"/>
          <c:h val="0.93829712127148801"/>
        </c:manualLayout>
      </c:layout>
      <c:barChart>
        <c:barDir val="bar"/>
        <c:grouping val="clustered"/>
        <c:varyColors val="0"/>
        <c:ser>
          <c:idx val="0"/>
          <c:order val="0"/>
          <c:tx>
            <c:strRef>
              <c:f>'P16.2Adolescentes'!$H$84</c:f>
              <c:strCache>
                <c:ptCount val="1"/>
                <c:pt idx="0">
                  <c:v> % de hogares por localidad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'P16.2Adolescentes'!$G$85:$G$104</c:f>
              <c:strCache>
                <c:ptCount val="20"/>
                <c:pt idx="0">
                  <c:v>Usme</c:v>
                </c:pt>
                <c:pt idx="1">
                  <c:v>Usaquén</c:v>
                </c:pt>
                <c:pt idx="2">
                  <c:v>Ciudad Bolívar</c:v>
                </c:pt>
                <c:pt idx="3">
                  <c:v>Barrios Unidos</c:v>
                </c:pt>
                <c:pt idx="4">
                  <c:v>Suba</c:v>
                </c:pt>
                <c:pt idx="5">
                  <c:v>Chapinero</c:v>
                </c:pt>
                <c:pt idx="6">
                  <c:v>Antonio Nariño</c:v>
                </c:pt>
                <c:pt idx="7">
                  <c:v>Fontibón</c:v>
                </c:pt>
                <c:pt idx="8">
                  <c:v>Puente Aranda</c:v>
                </c:pt>
                <c:pt idx="9">
                  <c:v>Teusaquillo</c:v>
                </c:pt>
                <c:pt idx="10">
                  <c:v>Los Mártires</c:v>
                </c:pt>
                <c:pt idx="11">
                  <c:v>Rafael Uribe Uribe</c:v>
                </c:pt>
                <c:pt idx="12">
                  <c:v>San Cristóbal</c:v>
                </c:pt>
                <c:pt idx="13">
                  <c:v>Tunjuelito</c:v>
                </c:pt>
                <c:pt idx="14">
                  <c:v>Santa Fe</c:v>
                </c:pt>
                <c:pt idx="15">
                  <c:v>La Candelaria</c:v>
                </c:pt>
                <c:pt idx="16">
                  <c:v>Bosa</c:v>
                </c:pt>
                <c:pt idx="17">
                  <c:v>Sumapaz</c:v>
                </c:pt>
                <c:pt idx="18">
                  <c:v>Engativá</c:v>
                </c:pt>
                <c:pt idx="19">
                  <c:v>Kennedy</c:v>
                </c:pt>
              </c:strCache>
            </c:strRef>
          </c:cat>
          <c:val>
            <c:numRef>
              <c:f>'P16.2Adolescentes'!$H$85:$H$104</c:f>
              <c:numCache>
                <c:formatCode>0.0%</c:formatCode>
                <c:ptCount val="20"/>
                <c:pt idx="0">
                  <c:v>5.19456249317665E-2</c:v>
                </c:pt>
                <c:pt idx="1">
                  <c:v>6.7671563716878796E-2</c:v>
                </c:pt>
                <c:pt idx="2">
                  <c:v>0.114360185905233</c:v>
                </c:pt>
                <c:pt idx="3">
                  <c:v>0.16012802541103799</c:v>
                </c:pt>
                <c:pt idx="4">
                  <c:v>0.17352366910845099</c:v>
                </c:pt>
                <c:pt idx="5">
                  <c:v>0.177310872335043</c:v>
                </c:pt>
                <c:pt idx="6">
                  <c:v>0.19151355037775</c:v>
                </c:pt>
                <c:pt idx="7">
                  <c:v>0.20037948357523799</c:v>
                </c:pt>
                <c:pt idx="8">
                  <c:v>0.21974208067047099</c:v>
                </c:pt>
                <c:pt idx="9">
                  <c:v>0.23096829569664301</c:v>
                </c:pt>
                <c:pt idx="10">
                  <c:v>0.23375195858418801</c:v>
                </c:pt>
                <c:pt idx="11">
                  <c:v>0.25903056798407098</c:v>
                </c:pt>
                <c:pt idx="12">
                  <c:v>0.260977850761691</c:v>
                </c:pt>
                <c:pt idx="13">
                  <c:v>0.261280809971356</c:v>
                </c:pt>
                <c:pt idx="14">
                  <c:v>0.276374316565346</c:v>
                </c:pt>
                <c:pt idx="15">
                  <c:v>0.278273607720672</c:v>
                </c:pt>
                <c:pt idx="16">
                  <c:v>0.29472827334081197</c:v>
                </c:pt>
                <c:pt idx="17">
                  <c:v>0.36524179933263901</c:v>
                </c:pt>
                <c:pt idx="18">
                  <c:v>0.381855928718008</c:v>
                </c:pt>
                <c:pt idx="19">
                  <c:v>0.50733752870392601</c:v>
                </c:pt>
              </c:numCache>
            </c:numRef>
          </c:val>
          <c:extLst>
            <c:ext xmlns:c16="http://schemas.microsoft.com/office/drawing/2014/chart" uri="{C3380CC4-5D6E-409C-BE32-E72D297353CC}">
              <c16:uniqueId val="{00000000-9363-6649-A3BC-D2D334A8A3DA}"/>
            </c:ext>
          </c:extLst>
        </c:ser>
        <c:dLbls>
          <c:showLegendKey val="0"/>
          <c:showVal val="0"/>
          <c:showCatName val="0"/>
          <c:showSerName val="0"/>
          <c:showPercent val="0"/>
          <c:showBubbleSize val="0"/>
        </c:dLbls>
        <c:gapWidth val="182"/>
        <c:axId val="2091571112"/>
        <c:axId val="2091574504"/>
      </c:barChart>
      <c:catAx>
        <c:axId val="2091571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091574504"/>
        <c:crosses val="autoZero"/>
        <c:auto val="1"/>
        <c:lblAlgn val="ctr"/>
        <c:lblOffset val="100"/>
        <c:noMultiLvlLbl val="0"/>
      </c:catAx>
      <c:valAx>
        <c:axId val="2091574504"/>
        <c:scaling>
          <c:orientation val="minMax"/>
        </c:scaling>
        <c:delete val="1"/>
        <c:axPos val="b"/>
        <c:numFmt formatCode="0.0%" sourceLinked="1"/>
        <c:majorTickMark val="none"/>
        <c:minorTickMark val="none"/>
        <c:tickLblPos val="nextTo"/>
        <c:crossAx val="20915711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'P16.3Jovenes'!$G$22</c:f>
              <c:strCache>
                <c:ptCount val="1"/>
                <c:pt idx="0">
                  <c:v> Hogares con jóvenes </c:v>
                </c:pt>
              </c:strCache>
            </c:strRef>
          </c:tx>
          <c:spPr>
            <a:solidFill>
              <a:schemeClr val="accent1"/>
            </a:solidFill>
            <a:ln>
              <a:noFill/>
            </a:ln>
            <a:effectLst/>
          </c:spPr>
          <c:invertIfNegative val="0"/>
          <c:dPt>
            <c:idx val="6"/>
            <c:invertIfNegative val="0"/>
            <c:bubble3D val="0"/>
            <c:spPr>
              <a:solidFill>
                <a:srgbClr val="00B0F0"/>
              </a:solidFill>
              <a:ln>
                <a:noFill/>
              </a:ln>
              <a:effectLst/>
            </c:spPr>
            <c:extLst>
              <c:ext xmlns:c16="http://schemas.microsoft.com/office/drawing/2014/chart" uri="{C3380CC4-5D6E-409C-BE32-E72D297353CC}">
                <c16:uniqueId val="{00000001-67D5-5A45-BFE1-C4E17FCF40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'P16.3Jovenes'!$F$23:$F$29</c:f>
              <c:strCache>
                <c:ptCount val="7"/>
                <c:pt idx="0">
                  <c:v>Estrato 1</c:v>
                </c:pt>
                <c:pt idx="1">
                  <c:v>Estrato 2</c:v>
                </c:pt>
                <c:pt idx="2">
                  <c:v>Estrato 3</c:v>
                </c:pt>
                <c:pt idx="3">
                  <c:v>Estrato 4</c:v>
                </c:pt>
                <c:pt idx="4">
                  <c:v>Estrato 5</c:v>
                </c:pt>
                <c:pt idx="5">
                  <c:v>Estrato 6</c:v>
                </c:pt>
                <c:pt idx="6">
                  <c:v> Bogotá </c:v>
                </c:pt>
              </c:strCache>
            </c:strRef>
          </c:cat>
          <c:val>
            <c:numRef>
              <c:f>'P16.3Jovenes'!$G$23:$G$29</c:f>
              <c:numCache>
                <c:formatCode>0.0%</c:formatCode>
                <c:ptCount val="7"/>
                <c:pt idx="0">
                  <c:v>0.5828265411411</c:v>
                </c:pt>
                <c:pt idx="1">
                  <c:v>0.63245640895671895</c:v>
                </c:pt>
                <c:pt idx="2">
                  <c:v>0.59229675230479395</c:v>
                </c:pt>
                <c:pt idx="3">
                  <c:v>0.50854668634788103</c:v>
                </c:pt>
                <c:pt idx="4">
                  <c:v>0.51585408394653298</c:v>
                </c:pt>
                <c:pt idx="5">
                  <c:v>0.56447357474598703</c:v>
                </c:pt>
                <c:pt idx="6">
                  <c:v>0.599080370818313</c:v>
                </c:pt>
              </c:numCache>
            </c:numRef>
          </c:val>
          <c:extLst>
            <c:ext xmlns:c16="http://schemas.microsoft.com/office/drawing/2014/chart" uri="{C3380CC4-5D6E-409C-BE32-E72D297353CC}">
              <c16:uniqueId val="{00000000-67D5-5A45-BFE1-C4E17FCF408A}"/>
            </c:ext>
          </c:extLst>
        </c:ser>
        <c:dLbls>
          <c:showLegendKey val="0"/>
          <c:showVal val="0"/>
          <c:showCatName val="0"/>
          <c:showSerName val="0"/>
          <c:showPercent val="0"/>
          <c:showBubbleSize val="0"/>
        </c:dLbls>
        <c:gapWidth val="219"/>
        <c:overlap val="-27"/>
        <c:axId val="2090785672"/>
        <c:axId val="2090789064"/>
      </c:barChart>
      <c:catAx>
        <c:axId val="2090785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090789064"/>
        <c:crosses val="autoZero"/>
        <c:auto val="1"/>
        <c:lblAlgn val="ctr"/>
        <c:lblOffset val="100"/>
        <c:noMultiLvlLbl val="0"/>
      </c:catAx>
      <c:valAx>
        <c:axId val="2090789064"/>
        <c:scaling>
          <c:orientation val="minMax"/>
        </c:scaling>
        <c:delete val="1"/>
        <c:axPos val="l"/>
        <c:numFmt formatCode="0.0%" sourceLinked="1"/>
        <c:majorTickMark val="none"/>
        <c:minorTickMark val="none"/>
        <c:tickLblPos val="nextTo"/>
        <c:crossAx val="20907856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'P16.3Jovenes'!$H$81</c:f>
              <c:strCache>
                <c:ptCount val="1"/>
                <c:pt idx="0">
                  <c:v> Porcentaje por localidad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'P16.3Jovenes'!$G$82:$G$101</c:f>
              <c:strCache>
                <c:ptCount val="20"/>
                <c:pt idx="0">
                  <c:v>La Candelaria</c:v>
                </c:pt>
                <c:pt idx="1">
                  <c:v>Fontibón</c:v>
                </c:pt>
                <c:pt idx="2">
                  <c:v>Sumapaz</c:v>
                </c:pt>
                <c:pt idx="3">
                  <c:v>Puente Aranda</c:v>
                </c:pt>
                <c:pt idx="4">
                  <c:v>Suba</c:v>
                </c:pt>
                <c:pt idx="5">
                  <c:v>Teusaquillo</c:v>
                </c:pt>
                <c:pt idx="6">
                  <c:v>Kennedy</c:v>
                </c:pt>
                <c:pt idx="7">
                  <c:v>Tunjuelito</c:v>
                </c:pt>
                <c:pt idx="8">
                  <c:v>San Cristóbal</c:v>
                </c:pt>
                <c:pt idx="9">
                  <c:v>Santa Fe</c:v>
                </c:pt>
                <c:pt idx="10">
                  <c:v>Engativá</c:v>
                </c:pt>
                <c:pt idx="11">
                  <c:v>Antonio Nariño</c:v>
                </c:pt>
                <c:pt idx="12">
                  <c:v>Chapinero</c:v>
                </c:pt>
                <c:pt idx="13">
                  <c:v>Bosa</c:v>
                </c:pt>
                <c:pt idx="14">
                  <c:v>Los Mártires</c:v>
                </c:pt>
                <c:pt idx="15">
                  <c:v>Rafael Uribe Uribe</c:v>
                </c:pt>
                <c:pt idx="16">
                  <c:v>Barrios Unidos</c:v>
                </c:pt>
                <c:pt idx="17">
                  <c:v>Usme</c:v>
                </c:pt>
                <c:pt idx="18">
                  <c:v>Ciudad Bolívar</c:v>
                </c:pt>
                <c:pt idx="19">
                  <c:v>Usaquén</c:v>
                </c:pt>
              </c:strCache>
            </c:strRef>
          </c:cat>
          <c:val>
            <c:numRef>
              <c:f>'P16.3Jovenes'!$H$82:$H$101</c:f>
              <c:numCache>
                <c:formatCode>0.0%</c:formatCode>
                <c:ptCount val="20"/>
                <c:pt idx="0">
                  <c:v>0.462640594765933</c:v>
                </c:pt>
                <c:pt idx="1">
                  <c:v>0.48091586897265098</c:v>
                </c:pt>
                <c:pt idx="2">
                  <c:v>0.48930569735590201</c:v>
                </c:pt>
                <c:pt idx="3">
                  <c:v>0.49275861658367498</c:v>
                </c:pt>
                <c:pt idx="4">
                  <c:v>0.50520236929083695</c:v>
                </c:pt>
                <c:pt idx="5">
                  <c:v>0.50569606353095298</c:v>
                </c:pt>
                <c:pt idx="6">
                  <c:v>0.51965776737428604</c:v>
                </c:pt>
                <c:pt idx="7">
                  <c:v>0.53176397582810397</c:v>
                </c:pt>
                <c:pt idx="8">
                  <c:v>0.55674772030982</c:v>
                </c:pt>
                <c:pt idx="9">
                  <c:v>0.56061384224982203</c:v>
                </c:pt>
                <c:pt idx="10">
                  <c:v>0.58289009342064901</c:v>
                </c:pt>
                <c:pt idx="11">
                  <c:v>0.59255251776493001</c:v>
                </c:pt>
                <c:pt idx="12">
                  <c:v>0.59368144816826296</c:v>
                </c:pt>
                <c:pt idx="13">
                  <c:v>0.59622903322103704</c:v>
                </c:pt>
                <c:pt idx="14">
                  <c:v>0.60155544479605005</c:v>
                </c:pt>
                <c:pt idx="15">
                  <c:v>0.61731724167156099</c:v>
                </c:pt>
                <c:pt idx="16">
                  <c:v>0.61901324790308798</c:v>
                </c:pt>
                <c:pt idx="17">
                  <c:v>0.730401468974335</c:v>
                </c:pt>
                <c:pt idx="18">
                  <c:v>0.83310730111759101</c:v>
                </c:pt>
                <c:pt idx="19">
                  <c:v>0.83340949038218004</c:v>
                </c:pt>
              </c:numCache>
            </c:numRef>
          </c:val>
          <c:extLst>
            <c:ext xmlns:c16="http://schemas.microsoft.com/office/drawing/2014/chart" uri="{C3380CC4-5D6E-409C-BE32-E72D297353CC}">
              <c16:uniqueId val="{00000000-8E3A-C349-8432-FA1F211F6288}"/>
            </c:ext>
          </c:extLst>
        </c:ser>
        <c:dLbls>
          <c:showLegendKey val="0"/>
          <c:showVal val="0"/>
          <c:showCatName val="0"/>
          <c:showSerName val="0"/>
          <c:showPercent val="0"/>
          <c:showBubbleSize val="0"/>
        </c:dLbls>
        <c:gapWidth val="182"/>
        <c:axId val="2091613432"/>
        <c:axId val="2091616824"/>
      </c:barChart>
      <c:catAx>
        <c:axId val="2091613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091616824"/>
        <c:crosses val="autoZero"/>
        <c:auto val="1"/>
        <c:lblAlgn val="ctr"/>
        <c:lblOffset val="100"/>
        <c:noMultiLvlLbl val="0"/>
      </c:catAx>
      <c:valAx>
        <c:axId val="2091616824"/>
        <c:scaling>
          <c:orientation val="minMax"/>
        </c:scaling>
        <c:delete val="1"/>
        <c:axPos val="b"/>
        <c:numFmt formatCode="0.0%" sourceLinked="1"/>
        <c:majorTickMark val="none"/>
        <c:minorTickMark val="none"/>
        <c:tickLblPos val="nextTo"/>
        <c:crossAx val="20916134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'P16.4Adultos'!$H$23</c:f>
              <c:strCache>
                <c:ptCount val="1"/>
                <c:pt idx="0">
                  <c:v>Hogares Familiares con Adultos</c:v>
                </c:pt>
              </c:strCache>
            </c:strRef>
          </c:tx>
          <c:spPr>
            <a:solidFill>
              <a:schemeClr val="accent1"/>
            </a:solidFill>
            <a:ln>
              <a:noFill/>
            </a:ln>
            <a:effectLst/>
          </c:spPr>
          <c:invertIfNegative val="0"/>
          <c:dPt>
            <c:idx val="6"/>
            <c:invertIfNegative val="0"/>
            <c:bubble3D val="0"/>
            <c:spPr>
              <a:solidFill>
                <a:srgbClr val="00B0F0"/>
              </a:solidFill>
              <a:ln>
                <a:noFill/>
              </a:ln>
              <a:effectLst/>
            </c:spPr>
            <c:extLst>
              <c:ext xmlns:c16="http://schemas.microsoft.com/office/drawing/2014/chart" uri="{C3380CC4-5D6E-409C-BE32-E72D297353CC}">
                <c16:uniqueId val="{00000001-339D-FD4E-8ED1-E6B4A8DE438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'P16.4Adultos'!$G$24:$G$30</c:f>
              <c:strCache>
                <c:ptCount val="7"/>
                <c:pt idx="0">
                  <c:v>Estrato 1</c:v>
                </c:pt>
                <c:pt idx="1">
                  <c:v>Estrato 2</c:v>
                </c:pt>
                <c:pt idx="2">
                  <c:v>Estrato 3</c:v>
                </c:pt>
                <c:pt idx="3">
                  <c:v>Estrato 4</c:v>
                </c:pt>
                <c:pt idx="4">
                  <c:v>Estrato 5</c:v>
                </c:pt>
                <c:pt idx="5">
                  <c:v>Estrato 6</c:v>
                </c:pt>
                <c:pt idx="6">
                  <c:v> Bogotá </c:v>
                </c:pt>
              </c:strCache>
            </c:strRef>
          </c:cat>
          <c:val>
            <c:numRef>
              <c:f>'P16.4Adultos'!$H$24:$H$30</c:f>
              <c:numCache>
                <c:formatCode>0.0%</c:formatCode>
                <c:ptCount val="7"/>
                <c:pt idx="0">
                  <c:v>0.771028344417519</c:v>
                </c:pt>
                <c:pt idx="1">
                  <c:v>0.78280377158441306</c:v>
                </c:pt>
                <c:pt idx="2">
                  <c:v>0.86530227278485605</c:v>
                </c:pt>
                <c:pt idx="3">
                  <c:v>0.796161271960244</c:v>
                </c:pt>
                <c:pt idx="4">
                  <c:v>0.89638176223426302</c:v>
                </c:pt>
                <c:pt idx="5">
                  <c:v>0.81004428094622705</c:v>
                </c:pt>
                <c:pt idx="6">
                  <c:v>0.81517689888197598</c:v>
                </c:pt>
              </c:numCache>
            </c:numRef>
          </c:val>
          <c:extLst>
            <c:ext xmlns:c16="http://schemas.microsoft.com/office/drawing/2014/chart" uri="{C3380CC4-5D6E-409C-BE32-E72D297353CC}">
              <c16:uniqueId val="{00000002-339D-FD4E-8ED1-E6B4A8DE4380}"/>
            </c:ext>
          </c:extLst>
        </c:ser>
        <c:dLbls>
          <c:showLegendKey val="0"/>
          <c:showVal val="0"/>
          <c:showCatName val="0"/>
          <c:showSerName val="0"/>
          <c:showPercent val="0"/>
          <c:showBubbleSize val="0"/>
        </c:dLbls>
        <c:gapWidth val="219"/>
        <c:overlap val="-27"/>
        <c:axId val="2091648456"/>
        <c:axId val="2091651848"/>
      </c:barChart>
      <c:catAx>
        <c:axId val="209164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091651848"/>
        <c:crosses val="autoZero"/>
        <c:auto val="1"/>
        <c:lblAlgn val="ctr"/>
        <c:lblOffset val="100"/>
        <c:noMultiLvlLbl val="0"/>
      </c:catAx>
      <c:valAx>
        <c:axId val="2091651848"/>
        <c:scaling>
          <c:orientation val="minMax"/>
        </c:scaling>
        <c:delete val="1"/>
        <c:axPos val="l"/>
        <c:numFmt formatCode="0.0%" sourceLinked="1"/>
        <c:majorTickMark val="none"/>
        <c:minorTickMark val="none"/>
        <c:tickLblPos val="nextTo"/>
        <c:crossAx val="20916484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956289319738971"/>
          <c:y val="3.4188034188034191E-2"/>
          <c:w val="0.59596301296227228"/>
          <c:h val="0.93162393162393164"/>
        </c:manualLayout>
      </c:layout>
      <c:barChart>
        <c:barDir val="bar"/>
        <c:grouping val="clustered"/>
        <c:varyColors val="0"/>
        <c:ser>
          <c:idx val="0"/>
          <c:order val="0"/>
          <c:tx>
            <c:strRef>
              <c:f>'P16.4Adultos'!$I$106</c:f>
              <c:strCache>
                <c:ptCount val="1"/>
                <c:pt idx="0">
                  <c:v>HF con Adultos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'P16.4Adultos'!$H$107:$H$126</c:f>
              <c:strCache>
                <c:ptCount val="20"/>
                <c:pt idx="0">
                  <c:v>Ciudad Bolívar</c:v>
                </c:pt>
                <c:pt idx="1">
                  <c:v>Sumapaz</c:v>
                </c:pt>
                <c:pt idx="2">
                  <c:v>Rafael Uribe Uribe</c:v>
                </c:pt>
                <c:pt idx="3">
                  <c:v>Suba</c:v>
                </c:pt>
                <c:pt idx="4">
                  <c:v>Tunjuelito</c:v>
                </c:pt>
                <c:pt idx="5">
                  <c:v>Los Mártires</c:v>
                </c:pt>
                <c:pt idx="6">
                  <c:v>La Candelaria</c:v>
                </c:pt>
                <c:pt idx="7">
                  <c:v>Barrios Unidos</c:v>
                </c:pt>
                <c:pt idx="8">
                  <c:v>San Cristóbal</c:v>
                </c:pt>
                <c:pt idx="9">
                  <c:v>Bosa</c:v>
                </c:pt>
                <c:pt idx="10">
                  <c:v>Teusaquillo</c:v>
                </c:pt>
                <c:pt idx="11">
                  <c:v>Santa Fe</c:v>
                </c:pt>
                <c:pt idx="12">
                  <c:v>Kennedy</c:v>
                </c:pt>
                <c:pt idx="13">
                  <c:v>Chapinero</c:v>
                </c:pt>
                <c:pt idx="14">
                  <c:v>Fontibón</c:v>
                </c:pt>
                <c:pt idx="15">
                  <c:v>Engativá</c:v>
                </c:pt>
                <c:pt idx="16">
                  <c:v>Puente Aranda</c:v>
                </c:pt>
                <c:pt idx="17">
                  <c:v>Antonio Nariño</c:v>
                </c:pt>
                <c:pt idx="18">
                  <c:v>Usaquén</c:v>
                </c:pt>
                <c:pt idx="19">
                  <c:v>Usme</c:v>
                </c:pt>
              </c:strCache>
            </c:strRef>
          </c:cat>
          <c:val>
            <c:numRef>
              <c:f>'P16.4Adultos'!$I$107:$I$126</c:f>
              <c:numCache>
                <c:formatCode>0.0%</c:formatCode>
                <c:ptCount val="20"/>
                <c:pt idx="0">
                  <c:v>0.30389885668890398</c:v>
                </c:pt>
                <c:pt idx="1">
                  <c:v>0.72886756402597797</c:v>
                </c:pt>
                <c:pt idx="2">
                  <c:v>0.74732435624841498</c:v>
                </c:pt>
                <c:pt idx="3">
                  <c:v>0.81661545247683198</c:v>
                </c:pt>
                <c:pt idx="4">
                  <c:v>0.82286799386665899</c:v>
                </c:pt>
                <c:pt idx="5">
                  <c:v>0.82449531233280304</c:v>
                </c:pt>
                <c:pt idx="6">
                  <c:v>0.831412684954417</c:v>
                </c:pt>
                <c:pt idx="7">
                  <c:v>0.83195816976318504</c:v>
                </c:pt>
                <c:pt idx="8">
                  <c:v>0.83661933106706099</c:v>
                </c:pt>
                <c:pt idx="9">
                  <c:v>0.83996898134602505</c:v>
                </c:pt>
                <c:pt idx="10">
                  <c:v>0.84997349957457902</c:v>
                </c:pt>
                <c:pt idx="11">
                  <c:v>0.864237022907418</c:v>
                </c:pt>
                <c:pt idx="12">
                  <c:v>0.87481651496887303</c:v>
                </c:pt>
                <c:pt idx="13">
                  <c:v>0.87914668008604402</c:v>
                </c:pt>
                <c:pt idx="14">
                  <c:v>0.88099304677168599</c:v>
                </c:pt>
                <c:pt idx="15">
                  <c:v>0.88196627920894799</c:v>
                </c:pt>
                <c:pt idx="16">
                  <c:v>0.90034935014601702</c:v>
                </c:pt>
                <c:pt idx="17">
                  <c:v>0.90140655199975295</c:v>
                </c:pt>
                <c:pt idx="18">
                  <c:v>0.90662419316179499</c:v>
                </c:pt>
                <c:pt idx="19">
                  <c:v>0.99251256133140497</c:v>
                </c:pt>
              </c:numCache>
            </c:numRef>
          </c:val>
          <c:extLst>
            <c:ext xmlns:c16="http://schemas.microsoft.com/office/drawing/2014/chart" uri="{C3380CC4-5D6E-409C-BE32-E72D297353CC}">
              <c16:uniqueId val="{00000000-44ED-8A4A-8BBB-D8F8D1B7B8B1}"/>
            </c:ext>
          </c:extLst>
        </c:ser>
        <c:dLbls>
          <c:showLegendKey val="0"/>
          <c:showVal val="0"/>
          <c:showCatName val="0"/>
          <c:showSerName val="0"/>
          <c:showPercent val="0"/>
          <c:showBubbleSize val="0"/>
        </c:dLbls>
        <c:gapWidth val="182"/>
        <c:axId val="2091668536"/>
        <c:axId val="2091671928"/>
      </c:barChart>
      <c:catAx>
        <c:axId val="209166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091671928"/>
        <c:crosses val="autoZero"/>
        <c:auto val="1"/>
        <c:lblAlgn val="ctr"/>
        <c:lblOffset val="100"/>
        <c:noMultiLvlLbl val="0"/>
      </c:catAx>
      <c:valAx>
        <c:axId val="2091671928"/>
        <c:scaling>
          <c:orientation val="minMax"/>
        </c:scaling>
        <c:delete val="1"/>
        <c:axPos val="b"/>
        <c:numFmt formatCode="0.0%" sourceLinked="1"/>
        <c:majorTickMark val="none"/>
        <c:minorTickMark val="none"/>
        <c:tickLblPos val="nextTo"/>
        <c:crossAx val="20916685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14648-FBFF-DC47-B78C-A5CA28B4E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3404</Words>
  <Characters>18722</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la encuesta a familias del distrito: Conformación familiar de los hogares bogotanos.</dc:title>
  <dc:subject>Boletín 2.</dc:subject>
  <dc:creator>Myriam</dc:creator>
  <cp:lastModifiedBy>Juliana Moncada</cp:lastModifiedBy>
  <cp:revision>4</cp:revision>
  <dcterms:created xsi:type="dcterms:W3CDTF">2019-06-25T16:49:00Z</dcterms:created>
  <dcterms:modified xsi:type="dcterms:W3CDTF">2020-07-22T16:04:00Z</dcterms:modified>
</cp:coreProperties>
</file>