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35671421"/>
        <w:docPartObj>
          <w:docPartGallery w:val="Cover Pages"/>
          <w:docPartUnique/>
        </w:docPartObj>
      </w:sdtPr>
      <w:sdtEndPr>
        <w:rPr>
          <w:lang w:val="es-MX"/>
        </w:rPr>
      </w:sdtEndPr>
      <w:sdtContent>
        <w:p w14:paraId="174CC726" w14:textId="0053C01D" w:rsidR="001D6C8E" w:rsidRDefault="001D6C8E">
          <w:r>
            <w:rPr>
              <w:noProof/>
            </w:rPr>
            <mc:AlternateContent>
              <mc:Choice Requires="wpg">
                <w:drawing>
                  <wp:anchor distT="0" distB="0" distL="114300" distR="114300" simplePos="0" relativeHeight="251662336" behindDoc="0" locked="0" layoutInCell="1" allowOverlap="1" wp14:anchorId="7780C089" wp14:editId="4EEA1C5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C7E0A3"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9" o:title="" recolor="t" rotate="t" type="frame"/>
                    </v:rect>
                    <w10:wrap anchorx="page" anchory="page"/>
                  </v:group>
                </w:pict>
              </mc:Fallback>
            </mc:AlternateContent>
          </w:r>
        </w:p>
        <w:p w14:paraId="14B97A10" w14:textId="2A6A1431" w:rsidR="001D6C8E" w:rsidRDefault="00A70554">
          <w:pPr>
            <w:rPr>
              <w:rFonts w:asciiTheme="majorHAnsi" w:eastAsiaTheme="majorEastAsia" w:hAnsiTheme="majorHAnsi" w:cstheme="majorBidi"/>
              <w:color w:val="365F91" w:themeColor="accent1" w:themeShade="BF"/>
              <w:sz w:val="32"/>
              <w:szCs w:val="32"/>
              <w:lang w:val="es-MX"/>
            </w:rPr>
          </w:pPr>
          <w:r>
            <w:rPr>
              <w:noProof/>
              <w:lang w:val="es-MX"/>
            </w:rPr>
            <w:drawing>
              <wp:anchor distT="0" distB="0" distL="114300" distR="114300" simplePos="0" relativeHeight="251663360" behindDoc="0" locked="0" layoutInCell="1" allowOverlap="1" wp14:anchorId="31C8C647" wp14:editId="5F339931">
                <wp:simplePos x="0" y="0"/>
                <wp:positionH relativeFrom="column">
                  <wp:posOffset>-123402</wp:posOffset>
                </wp:positionH>
                <wp:positionV relativeFrom="paragraph">
                  <wp:posOffset>554553</wp:posOffset>
                </wp:positionV>
                <wp:extent cx="5282631" cy="335281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99234" cy="3363352"/>
                        </a:xfrm>
                        <a:prstGeom prst="rect">
                          <a:avLst/>
                        </a:prstGeom>
                      </pic:spPr>
                    </pic:pic>
                  </a:graphicData>
                </a:graphic>
                <wp14:sizeRelH relativeFrom="page">
                  <wp14:pctWidth>0</wp14:pctWidth>
                </wp14:sizeRelH>
                <wp14:sizeRelV relativeFrom="page">
                  <wp14:pctHeight>0</wp14:pctHeight>
                </wp14:sizeRelV>
              </wp:anchor>
            </w:drawing>
          </w:r>
          <w:r w:rsidR="001D6C8E">
            <w:rPr>
              <w:noProof/>
            </w:rPr>
            <mc:AlternateContent>
              <mc:Choice Requires="wps">
                <w:drawing>
                  <wp:anchor distT="0" distB="0" distL="114300" distR="114300" simplePos="0" relativeHeight="251659264" behindDoc="0" locked="0" layoutInCell="1" allowOverlap="1" wp14:anchorId="373E782A" wp14:editId="69BBD3E9">
                    <wp:simplePos x="0" y="0"/>
                    <wp:positionH relativeFrom="page">
                      <wp:posOffset>228600</wp:posOffset>
                    </wp:positionH>
                    <wp:positionV relativeFrom="page">
                      <wp:posOffset>5198533</wp:posOffset>
                    </wp:positionV>
                    <wp:extent cx="7315200" cy="1460500"/>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146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E307A" w14:textId="749C9DCE" w:rsidR="001D6C8E" w:rsidRDefault="001D6C8E">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1D6C8E">
                                      <w:rPr>
                                        <w:rFonts w:ascii="OpenSans-Bold" w:eastAsia="Times New Roman" w:hAnsi="OpenSans-Bold" w:cs="Times New Roman"/>
                                        <w:color w:val="00253F"/>
                                        <w:sz w:val="34"/>
                                        <w:szCs w:val="34"/>
                                        <w:lang w:eastAsia="es-ES_tradnl"/>
                                      </w:rPr>
                                      <w:t>Análisis de la encuesta a familias del distrito: Información demográfica</w:t>
                                    </w:r>
                                    <w:r w:rsidR="00CE0B27">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636B66D" w14:textId="3854AE46" w:rsidR="001D6C8E" w:rsidRDefault="001D6C8E">
                                    <w:pPr>
                                      <w:jc w:val="right"/>
                                      <w:rPr>
                                        <w:smallCaps/>
                                        <w:color w:val="404040" w:themeColor="text1" w:themeTint="BF"/>
                                        <w:sz w:val="36"/>
                                        <w:szCs w:val="36"/>
                                      </w:rPr>
                                    </w:pPr>
                                    <w:r w:rsidRPr="00991091">
                                      <w:rPr>
                                        <w:color w:val="404040" w:themeColor="text1" w:themeTint="BF"/>
                                        <w:sz w:val="32"/>
                                        <w:szCs w:val="36"/>
                                      </w:rPr>
                                      <w:t>Boletín 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73E782A" id="_x0000_t202" coordsize="21600,21600" o:spt="202" path="m,l,21600r21600,l21600,xe">
                    <v:stroke joinstyle="miter"/>
                    <v:path gradientshapeok="t" o:connecttype="rect"/>
                  </v:shapetype>
                  <v:shape id="Cuadro de texto 154" o:spid="_x0000_s1026" type="#_x0000_t202" style="position:absolute;margin-left:18pt;margin-top:409.35pt;width:8in;height:1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" filled="f" stroked="f" strokeweight=".5pt">
                    <v:textbox inset="126pt,0,54pt,0">
                      <w:txbxContent>
                        <w:p w14:paraId="691E307A" w14:textId="749C9DCE" w:rsidR="001D6C8E" w:rsidRDefault="001D6C8E">
                          <w:pPr>
                            <w:jc w:val="right"/>
                            <w:rPr>
                              <w:color w:val="4F81BD"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1D6C8E">
                                <w:rPr>
                                  <w:rFonts w:ascii="OpenSans-Bold" w:eastAsia="Times New Roman" w:hAnsi="OpenSans-Bold" w:cs="Times New Roman"/>
                                  <w:color w:val="00253F"/>
                                  <w:sz w:val="34"/>
                                  <w:szCs w:val="34"/>
                                  <w:lang w:eastAsia="es-ES_tradnl"/>
                                </w:rPr>
                                <w:t>Análisis de la encuesta a familias del distrito: Información demográfica</w:t>
                              </w:r>
                              <w:r w:rsidR="00CE0B27">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636B66D" w14:textId="3854AE46" w:rsidR="001D6C8E" w:rsidRDefault="001D6C8E">
                              <w:pPr>
                                <w:jc w:val="right"/>
                                <w:rPr>
                                  <w:smallCaps/>
                                  <w:color w:val="404040" w:themeColor="text1" w:themeTint="BF"/>
                                  <w:sz w:val="36"/>
                                  <w:szCs w:val="36"/>
                                </w:rPr>
                              </w:pPr>
                              <w:r w:rsidRPr="00991091">
                                <w:rPr>
                                  <w:color w:val="404040" w:themeColor="text1" w:themeTint="BF"/>
                                  <w:sz w:val="32"/>
                                  <w:szCs w:val="36"/>
                                </w:rPr>
                                <w:t>Boletín 1.</w:t>
                              </w:r>
                            </w:p>
                          </w:sdtContent>
                        </w:sdt>
                      </w:txbxContent>
                    </v:textbox>
                    <w10:wrap type="square" anchorx="page" anchory="page"/>
                  </v:shape>
                </w:pict>
              </mc:Fallback>
            </mc:AlternateContent>
          </w:r>
          <w:r w:rsidR="001D6C8E">
            <w:rPr>
              <w:noProof/>
            </w:rPr>
            <mc:AlternateContent>
              <mc:Choice Requires="wps">
                <w:drawing>
                  <wp:anchor distT="0" distB="0" distL="114300" distR="114300" simplePos="0" relativeHeight="251661312" behindDoc="0" locked="0" layoutInCell="1" allowOverlap="1" wp14:anchorId="70EE2A70" wp14:editId="0151AA0C">
                    <wp:simplePos x="0" y="0"/>
                    <wp:positionH relativeFrom="page">
                      <wp:posOffset>227965</wp:posOffset>
                    </wp:positionH>
                    <wp:positionV relativeFrom="page">
                      <wp:posOffset>7684347</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265EB" w14:textId="2CF95773" w:rsidR="001D6C8E" w:rsidRPr="00CE0B27" w:rsidRDefault="001D6C8E" w:rsidP="001D6C8E">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r w:rsidR="00CE0B27" w:rsidRPr="00CE0B27">
                                  <w:rPr>
                                    <w:color w:val="4F81BD" w:themeColor="accent1"/>
                                    <w:sz w:val="32"/>
                                    <w:szCs w:val="28"/>
                                    <w:lang w:val="es-ES"/>
                                  </w:rPr>
                                  <w:t>.</w:t>
                                </w:r>
                              </w:p>
                              <w:p w14:paraId="0BABC2DC" w14:textId="489C3DBD" w:rsidR="001D6C8E" w:rsidRPr="00CE0B27" w:rsidRDefault="001D6C8E" w:rsidP="001D6C8E">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r w:rsidR="00CE0B27" w:rsidRPr="00CE0B27">
                                  <w:rPr>
                                    <w:color w:val="595959" w:themeColor="text1" w:themeTint="A6"/>
                                    <w:sz w:val="32"/>
                                    <w:szCs w:val="20"/>
                                    <w:lang w:val="es-ES"/>
                                  </w:rPr>
                                  <w:t>.</w:t>
                                </w:r>
                              </w:p>
                              <w:p w14:paraId="3119912D" w14:textId="3CE32DCF" w:rsidR="001D6C8E" w:rsidRPr="00CE0B27" w:rsidRDefault="001D6C8E" w:rsidP="001D6C8E">
                                <w:pPr>
                                  <w:pStyle w:val="Sinespaciado"/>
                                  <w:jc w:val="center"/>
                                  <w:rPr>
                                    <w:color w:val="595959" w:themeColor="text1" w:themeTint="A6"/>
                                    <w:sz w:val="21"/>
                                    <w:szCs w:val="20"/>
                                    <w:lang w:val="es-ES"/>
                                  </w:rPr>
                                </w:pPr>
                              </w:p>
                              <w:p w14:paraId="72613C75" w14:textId="4DBC3724" w:rsidR="001D6C8E" w:rsidRPr="00CE0B27" w:rsidRDefault="001D6C8E" w:rsidP="001D6C8E">
                                <w:pPr>
                                  <w:pStyle w:val="Sinespaciado"/>
                                  <w:jc w:val="center"/>
                                  <w:rPr>
                                    <w:color w:val="595959" w:themeColor="text1" w:themeTint="A6"/>
                                    <w:sz w:val="32"/>
                                    <w:szCs w:val="20"/>
                                    <w:lang w:val="es-ES"/>
                                  </w:rPr>
                                </w:pPr>
                                <w:r w:rsidRPr="00CE0B27">
                                  <w:rPr>
                                    <w:color w:val="595959" w:themeColor="text1" w:themeTint="A6"/>
                                    <w:sz w:val="32"/>
                                    <w:szCs w:val="20"/>
                                    <w:lang w:val="es-ES"/>
                                  </w:rPr>
                                  <w:t>2017</w:t>
                                </w:r>
                                <w:r w:rsidR="00CE0B27"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0EE2A70" id="Cuadro de texto 153" o:spid="_x0000_s1027" type="#_x0000_t202" style="position:absolute;margin-left:17.95pt;margin-top:605.0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" filled="f" stroked="f" strokeweight=".5pt">
                    <v:textbox style="mso-fit-shape-to-text:t" inset="126pt,0,54pt,0">
                      <w:txbxContent>
                        <w:p w14:paraId="34C265EB" w14:textId="2CF95773" w:rsidR="001D6C8E" w:rsidRPr="00CE0B27" w:rsidRDefault="001D6C8E" w:rsidP="001D6C8E">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r w:rsidR="00CE0B27" w:rsidRPr="00CE0B27">
                            <w:rPr>
                              <w:color w:val="4F81BD" w:themeColor="accent1"/>
                              <w:sz w:val="32"/>
                              <w:szCs w:val="28"/>
                              <w:lang w:val="es-ES"/>
                            </w:rPr>
                            <w:t>.</w:t>
                          </w:r>
                        </w:p>
                        <w:p w14:paraId="0BABC2DC" w14:textId="489C3DBD" w:rsidR="001D6C8E" w:rsidRPr="00CE0B27" w:rsidRDefault="001D6C8E" w:rsidP="001D6C8E">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r w:rsidR="00CE0B27" w:rsidRPr="00CE0B27">
                            <w:rPr>
                              <w:color w:val="595959" w:themeColor="text1" w:themeTint="A6"/>
                              <w:sz w:val="32"/>
                              <w:szCs w:val="20"/>
                              <w:lang w:val="es-ES"/>
                            </w:rPr>
                            <w:t>.</w:t>
                          </w:r>
                        </w:p>
                        <w:p w14:paraId="3119912D" w14:textId="3CE32DCF" w:rsidR="001D6C8E" w:rsidRPr="00CE0B27" w:rsidRDefault="001D6C8E" w:rsidP="001D6C8E">
                          <w:pPr>
                            <w:pStyle w:val="Sinespaciado"/>
                            <w:jc w:val="center"/>
                            <w:rPr>
                              <w:color w:val="595959" w:themeColor="text1" w:themeTint="A6"/>
                              <w:sz w:val="21"/>
                              <w:szCs w:val="20"/>
                              <w:lang w:val="es-ES"/>
                            </w:rPr>
                          </w:pPr>
                        </w:p>
                        <w:p w14:paraId="72613C75" w14:textId="4DBC3724" w:rsidR="001D6C8E" w:rsidRPr="00CE0B27" w:rsidRDefault="001D6C8E" w:rsidP="001D6C8E">
                          <w:pPr>
                            <w:pStyle w:val="Sinespaciado"/>
                            <w:jc w:val="center"/>
                            <w:rPr>
                              <w:color w:val="595959" w:themeColor="text1" w:themeTint="A6"/>
                              <w:sz w:val="32"/>
                              <w:szCs w:val="20"/>
                              <w:lang w:val="es-ES"/>
                            </w:rPr>
                          </w:pPr>
                          <w:r w:rsidRPr="00CE0B27">
                            <w:rPr>
                              <w:color w:val="595959" w:themeColor="text1" w:themeTint="A6"/>
                              <w:sz w:val="32"/>
                              <w:szCs w:val="20"/>
                              <w:lang w:val="es-ES"/>
                            </w:rPr>
                            <w:t>2017</w:t>
                          </w:r>
                          <w:r w:rsidR="00CE0B27" w:rsidRPr="00CE0B27">
                            <w:rPr>
                              <w:color w:val="595959" w:themeColor="text1" w:themeTint="A6"/>
                              <w:sz w:val="32"/>
                              <w:szCs w:val="20"/>
                              <w:lang w:val="es-ES"/>
                            </w:rPr>
                            <w:t>.</w:t>
                          </w:r>
                        </w:p>
                      </w:txbxContent>
                    </v:textbox>
                    <w10:wrap type="square" anchorx="page" anchory="page"/>
                  </v:shape>
                </w:pict>
              </mc:Fallback>
            </mc:AlternateContent>
          </w:r>
          <w:r w:rsidR="001D6C8E">
            <w:rPr>
              <w:lang w:val="es-MX"/>
            </w:rPr>
            <w:br w:type="page"/>
          </w:r>
        </w:p>
      </w:sdtContent>
    </w:sdt>
    <w:p w14:paraId="4A3CA538" w14:textId="77777777" w:rsidR="004E30AA" w:rsidRDefault="004E30AA" w:rsidP="00DD5DB3">
      <w:pPr>
        <w:pStyle w:val="Ttulo1"/>
        <w:rPr>
          <w:lang w:val="es-MX"/>
        </w:rPr>
        <w:sectPr w:rsidR="004E30AA" w:rsidSect="001D6C8E">
          <w:footerReference w:type="default" r:id="rId11"/>
          <w:pgSz w:w="12240" w:h="15840"/>
          <w:pgMar w:top="1417" w:right="1701" w:bottom="1417" w:left="1701" w:header="708" w:footer="708" w:gutter="0"/>
          <w:pgNumType w:start="0"/>
          <w:cols w:num="2" w:space="708"/>
          <w:titlePg/>
          <w:docGrid w:linePitch="360"/>
        </w:sectPr>
      </w:pPr>
    </w:p>
    <w:p w14:paraId="7979FD8B" w14:textId="77777777" w:rsidR="004E30AA" w:rsidRDefault="004E30AA" w:rsidP="004E30AA">
      <w:pPr>
        <w:rPr>
          <w:rFonts w:asciiTheme="majorHAnsi" w:eastAsiaTheme="majorEastAsia" w:hAnsiTheme="majorHAnsi" w:cstheme="majorBidi"/>
          <w:color w:val="365F91" w:themeColor="accent1" w:themeShade="BF"/>
          <w:sz w:val="32"/>
          <w:szCs w:val="32"/>
          <w:lang w:val="es-MX"/>
        </w:rPr>
      </w:pPr>
    </w:p>
    <w:p w14:paraId="62EA5000" w14:textId="77777777" w:rsidR="004E30AA" w:rsidRPr="00CE0B27" w:rsidRDefault="004E30AA" w:rsidP="004E30AA">
      <w:pPr>
        <w:jc w:val="right"/>
        <w:rPr>
          <w:rFonts w:ascii="Calibri" w:eastAsia="Times New Roman" w:hAnsi="Calibri" w:cs="Arial"/>
          <w:b/>
          <w:bCs/>
          <w:color w:val="222222"/>
          <w:sz w:val="32"/>
          <w:lang w:eastAsia="es-ES_tradnl"/>
        </w:rPr>
      </w:pPr>
      <w:r w:rsidRPr="00CE0B27">
        <w:rPr>
          <w:rFonts w:ascii="Calibri" w:eastAsia="Times New Roman" w:hAnsi="Calibri" w:cs="Arial"/>
          <w:b/>
          <w:color w:val="222222"/>
          <w:sz w:val="32"/>
          <w:lang w:eastAsia="es-ES_tradnl"/>
        </w:rPr>
        <w:t>Enrique Peñalosa Londoño</w:t>
      </w:r>
      <w:r w:rsidRPr="00CE0B27">
        <w:rPr>
          <w:rFonts w:ascii="Calibri" w:eastAsia="Times New Roman" w:hAnsi="Calibri" w:cs="Arial"/>
          <w:b/>
          <w:bCs/>
          <w:color w:val="222222"/>
          <w:sz w:val="32"/>
          <w:lang w:eastAsia="es-ES_tradnl"/>
        </w:rPr>
        <w:t xml:space="preserve"> </w:t>
      </w:r>
    </w:p>
    <w:p w14:paraId="663E897B" w14:textId="3ACCEE9A" w:rsidR="004E30AA" w:rsidRPr="00CE0B27" w:rsidRDefault="004E30AA" w:rsidP="004E30AA">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Alcalde Mayor de Bogotá D.C.</w:t>
      </w:r>
    </w:p>
    <w:p w14:paraId="43CAF2C9" w14:textId="77777777" w:rsidR="004E30AA" w:rsidRPr="00CE0B27" w:rsidRDefault="004E30AA" w:rsidP="00CE0B27">
      <w:pPr>
        <w:spacing w:after="0" w:line="240" w:lineRule="auto"/>
        <w:jc w:val="right"/>
        <w:rPr>
          <w:rFonts w:ascii="Calibri" w:eastAsia="Times New Roman" w:hAnsi="Calibri" w:cs="Arial"/>
          <w:color w:val="222222"/>
          <w:sz w:val="24"/>
          <w:lang w:eastAsia="es-ES_tradnl"/>
        </w:rPr>
      </w:pPr>
    </w:p>
    <w:p w14:paraId="082D2474" w14:textId="794B1031" w:rsidR="004E30AA" w:rsidRPr="00CE0B27" w:rsidRDefault="004E30AA" w:rsidP="004E30AA">
      <w:pPr>
        <w:jc w:val="right"/>
        <w:rPr>
          <w:rFonts w:ascii="Calibri" w:eastAsia="Times New Roman" w:hAnsi="Calibri" w:cs="Arial"/>
          <w:b/>
          <w:color w:val="222222"/>
          <w:sz w:val="32"/>
          <w:lang w:eastAsia="es-ES_tradnl"/>
        </w:rPr>
      </w:pPr>
      <w:r w:rsidRPr="00CE0B27">
        <w:rPr>
          <w:rFonts w:ascii="Calibri" w:eastAsia="Times New Roman" w:hAnsi="Calibri" w:cs="Arial"/>
          <w:b/>
          <w:color w:val="222222"/>
          <w:sz w:val="32"/>
          <w:lang w:eastAsia="es-ES_tradnl"/>
        </w:rPr>
        <w:t>Andrés Ortiz Gómez </w:t>
      </w:r>
    </w:p>
    <w:p w14:paraId="46DC37C7" w14:textId="77777777" w:rsidR="004E30AA" w:rsidRPr="00CE0B27" w:rsidRDefault="004E30AA" w:rsidP="004E30AA">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Secretario Distrital de Planeación</w:t>
      </w:r>
    </w:p>
    <w:p w14:paraId="03E7B729" w14:textId="48F5D489" w:rsidR="004E30AA" w:rsidRPr="00CE0B27" w:rsidRDefault="004E30AA" w:rsidP="00CE0B27">
      <w:pPr>
        <w:spacing w:after="0" w:line="240" w:lineRule="auto"/>
        <w:jc w:val="right"/>
        <w:rPr>
          <w:rFonts w:ascii="Calibri" w:eastAsia="Times New Roman" w:hAnsi="Calibri" w:cs="Arial"/>
          <w:color w:val="222222"/>
          <w:sz w:val="24"/>
          <w:lang w:eastAsia="es-ES_tradnl"/>
        </w:rPr>
      </w:pPr>
    </w:p>
    <w:p w14:paraId="19E76A8E" w14:textId="2B88DA26" w:rsidR="00CE0B27" w:rsidRPr="00CE0B27" w:rsidRDefault="00CE0B27" w:rsidP="00CE0B27">
      <w:pPr>
        <w:spacing w:after="0" w:line="240" w:lineRule="auto"/>
        <w:jc w:val="right"/>
        <w:rPr>
          <w:rFonts w:ascii="Calibri" w:eastAsia="Times New Roman" w:hAnsi="Calibri" w:cs="Arial"/>
          <w:color w:val="222222"/>
          <w:sz w:val="24"/>
          <w:lang w:eastAsia="es-ES_tradnl"/>
        </w:rPr>
      </w:pPr>
    </w:p>
    <w:p w14:paraId="3C259B1A" w14:textId="77777777" w:rsidR="00CE0B27" w:rsidRPr="00CE0B27" w:rsidRDefault="00CE0B27" w:rsidP="00CE0B27">
      <w:pPr>
        <w:spacing w:after="0" w:line="240" w:lineRule="auto"/>
        <w:jc w:val="right"/>
        <w:rPr>
          <w:rFonts w:ascii="Calibri" w:eastAsia="Times New Roman" w:hAnsi="Calibri" w:cs="Arial"/>
          <w:color w:val="222222"/>
          <w:sz w:val="24"/>
          <w:lang w:eastAsia="es-ES_tradnl"/>
        </w:rPr>
      </w:pPr>
    </w:p>
    <w:p w14:paraId="0C888864" w14:textId="6B6A6341" w:rsidR="004E30AA" w:rsidRPr="00CE0B27" w:rsidRDefault="004E30AA" w:rsidP="004E30AA">
      <w:pPr>
        <w:jc w:val="right"/>
        <w:rPr>
          <w:rFonts w:ascii="Calibri" w:eastAsia="Times New Roman" w:hAnsi="Calibri" w:cs="Arial"/>
          <w:b/>
          <w:color w:val="222222"/>
          <w:sz w:val="28"/>
          <w:lang w:eastAsia="es-ES_tradnl"/>
        </w:rPr>
      </w:pPr>
      <w:r w:rsidRPr="00CE0B27">
        <w:rPr>
          <w:rFonts w:ascii="Calibri" w:eastAsia="Times New Roman" w:hAnsi="Calibri" w:cs="Arial"/>
          <w:b/>
          <w:color w:val="222222"/>
          <w:sz w:val="28"/>
          <w:lang w:eastAsia="es-ES_tradnl"/>
        </w:rPr>
        <w:t>Paola Gómez Campos </w:t>
      </w:r>
    </w:p>
    <w:p w14:paraId="4CE5C9F3" w14:textId="5DEF9ACF" w:rsidR="00CE0B27" w:rsidRPr="00CE0B27" w:rsidRDefault="004E30AA" w:rsidP="00CE0B27">
      <w:pPr>
        <w:jc w:val="right"/>
        <w:rPr>
          <w:rFonts w:ascii="Calibri" w:eastAsia="Times New Roman" w:hAnsi="Calibri" w:cs="Arial"/>
          <w:color w:val="1F497D" w:themeColor="text2"/>
          <w:sz w:val="24"/>
          <w:lang w:eastAsia="es-ES_tradnl"/>
        </w:rPr>
      </w:pPr>
      <w:r w:rsidRPr="00CE0B27">
        <w:rPr>
          <w:rFonts w:ascii="Calibri" w:eastAsia="Times New Roman" w:hAnsi="Calibri" w:cs="Arial"/>
          <w:b/>
          <w:bCs/>
          <w:color w:val="1F497D" w:themeColor="text2"/>
          <w:sz w:val="24"/>
          <w:lang w:eastAsia="es-ES_tradnl"/>
        </w:rPr>
        <w:t>Subsecretaria de Planeación Socioeconómica</w:t>
      </w:r>
      <w:r w:rsidRPr="00CE0B27">
        <w:rPr>
          <w:rFonts w:ascii="Calibri" w:eastAsia="Times New Roman" w:hAnsi="Calibri" w:cs="Arial"/>
          <w:color w:val="1F497D" w:themeColor="text2"/>
          <w:sz w:val="24"/>
          <w:lang w:eastAsia="es-ES_tradnl"/>
        </w:rPr>
        <w:t> </w:t>
      </w:r>
    </w:p>
    <w:p w14:paraId="4C12CD24" w14:textId="09BC103C" w:rsidR="00CE0B27" w:rsidRPr="00CE0B27" w:rsidRDefault="00CE0B27" w:rsidP="00CE0B27">
      <w:pPr>
        <w:spacing w:after="0" w:line="240" w:lineRule="auto"/>
        <w:jc w:val="right"/>
        <w:rPr>
          <w:rFonts w:ascii="Calibri" w:eastAsia="Times New Roman" w:hAnsi="Calibri" w:cs="Arial"/>
          <w:color w:val="222222"/>
          <w:sz w:val="24"/>
          <w:lang w:eastAsia="es-ES_tradnl"/>
        </w:rPr>
      </w:pPr>
    </w:p>
    <w:p w14:paraId="0EC794D5" w14:textId="77777777" w:rsidR="00CE0B27" w:rsidRPr="00CE0B27" w:rsidRDefault="00CE0B27" w:rsidP="00CE0B27">
      <w:pPr>
        <w:spacing w:after="0" w:line="240" w:lineRule="auto"/>
        <w:jc w:val="right"/>
        <w:rPr>
          <w:rFonts w:ascii="Calibri" w:eastAsia="Times New Roman" w:hAnsi="Calibri" w:cs="Arial"/>
          <w:color w:val="222222"/>
          <w:sz w:val="24"/>
          <w:lang w:eastAsia="es-ES_tradnl"/>
        </w:rPr>
      </w:pPr>
    </w:p>
    <w:p w14:paraId="11B67CFE" w14:textId="2BC47444" w:rsidR="00CE0B27" w:rsidRPr="00CE0B27" w:rsidRDefault="00CE0B27" w:rsidP="00CE0B27">
      <w:pPr>
        <w:jc w:val="right"/>
        <w:rPr>
          <w:rFonts w:ascii="Calibri" w:eastAsia="Times New Roman" w:hAnsi="Calibri" w:cs="Arial"/>
          <w:b/>
          <w:color w:val="222222"/>
          <w:sz w:val="28"/>
          <w:lang w:eastAsia="es-ES_tradnl"/>
        </w:rPr>
      </w:pPr>
      <w:r w:rsidRPr="00CE0B27">
        <w:rPr>
          <w:rFonts w:ascii="Calibri" w:eastAsia="Times New Roman" w:hAnsi="Calibri" w:cs="Arial"/>
          <w:b/>
          <w:color w:val="222222"/>
          <w:sz w:val="28"/>
          <w:lang w:eastAsia="es-ES_tradnl"/>
        </w:rPr>
        <w:t>Diego Alejandro Peña Restrepo</w:t>
      </w:r>
    </w:p>
    <w:p w14:paraId="37178D69" w14:textId="0B603EAD" w:rsidR="00CE0B27" w:rsidRPr="00CE0B27" w:rsidRDefault="004E30AA" w:rsidP="004E30AA">
      <w:pPr>
        <w:jc w:val="right"/>
        <w:rPr>
          <w:rFonts w:ascii="Calibri" w:eastAsia="Times New Roman" w:hAnsi="Calibri" w:cs="Arial"/>
          <w:b/>
          <w:bCs/>
          <w:color w:val="1F497D" w:themeColor="text2"/>
          <w:sz w:val="24"/>
          <w:lang w:eastAsia="es-ES_tradnl"/>
        </w:rPr>
      </w:pPr>
      <w:r w:rsidRPr="00CE0B27">
        <w:rPr>
          <w:rFonts w:ascii="Calibri" w:eastAsia="Times New Roman" w:hAnsi="Calibri" w:cs="Arial"/>
          <w:b/>
          <w:bCs/>
          <w:color w:val="1F497D" w:themeColor="text2"/>
          <w:sz w:val="24"/>
          <w:lang w:eastAsia="es-ES_tradnl"/>
        </w:rPr>
        <w:t xml:space="preserve">Director de Equidad y Políticas Poblacionales </w:t>
      </w:r>
      <w:r w:rsidR="00CE0B27" w:rsidRPr="00CE0B27">
        <w:rPr>
          <w:rFonts w:ascii="Calibri" w:eastAsia="Times New Roman" w:hAnsi="Calibri" w:cs="Arial"/>
          <w:b/>
          <w:bCs/>
          <w:color w:val="1F497D" w:themeColor="text2"/>
          <w:sz w:val="24"/>
          <w:lang w:eastAsia="es-ES_tradnl"/>
        </w:rPr>
        <w:t>–</w:t>
      </w:r>
      <w:r w:rsidRPr="00CE0B27">
        <w:rPr>
          <w:rFonts w:ascii="Calibri" w:eastAsia="Times New Roman" w:hAnsi="Calibri" w:cs="Arial"/>
          <w:b/>
          <w:bCs/>
          <w:color w:val="1F497D" w:themeColor="text2"/>
          <w:sz w:val="24"/>
          <w:lang w:eastAsia="es-ES_tradnl"/>
        </w:rPr>
        <w:t xml:space="preserve"> SDP</w:t>
      </w:r>
    </w:p>
    <w:p w14:paraId="79EDB04B" w14:textId="77777777" w:rsidR="00CE0B27" w:rsidRPr="00CE0B27" w:rsidRDefault="00CE0B27" w:rsidP="00CE0B27">
      <w:pPr>
        <w:spacing w:after="0" w:line="240" w:lineRule="auto"/>
        <w:jc w:val="right"/>
        <w:rPr>
          <w:rFonts w:ascii="Calibri" w:eastAsia="Times New Roman" w:hAnsi="Calibri" w:cs="Arial"/>
          <w:color w:val="1F497D" w:themeColor="text2"/>
          <w:sz w:val="24"/>
          <w:lang w:eastAsia="es-ES_tradnl"/>
        </w:rPr>
      </w:pPr>
    </w:p>
    <w:p w14:paraId="464FDB6E" w14:textId="19A56A5A" w:rsidR="004E30AA" w:rsidRPr="00CE0B27" w:rsidRDefault="004E30AA" w:rsidP="00CE0B27">
      <w:pPr>
        <w:spacing w:after="0" w:line="240" w:lineRule="auto"/>
        <w:jc w:val="right"/>
        <w:rPr>
          <w:rFonts w:ascii="Calibri" w:eastAsia="Times New Roman" w:hAnsi="Calibri" w:cs="Arial"/>
          <w:color w:val="222222"/>
          <w:sz w:val="24"/>
          <w:lang w:eastAsia="es-ES_tradnl"/>
        </w:rPr>
      </w:pPr>
      <w:r w:rsidRPr="00CE0B27">
        <w:rPr>
          <w:rFonts w:ascii="Calibri" w:eastAsia="Times New Roman" w:hAnsi="Calibri" w:cs="Arial"/>
          <w:color w:val="1F497D" w:themeColor="text2"/>
          <w:sz w:val="24"/>
          <w:lang w:eastAsia="es-ES_tradnl"/>
        </w:rPr>
        <w:t> </w:t>
      </w:r>
    </w:p>
    <w:p w14:paraId="757C8A30" w14:textId="77777777" w:rsidR="00CE0B27" w:rsidRPr="00CE0B27" w:rsidRDefault="00CE0B27" w:rsidP="00CE0B27">
      <w:pPr>
        <w:jc w:val="right"/>
        <w:rPr>
          <w:rFonts w:ascii="Calibri" w:eastAsia="Times New Roman" w:hAnsi="Calibri" w:cs="Arial"/>
          <w:b/>
          <w:color w:val="222222"/>
          <w:sz w:val="28"/>
          <w:lang w:eastAsia="es-ES_tradnl"/>
        </w:rPr>
      </w:pPr>
      <w:bookmarkStart w:id="0" w:name="_GoBack"/>
      <w:r w:rsidRPr="00CE0B27">
        <w:rPr>
          <w:rFonts w:ascii="Calibri" w:eastAsia="Times New Roman" w:hAnsi="Calibri" w:cs="Arial"/>
          <w:b/>
          <w:color w:val="222222"/>
          <w:sz w:val="28"/>
          <w:lang w:eastAsia="es-ES_tradnl"/>
        </w:rPr>
        <w:t>Juliana Moncada Guayazán</w:t>
      </w:r>
    </w:p>
    <w:bookmarkEnd w:id="0"/>
    <w:p w14:paraId="5E8B55DE" w14:textId="77777777" w:rsidR="004E30AA" w:rsidRPr="00CE0B27" w:rsidRDefault="004E30AA" w:rsidP="004E30AA">
      <w:pPr>
        <w:jc w:val="right"/>
        <w:rPr>
          <w:rFonts w:ascii="Calibri" w:eastAsia="Times New Roman" w:hAnsi="Calibri" w:cs="Arial"/>
          <w:color w:val="1F497D" w:themeColor="text2"/>
          <w:sz w:val="24"/>
          <w:lang w:eastAsia="es-ES_tradnl"/>
        </w:rPr>
      </w:pPr>
      <w:r w:rsidRPr="00CE0B27">
        <w:rPr>
          <w:rFonts w:ascii="Calibri" w:eastAsia="Times New Roman" w:hAnsi="Calibri" w:cs="Arial"/>
          <w:b/>
          <w:bCs/>
          <w:color w:val="1F497D" w:themeColor="text2"/>
          <w:sz w:val="24"/>
          <w:lang w:eastAsia="es-ES_tradnl"/>
        </w:rPr>
        <w:t>Equipo de trabajo del Observatorio Poblacional Diferencial y de Familias</w:t>
      </w:r>
    </w:p>
    <w:p w14:paraId="5743590D" w14:textId="77777777" w:rsidR="00CE0B27" w:rsidRPr="00CE0B27" w:rsidRDefault="00CE0B27" w:rsidP="00CE0B27">
      <w:pPr>
        <w:rPr>
          <w:rFonts w:ascii="Calibri" w:eastAsia="Times New Roman" w:hAnsi="Calibri" w:cs="Arial"/>
          <w:b/>
          <w:bCs/>
          <w:color w:val="222222"/>
          <w:sz w:val="24"/>
          <w:lang w:eastAsia="es-ES_tradnl"/>
        </w:rPr>
      </w:pPr>
    </w:p>
    <w:p w14:paraId="1AB5BCDD" w14:textId="77777777" w:rsidR="00CE0B27" w:rsidRPr="00CE0B27" w:rsidRDefault="004E30AA" w:rsidP="004E30AA">
      <w:pPr>
        <w:jc w:val="right"/>
        <w:rPr>
          <w:rFonts w:ascii="Calibri" w:eastAsia="Times New Roman" w:hAnsi="Calibri" w:cs="Arial"/>
          <w:b/>
          <w:bCs/>
          <w:color w:val="1F497D" w:themeColor="text2"/>
          <w:sz w:val="28"/>
          <w:lang w:eastAsia="es-ES_tradnl"/>
        </w:rPr>
      </w:pPr>
      <w:r w:rsidRPr="00CE0B27">
        <w:rPr>
          <w:rFonts w:ascii="Calibri" w:eastAsia="Times New Roman" w:hAnsi="Calibri" w:cs="Arial"/>
          <w:b/>
          <w:bCs/>
          <w:color w:val="1F497D" w:themeColor="text2"/>
          <w:sz w:val="28"/>
          <w:lang w:eastAsia="es-ES_tradnl"/>
        </w:rPr>
        <w:t xml:space="preserve">Coordinación Editorial </w:t>
      </w:r>
    </w:p>
    <w:p w14:paraId="5821F40B" w14:textId="2F8BA13F" w:rsidR="004E30AA" w:rsidRPr="002F1B41" w:rsidRDefault="004E30AA" w:rsidP="004E30AA">
      <w:pPr>
        <w:jc w:val="right"/>
        <w:rPr>
          <w:rFonts w:ascii="Calibri" w:eastAsia="Times New Roman" w:hAnsi="Calibri" w:cs="Arial"/>
          <w:b/>
          <w:color w:val="222222"/>
          <w:sz w:val="28"/>
          <w:lang w:eastAsia="es-ES_tradnl"/>
        </w:rPr>
      </w:pPr>
      <w:r w:rsidRPr="002F1B41">
        <w:rPr>
          <w:rFonts w:ascii="Calibri" w:eastAsia="Times New Roman" w:hAnsi="Calibri" w:cs="Arial"/>
          <w:b/>
          <w:bCs/>
          <w:color w:val="222222"/>
          <w:sz w:val="28"/>
          <w:lang w:eastAsia="es-ES_tradnl"/>
        </w:rPr>
        <w:t>Oficina Asesora de Prensa y Comunicaciones - SDP</w:t>
      </w:r>
    </w:p>
    <w:p w14:paraId="299C38E4" w14:textId="3EBBD304" w:rsidR="004E30AA" w:rsidRPr="00CE0B27" w:rsidRDefault="004E30AA" w:rsidP="004E30AA">
      <w:pPr>
        <w:jc w:val="right"/>
        <w:rPr>
          <w:rFonts w:ascii="Calibri" w:eastAsia="Times New Roman" w:hAnsi="Calibri" w:cs="Arial"/>
          <w:color w:val="1F497D" w:themeColor="text2"/>
          <w:sz w:val="28"/>
          <w:lang w:eastAsia="es-ES_tradnl"/>
        </w:rPr>
      </w:pPr>
      <w:r w:rsidRPr="00CE0B27">
        <w:rPr>
          <w:rFonts w:ascii="Calibri" w:eastAsia="Times New Roman" w:hAnsi="Calibri" w:cs="Arial"/>
          <w:b/>
          <w:bCs/>
          <w:color w:val="1F497D" w:themeColor="text2"/>
          <w:sz w:val="28"/>
          <w:lang w:eastAsia="es-ES_tradnl"/>
        </w:rPr>
        <w:t>Diseño</w:t>
      </w:r>
      <w:r w:rsidR="00CE0B27" w:rsidRPr="00CE0B27">
        <w:rPr>
          <w:rFonts w:ascii="Calibri" w:eastAsia="Times New Roman" w:hAnsi="Calibri" w:cs="Arial"/>
          <w:b/>
          <w:bCs/>
          <w:color w:val="1F497D" w:themeColor="text2"/>
          <w:sz w:val="28"/>
          <w:lang w:eastAsia="es-ES_tradnl"/>
        </w:rPr>
        <w:t xml:space="preserve"> y </w:t>
      </w:r>
      <w:r w:rsidRPr="00CE0B27">
        <w:rPr>
          <w:rFonts w:ascii="Calibri" w:eastAsia="Times New Roman" w:hAnsi="Calibri" w:cs="Arial"/>
          <w:b/>
          <w:bCs/>
          <w:color w:val="1F497D" w:themeColor="text2"/>
          <w:sz w:val="28"/>
          <w:lang w:eastAsia="es-ES_tradnl"/>
        </w:rPr>
        <w:t xml:space="preserve">diagramación </w:t>
      </w:r>
    </w:p>
    <w:p w14:paraId="43EE27B7" w14:textId="77777777" w:rsidR="00CE0B27" w:rsidRPr="002F1B41" w:rsidRDefault="00CE0B27" w:rsidP="00CE0B27">
      <w:pPr>
        <w:jc w:val="right"/>
        <w:rPr>
          <w:rFonts w:ascii="Calibri" w:eastAsia="Times New Roman" w:hAnsi="Calibri" w:cs="Arial"/>
          <w:b/>
          <w:color w:val="222222"/>
          <w:sz w:val="28"/>
          <w:lang w:eastAsia="es-ES_tradnl"/>
        </w:rPr>
      </w:pPr>
      <w:r w:rsidRPr="002F1B41">
        <w:rPr>
          <w:rFonts w:ascii="Calibri" w:eastAsia="Times New Roman" w:hAnsi="Calibri" w:cs="Arial"/>
          <w:b/>
          <w:bCs/>
          <w:color w:val="222222"/>
          <w:sz w:val="28"/>
          <w:lang w:eastAsia="es-ES_tradnl"/>
        </w:rPr>
        <w:t>Oficina Asesora de Prensa y Comunicaciones - SDP</w:t>
      </w:r>
    </w:p>
    <w:p w14:paraId="36225A3C" w14:textId="77777777" w:rsidR="00CE0B27" w:rsidRPr="00CE0B27" w:rsidRDefault="00CE0B27" w:rsidP="00CE0B27">
      <w:pPr>
        <w:jc w:val="center"/>
        <w:rPr>
          <w:rFonts w:ascii="Calibri" w:eastAsia="Times New Roman" w:hAnsi="Calibri" w:cs="Arial"/>
          <w:b/>
          <w:bCs/>
          <w:color w:val="222222"/>
          <w:sz w:val="24"/>
          <w:lang w:eastAsia="es-ES_tradnl"/>
        </w:rPr>
      </w:pPr>
    </w:p>
    <w:p w14:paraId="525F27C2" w14:textId="5FFB4A3E" w:rsidR="004E30AA" w:rsidRPr="00CE0B27" w:rsidRDefault="004E30AA" w:rsidP="00CE0B27">
      <w:pPr>
        <w:jc w:val="right"/>
        <w:rPr>
          <w:rFonts w:ascii="Calibri" w:eastAsia="Times New Roman" w:hAnsi="Calibri" w:cs="Arial"/>
          <w:color w:val="808080" w:themeColor="background1" w:themeShade="80"/>
          <w:sz w:val="28"/>
          <w:lang w:eastAsia="es-ES_tradnl"/>
        </w:rPr>
      </w:pPr>
      <w:r w:rsidRPr="00CE0B27">
        <w:rPr>
          <w:rFonts w:ascii="Calibri" w:eastAsia="Times New Roman" w:hAnsi="Calibri" w:cs="Arial"/>
          <w:color w:val="808080" w:themeColor="background1" w:themeShade="80"/>
          <w:sz w:val="28"/>
          <w:lang w:eastAsia="es-ES_tradnl"/>
        </w:rPr>
        <w:t>Año de publicación 2019 Bogotá D.C.  </w:t>
      </w:r>
    </w:p>
    <w:p w14:paraId="7ACDD627" w14:textId="340330F5" w:rsidR="004E30AA" w:rsidRPr="004E30AA" w:rsidRDefault="004E30AA" w:rsidP="004E30AA">
      <w:pPr>
        <w:rPr>
          <w:lang w:val="es-MX"/>
        </w:rPr>
        <w:sectPr w:rsidR="004E30AA" w:rsidRPr="004E30AA" w:rsidSect="004E30AA">
          <w:pgSz w:w="12240" w:h="15840"/>
          <w:pgMar w:top="1417" w:right="1701" w:bottom="1417" w:left="1701" w:header="708" w:footer="708" w:gutter="0"/>
          <w:pgNumType w:start="0"/>
          <w:cols w:space="708"/>
          <w:titlePg/>
          <w:docGrid w:linePitch="360"/>
        </w:sectPr>
      </w:pPr>
    </w:p>
    <w:p w14:paraId="104C5554" w14:textId="4A92BF9D" w:rsidR="00DD5DB3" w:rsidRDefault="00202972" w:rsidP="00DD5DB3">
      <w:pPr>
        <w:pStyle w:val="Ttulo1"/>
        <w:rPr>
          <w:lang w:val="es-MX"/>
        </w:rPr>
      </w:pPr>
      <w:r>
        <w:rPr>
          <w:lang w:val="es-MX"/>
        </w:rPr>
        <w:lastRenderedPageBreak/>
        <w:t>Introducción</w:t>
      </w:r>
    </w:p>
    <w:p w14:paraId="752030D7" w14:textId="48BF0C9F"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Este boletín se centra en presentar los resultados de los aspectos demográficos de la Encuesta realizada a las familias del Distrito</w:t>
      </w:r>
      <w:r w:rsidR="00835744">
        <w:rPr>
          <w:rFonts w:ascii="Garamond" w:hAnsi="Garamond"/>
          <w:sz w:val="20"/>
          <w:szCs w:val="20"/>
          <w:lang w:val="es-MX"/>
        </w:rPr>
        <w:t xml:space="preserve"> a finales de 2016 y comienzos de 2017</w:t>
      </w:r>
      <w:r>
        <w:rPr>
          <w:rFonts w:ascii="Garamond" w:hAnsi="Garamond"/>
          <w:sz w:val="20"/>
          <w:szCs w:val="20"/>
          <w:lang w:val="es-MX"/>
        </w:rPr>
        <w:t xml:space="preserve">, como una primera aproximación a tener información sobre diferentes temáticas que son de interés especial para la Política Distrital para las Familias. </w:t>
      </w:r>
    </w:p>
    <w:p w14:paraId="3A0D3623" w14:textId="098F31B8"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 xml:space="preserve">Dicha encuesta fue implementada en las 20 localidades de Bogotá, a partir de un </w:t>
      </w:r>
      <w:r w:rsidRPr="00357ECA">
        <w:rPr>
          <w:rFonts w:ascii="Garamond" w:hAnsi="Garamond"/>
          <w:sz w:val="20"/>
          <w:szCs w:val="20"/>
          <w:lang w:val="es-MX"/>
        </w:rPr>
        <w:t>muestreo estratificado por conglomerados y multietápico (estratos</w:t>
      </w:r>
      <w:r w:rsidR="00B943CF">
        <w:rPr>
          <w:rFonts w:ascii="Garamond" w:hAnsi="Garamond"/>
          <w:sz w:val="20"/>
          <w:szCs w:val="20"/>
          <w:lang w:val="es-MX"/>
        </w:rPr>
        <w:t xml:space="preserve"> socioeconómicos</w:t>
      </w:r>
      <w:r w:rsidRPr="00357ECA">
        <w:rPr>
          <w:rFonts w:ascii="Garamond" w:hAnsi="Garamond"/>
          <w:sz w:val="20"/>
          <w:szCs w:val="20"/>
          <w:lang w:val="es-MX"/>
        </w:rPr>
        <w:t>, manzanas y predios) en la cual se seleccionaron 465 manzanas en 111 barrios</w:t>
      </w:r>
      <w:r>
        <w:rPr>
          <w:rFonts w:ascii="Garamond" w:hAnsi="Garamond"/>
          <w:sz w:val="20"/>
          <w:szCs w:val="20"/>
          <w:lang w:val="es-MX"/>
        </w:rPr>
        <w:t xml:space="preserve"> del Distrito. </w:t>
      </w:r>
    </w:p>
    <w:p w14:paraId="27637B2C" w14:textId="27E2B2A9" w:rsidR="00202972" w:rsidRDefault="00202972" w:rsidP="00202972">
      <w:pPr>
        <w:spacing w:line="360" w:lineRule="auto"/>
        <w:jc w:val="both"/>
        <w:rPr>
          <w:rFonts w:ascii="Garamond" w:hAnsi="Garamond"/>
          <w:sz w:val="20"/>
          <w:szCs w:val="20"/>
          <w:lang w:val="es-MX"/>
        </w:rPr>
      </w:pPr>
      <w:r>
        <w:rPr>
          <w:rFonts w:ascii="Garamond" w:hAnsi="Garamond"/>
          <w:sz w:val="20"/>
          <w:szCs w:val="20"/>
          <w:lang w:val="es-MX"/>
        </w:rPr>
        <w:t>Esta encuesta se estructuró en dos conjuntos</w:t>
      </w:r>
      <w:r w:rsidRPr="00357ECA">
        <w:rPr>
          <w:rFonts w:ascii="Garamond" w:hAnsi="Garamond"/>
          <w:sz w:val="20"/>
          <w:szCs w:val="20"/>
          <w:lang w:val="es-MX"/>
        </w:rPr>
        <w:t xml:space="preserve"> de preguntas</w:t>
      </w:r>
      <w:r>
        <w:rPr>
          <w:rFonts w:ascii="Garamond" w:hAnsi="Garamond"/>
          <w:sz w:val="20"/>
          <w:szCs w:val="20"/>
          <w:lang w:val="es-MX"/>
        </w:rPr>
        <w:t>, el primer grupo</w:t>
      </w:r>
      <w:r w:rsidRPr="00357ECA">
        <w:rPr>
          <w:rFonts w:ascii="Garamond" w:hAnsi="Garamond"/>
          <w:sz w:val="20"/>
          <w:szCs w:val="20"/>
          <w:lang w:val="es-MX"/>
        </w:rPr>
        <w:t xml:space="preserve"> para ser respondidas por la persona (mayor de edad) que respon</w:t>
      </w:r>
      <w:r>
        <w:rPr>
          <w:rFonts w:ascii="Garamond" w:hAnsi="Garamond"/>
          <w:sz w:val="20"/>
          <w:szCs w:val="20"/>
          <w:lang w:val="es-MX"/>
        </w:rPr>
        <w:t>de a título de la familia y el segundo grupo para ser respondido</w:t>
      </w:r>
      <w:r w:rsidRPr="00357ECA">
        <w:rPr>
          <w:rFonts w:ascii="Garamond" w:hAnsi="Garamond"/>
          <w:sz w:val="20"/>
          <w:szCs w:val="20"/>
          <w:lang w:val="es-MX"/>
        </w:rPr>
        <w:t xml:space="preserve"> </w:t>
      </w:r>
      <w:r>
        <w:rPr>
          <w:rFonts w:ascii="Garamond" w:hAnsi="Garamond"/>
          <w:sz w:val="20"/>
          <w:szCs w:val="20"/>
          <w:lang w:val="es-MX"/>
        </w:rPr>
        <w:t>con información de cada</w:t>
      </w:r>
      <w:r w:rsidRPr="00357ECA">
        <w:rPr>
          <w:rFonts w:ascii="Garamond" w:hAnsi="Garamond"/>
          <w:sz w:val="20"/>
          <w:szCs w:val="20"/>
          <w:lang w:val="es-MX"/>
        </w:rPr>
        <w:t xml:space="preserve"> integrante de la familia</w:t>
      </w:r>
      <w:r>
        <w:rPr>
          <w:rFonts w:ascii="Garamond" w:hAnsi="Garamond"/>
          <w:sz w:val="20"/>
          <w:szCs w:val="20"/>
          <w:lang w:val="es-MX"/>
        </w:rPr>
        <w:t xml:space="preserve"> que habitaba en esa vivienda</w:t>
      </w:r>
      <w:r w:rsidRPr="00357ECA">
        <w:rPr>
          <w:rFonts w:ascii="Garamond" w:hAnsi="Garamond"/>
          <w:sz w:val="20"/>
          <w:szCs w:val="20"/>
          <w:lang w:val="es-MX"/>
        </w:rPr>
        <w:t xml:space="preserve">. </w:t>
      </w:r>
    </w:p>
    <w:p w14:paraId="7CC4DE85" w14:textId="4554F453" w:rsidR="00525D7E" w:rsidRDefault="00202972" w:rsidP="00A16521">
      <w:pPr>
        <w:spacing w:line="360" w:lineRule="auto"/>
        <w:jc w:val="both"/>
        <w:rPr>
          <w:rFonts w:ascii="Garamond" w:hAnsi="Garamond"/>
          <w:sz w:val="20"/>
          <w:szCs w:val="20"/>
          <w:lang w:val="es-MX"/>
        </w:rPr>
      </w:pPr>
      <w:r>
        <w:rPr>
          <w:rFonts w:ascii="Garamond" w:hAnsi="Garamond"/>
          <w:sz w:val="20"/>
          <w:szCs w:val="20"/>
          <w:lang w:val="es-MX"/>
        </w:rPr>
        <w:t xml:space="preserve">Este primer boletín presenta la información que se encuentra en la parte inicial del formulario de la encuesta y que se centra en los </w:t>
      </w:r>
      <w:r w:rsidR="00835744">
        <w:rPr>
          <w:rFonts w:ascii="Garamond" w:hAnsi="Garamond"/>
          <w:sz w:val="20"/>
          <w:szCs w:val="20"/>
          <w:lang w:val="es-MX"/>
        </w:rPr>
        <w:t xml:space="preserve">descriptores </w:t>
      </w:r>
      <w:r>
        <w:rPr>
          <w:rFonts w:ascii="Garamond" w:hAnsi="Garamond"/>
          <w:sz w:val="20"/>
          <w:szCs w:val="20"/>
          <w:lang w:val="es-MX"/>
        </w:rPr>
        <w:t xml:space="preserve">demográficos de las familias de Bogotá. </w:t>
      </w:r>
    </w:p>
    <w:p w14:paraId="53A961B4" w14:textId="0F3B6DC1" w:rsidR="00525D7E" w:rsidRPr="00525D7E" w:rsidRDefault="00525D7E" w:rsidP="00525D7E">
      <w:pPr>
        <w:pStyle w:val="Ttulo1"/>
        <w:rPr>
          <w:lang w:val="es-MX"/>
        </w:rPr>
      </w:pPr>
      <w:r>
        <w:rPr>
          <w:lang w:val="es-MX"/>
        </w:rPr>
        <w:t>Antecedentes</w:t>
      </w:r>
    </w:p>
    <w:p w14:paraId="2E2A0A19" w14:textId="568834D4" w:rsidR="00525D7E" w:rsidRDefault="00DC35EB" w:rsidP="00A16521">
      <w:pPr>
        <w:spacing w:line="360" w:lineRule="auto"/>
        <w:jc w:val="both"/>
        <w:rPr>
          <w:rFonts w:ascii="Garamond" w:hAnsi="Garamond"/>
          <w:sz w:val="20"/>
          <w:szCs w:val="20"/>
          <w:lang w:val="es-MX"/>
        </w:rPr>
      </w:pPr>
      <w:r w:rsidRPr="00357ECA">
        <w:rPr>
          <w:rFonts w:ascii="Garamond" w:hAnsi="Garamond"/>
          <w:sz w:val="20"/>
          <w:szCs w:val="20"/>
          <w:lang w:val="es-MX"/>
        </w:rPr>
        <w:t xml:space="preserve">De acuerdo con </w:t>
      </w:r>
      <w:r w:rsidR="00DD5DB3" w:rsidRPr="00357ECA">
        <w:rPr>
          <w:rFonts w:ascii="Garamond" w:hAnsi="Garamond"/>
          <w:sz w:val="20"/>
          <w:szCs w:val="20"/>
          <w:lang w:val="es-MX"/>
        </w:rPr>
        <w:t xml:space="preserve">investigaciones realizadas por </w:t>
      </w:r>
      <w:r w:rsidRPr="00357ECA">
        <w:rPr>
          <w:rFonts w:ascii="Garamond" w:hAnsi="Garamond"/>
          <w:sz w:val="20"/>
          <w:szCs w:val="20"/>
          <w:lang w:val="es-MX"/>
        </w:rPr>
        <w:t>el Obs</w:t>
      </w:r>
      <w:r w:rsidR="00DD5DB3" w:rsidRPr="00357ECA">
        <w:rPr>
          <w:rFonts w:ascii="Garamond" w:hAnsi="Garamond"/>
          <w:sz w:val="20"/>
          <w:szCs w:val="20"/>
          <w:lang w:val="es-MX"/>
        </w:rPr>
        <w:t>ervatorio para la Política de</w:t>
      </w:r>
      <w:r w:rsidRPr="00357ECA">
        <w:rPr>
          <w:rFonts w:ascii="Garamond" w:hAnsi="Garamond"/>
          <w:sz w:val="20"/>
          <w:szCs w:val="20"/>
          <w:lang w:val="es-MX"/>
        </w:rPr>
        <w:t xml:space="preserve"> Familia </w:t>
      </w:r>
      <w:r w:rsidR="00DD5DB3" w:rsidRPr="00357ECA">
        <w:rPr>
          <w:rFonts w:ascii="Garamond" w:hAnsi="Garamond"/>
          <w:sz w:val="20"/>
          <w:szCs w:val="20"/>
          <w:lang w:val="es-MX"/>
        </w:rPr>
        <w:t>del</w:t>
      </w:r>
      <w:r w:rsidRPr="00357ECA">
        <w:rPr>
          <w:rFonts w:ascii="Garamond" w:hAnsi="Garamond"/>
          <w:sz w:val="20"/>
          <w:szCs w:val="20"/>
          <w:lang w:val="es-MX"/>
        </w:rPr>
        <w:t xml:space="preserve"> Departamento Nacional de </w:t>
      </w:r>
      <w:r w:rsidR="00DD5DB3" w:rsidRPr="00357ECA">
        <w:rPr>
          <w:rFonts w:ascii="Garamond" w:hAnsi="Garamond"/>
          <w:sz w:val="20"/>
          <w:szCs w:val="20"/>
          <w:lang w:val="es-MX"/>
        </w:rPr>
        <w:t>Planeación</w:t>
      </w:r>
      <w:r w:rsidRPr="00357ECA">
        <w:rPr>
          <w:rFonts w:ascii="Garamond" w:hAnsi="Garamond"/>
          <w:sz w:val="20"/>
          <w:szCs w:val="20"/>
          <w:lang w:val="es-MX"/>
        </w:rPr>
        <w:t>, e</w:t>
      </w:r>
      <w:r w:rsidR="000A1067" w:rsidRPr="00357ECA">
        <w:rPr>
          <w:rFonts w:ascii="Garamond" w:hAnsi="Garamond"/>
          <w:sz w:val="20"/>
          <w:szCs w:val="20"/>
          <w:lang w:val="es-MX"/>
        </w:rPr>
        <w:t xml:space="preserve">n las últimas décadas la composición y lo que tradicionalmente se ha entendido </w:t>
      </w:r>
      <w:r w:rsidR="00DD5DB3" w:rsidRPr="00357ECA">
        <w:rPr>
          <w:rFonts w:ascii="Garamond" w:hAnsi="Garamond"/>
          <w:sz w:val="20"/>
          <w:szCs w:val="20"/>
          <w:lang w:val="es-MX"/>
        </w:rPr>
        <w:t>como</w:t>
      </w:r>
      <w:r w:rsidR="000A1067" w:rsidRPr="00357ECA">
        <w:rPr>
          <w:rFonts w:ascii="Garamond" w:hAnsi="Garamond"/>
          <w:sz w:val="20"/>
          <w:szCs w:val="20"/>
          <w:lang w:val="es-MX"/>
        </w:rPr>
        <w:t xml:space="preserve"> </w:t>
      </w:r>
      <w:r w:rsidR="000A1067" w:rsidRPr="00357ECA">
        <w:rPr>
          <w:rFonts w:ascii="Garamond" w:hAnsi="Garamond"/>
          <w:i/>
          <w:sz w:val="20"/>
          <w:szCs w:val="20"/>
          <w:lang w:val="es-MX"/>
        </w:rPr>
        <w:t>familia</w:t>
      </w:r>
      <w:r w:rsidR="000A1067" w:rsidRPr="00357ECA">
        <w:rPr>
          <w:rFonts w:ascii="Garamond" w:hAnsi="Garamond"/>
          <w:sz w:val="20"/>
          <w:szCs w:val="20"/>
          <w:lang w:val="es-MX"/>
        </w:rPr>
        <w:t xml:space="preserve"> </w:t>
      </w:r>
      <w:r w:rsidR="00225A0B" w:rsidRPr="00357ECA">
        <w:rPr>
          <w:rFonts w:ascii="Garamond" w:hAnsi="Garamond"/>
          <w:sz w:val="20"/>
          <w:szCs w:val="20"/>
          <w:lang w:val="es-MX"/>
        </w:rPr>
        <w:t xml:space="preserve">se </w:t>
      </w:r>
      <w:r w:rsidR="00DD5DB3" w:rsidRPr="00357ECA">
        <w:rPr>
          <w:rFonts w:ascii="Garamond" w:hAnsi="Garamond"/>
          <w:sz w:val="20"/>
          <w:szCs w:val="20"/>
          <w:lang w:val="es-MX"/>
        </w:rPr>
        <w:t xml:space="preserve">ha </w:t>
      </w:r>
      <w:r w:rsidR="00A16521" w:rsidRPr="00357ECA">
        <w:rPr>
          <w:rFonts w:ascii="Garamond" w:hAnsi="Garamond"/>
          <w:sz w:val="20"/>
          <w:szCs w:val="20"/>
          <w:lang w:val="es-MX"/>
        </w:rPr>
        <w:t>modifica</w:t>
      </w:r>
      <w:r w:rsidR="00225A0B" w:rsidRPr="00357ECA">
        <w:rPr>
          <w:rFonts w:ascii="Garamond" w:hAnsi="Garamond"/>
          <w:sz w:val="20"/>
          <w:szCs w:val="20"/>
          <w:lang w:val="es-MX"/>
        </w:rPr>
        <w:t>do sustancialmente</w:t>
      </w:r>
      <w:r w:rsidR="009176E7">
        <w:rPr>
          <w:rStyle w:val="Refdenotaalpie"/>
          <w:rFonts w:ascii="Garamond" w:hAnsi="Garamond"/>
          <w:sz w:val="20"/>
          <w:szCs w:val="20"/>
          <w:lang w:val="es-MX"/>
        </w:rPr>
        <w:footnoteReference w:id="1"/>
      </w:r>
      <w:r w:rsidR="00A16521" w:rsidRPr="00357ECA">
        <w:rPr>
          <w:rFonts w:ascii="Garamond" w:hAnsi="Garamond"/>
          <w:sz w:val="20"/>
          <w:szCs w:val="20"/>
          <w:lang w:val="es-MX"/>
        </w:rPr>
        <w:t xml:space="preserve">. </w:t>
      </w:r>
    </w:p>
    <w:p w14:paraId="37AAC394" w14:textId="77777777" w:rsidR="00525D7E" w:rsidRP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La Política Pública para las</w:t>
      </w:r>
      <w:r w:rsidRPr="00525D7E">
        <w:rPr>
          <w:rFonts w:ascii="Garamond" w:hAnsi="Garamond"/>
          <w:sz w:val="20"/>
          <w:szCs w:val="20"/>
          <w:lang w:val="es-MX"/>
        </w:rPr>
        <w:t xml:space="preserve"> Familia</w:t>
      </w:r>
      <w:r>
        <w:rPr>
          <w:rFonts w:ascii="Garamond" w:hAnsi="Garamond"/>
          <w:sz w:val="20"/>
          <w:szCs w:val="20"/>
          <w:lang w:val="es-MX"/>
        </w:rPr>
        <w:t>s del Distrito</w:t>
      </w:r>
      <w:r w:rsidRPr="00525D7E">
        <w:rPr>
          <w:rFonts w:ascii="Garamond" w:hAnsi="Garamond"/>
          <w:sz w:val="20"/>
          <w:szCs w:val="20"/>
          <w:lang w:val="es-MX"/>
        </w:rPr>
        <w:t xml:space="preserve"> se sustenta desde la concepción misma de familia a partir de la Constitución Política de Colombia de</w:t>
      </w:r>
      <w:r>
        <w:rPr>
          <w:rFonts w:ascii="Garamond" w:hAnsi="Garamond"/>
          <w:sz w:val="20"/>
          <w:szCs w:val="20"/>
          <w:lang w:val="es-MX"/>
        </w:rPr>
        <w:t xml:space="preserve"> 1991 en sus artículos 5° y 42°. </w:t>
      </w:r>
      <w:r w:rsidRPr="00525D7E">
        <w:rPr>
          <w:rFonts w:ascii="Garamond" w:hAnsi="Garamond"/>
          <w:sz w:val="20"/>
          <w:szCs w:val="20"/>
          <w:lang w:val="es-MX"/>
        </w:rPr>
        <w:t>Bajo este sustento legal se identificó a la Familia como una institución básica de la sociedad, es decir se le dio una interpretación de sujeto de acción pública que el Estado tiene la obligación de proteger. Esto implicó que no solamente el Estado debe garantizar los derechos de los ciudadanos como individuos sino que además se debe proteger a la familia.</w:t>
      </w:r>
    </w:p>
    <w:p w14:paraId="2D1DCD99" w14:textId="2F8ED0BA" w:rsidR="00525D7E" w:rsidRDefault="00525D7E" w:rsidP="00525D7E">
      <w:pPr>
        <w:spacing w:line="360" w:lineRule="auto"/>
        <w:jc w:val="both"/>
        <w:rPr>
          <w:rFonts w:ascii="Garamond" w:hAnsi="Garamond"/>
          <w:sz w:val="20"/>
          <w:szCs w:val="20"/>
          <w:lang w:val="es-MX"/>
        </w:rPr>
      </w:pPr>
      <w:r w:rsidRPr="00525D7E">
        <w:rPr>
          <w:rFonts w:ascii="Garamond" w:hAnsi="Garamond"/>
          <w:sz w:val="20"/>
          <w:szCs w:val="20"/>
          <w:lang w:val="es-MX"/>
        </w:rPr>
        <w:t>Reconociendo a la Familia como un grupo titular de derechos a partir de la Carta Política, el Distrito de Bogotá</w:t>
      </w:r>
      <w:r>
        <w:rPr>
          <w:rFonts w:ascii="Garamond" w:hAnsi="Garamond"/>
          <w:sz w:val="20"/>
          <w:szCs w:val="20"/>
          <w:lang w:val="es-MX"/>
        </w:rPr>
        <w:t xml:space="preserve"> expidió el decreto 545 de 2011, por </w:t>
      </w:r>
      <w:r w:rsidRPr="00525D7E">
        <w:rPr>
          <w:rFonts w:ascii="Garamond" w:hAnsi="Garamond"/>
          <w:sz w:val="20"/>
          <w:szCs w:val="20"/>
          <w:lang w:val="es-MX"/>
        </w:rPr>
        <w:t xml:space="preserve">el cual </w:t>
      </w:r>
      <w:r>
        <w:rPr>
          <w:rFonts w:ascii="Garamond" w:hAnsi="Garamond"/>
          <w:sz w:val="20"/>
          <w:szCs w:val="20"/>
          <w:lang w:val="es-MX"/>
        </w:rPr>
        <w:t>adoptó</w:t>
      </w:r>
      <w:r w:rsidRPr="00525D7E">
        <w:rPr>
          <w:rFonts w:ascii="Garamond" w:hAnsi="Garamond"/>
          <w:sz w:val="20"/>
          <w:szCs w:val="20"/>
          <w:lang w:val="es-MX"/>
        </w:rPr>
        <w:t xml:space="preserve"> la Política Pública p</w:t>
      </w:r>
      <w:r>
        <w:rPr>
          <w:rFonts w:ascii="Garamond" w:hAnsi="Garamond"/>
          <w:sz w:val="20"/>
          <w:szCs w:val="20"/>
          <w:lang w:val="es-MX"/>
        </w:rPr>
        <w:t>ara las Familias en Bogotá y bajo el cual el Distrito</w:t>
      </w:r>
      <w:r w:rsidRPr="00525D7E">
        <w:rPr>
          <w:rFonts w:ascii="Garamond" w:hAnsi="Garamond"/>
          <w:sz w:val="20"/>
          <w:szCs w:val="20"/>
          <w:lang w:val="es-MX"/>
        </w:rPr>
        <w:t xml:space="preserve"> materializó los derechos y principios de la Familia como sujeto de derecho orientando acciones para su protección.</w:t>
      </w:r>
    </w:p>
    <w:p w14:paraId="059109E1" w14:textId="52606A46" w:rsid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A partir del documento de Política Pública para las Familias del Distrito 2011-2025</w:t>
      </w:r>
      <w:r w:rsidR="006E64C9">
        <w:rPr>
          <w:rFonts w:ascii="Garamond" w:hAnsi="Garamond"/>
          <w:sz w:val="20"/>
          <w:szCs w:val="20"/>
          <w:lang w:val="es-MX"/>
        </w:rPr>
        <w:t>, se entiende a la familia como:</w:t>
      </w:r>
    </w:p>
    <w:p w14:paraId="14EA4BA9" w14:textId="28CDABAA" w:rsidR="00525D7E" w:rsidRPr="00525D7E" w:rsidRDefault="00525D7E" w:rsidP="00525D7E">
      <w:pPr>
        <w:spacing w:line="360" w:lineRule="auto"/>
        <w:jc w:val="both"/>
        <w:rPr>
          <w:rFonts w:ascii="Garamond" w:hAnsi="Garamond"/>
          <w:sz w:val="20"/>
          <w:szCs w:val="20"/>
          <w:lang w:val="es-MX"/>
        </w:rPr>
      </w:pPr>
      <w:r>
        <w:rPr>
          <w:rFonts w:ascii="Garamond" w:hAnsi="Garamond"/>
          <w:sz w:val="20"/>
          <w:szCs w:val="20"/>
          <w:lang w:val="es-MX"/>
        </w:rPr>
        <w:t>“</w:t>
      </w:r>
      <w:r w:rsidRPr="006E64C9">
        <w:rPr>
          <w:rFonts w:ascii="Garamond" w:hAnsi="Garamond"/>
          <w:i/>
          <w:sz w:val="20"/>
          <w:szCs w:val="20"/>
          <w:lang w:val="es-MX"/>
        </w:rPr>
        <w:t>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6E64C9">
        <w:rPr>
          <w:rStyle w:val="Refdenotaalpie"/>
          <w:rFonts w:ascii="Garamond" w:hAnsi="Garamond"/>
          <w:i/>
          <w:sz w:val="20"/>
          <w:szCs w:val="20"/>
          <w:lang w:val="es-MX"/>
        </w:rPr>
        <w:footnoteReference w:id="2"/>
      </w:r>
      <w:r w:rsidR="006E64C9">
        <w:rPr>
          <w:rFonts w:ascii="Garamond" w:hAnsi="Garamond"/>
          <w:i/>
          <w:sz w:val="20"/>
          <w:szCs w:val="20"/>
          <w:lang w:val="es-MX"/>
        </w:rPr>
        <w:t>”</w:t>
      </w:r>
    </w:p>
    <w:p w14:paraId="23D5DE65" w14:textId="77777777" w:rsidR="00525D7E" w:rsidRDefault="00525D7E" w:rsidP="00525D7E">
      <w:pPr>
        <w:spacing w:line="360" w:lineRule="auto"/>
        <w:jc w:val="both"/>
        <w:rPr>
          <w:rFonts w:ascii="Garamond" w:hAnsi="Garamond"/>
          <w:sz w:val="20"/>
          <w:szCs w:val="20"/>
          <w:lang w:val="es-MX"/>
        </w:rPr>
      </w:pPr>
      <w:r w:rsidRPr="00525D7E">
        <w:rPr>
          <w:rFonts w:ascii="Garamond" w:hAnsi="Garamond"/>
          <w:sz w:val="20"/>
          <w:szCs w:val="20"/>
          <w:lang w:val="es-MX"/>
        </w:rPr>
        <w:t xml:space="preserve">En ese sentido, se generó la necesidad de estudiar las dinámicas sociales, políticas, económicas y culturales </w:t>
      </w:r>
      <w:r w:rsidRPr="00525D7E">
        <w:rPr>
          <w:rFonts w:ascii="Garamond" w:hAnsi="Garamond"/>
          <w:sz w:val="20"/>
          <w:szCs w:val="20"/>
          <w:lang w:val="es-MX"/>
        </w:rPr>
        <w:lastRenderedPageBreak/>
        <w:t>desde enfoques diferenciales que muestren las realidades de las familias Bogotanas.</w:t>
      </w:r>
      <w:r>
        <w:rPr>
          <w:rFonts w:ascii="Garamond" w:hAnsi="Garamond"/>
          <w:sz w:val="20"/>
          <w:szCs w:val="20"/>
          <w:lang w:val="es-MX"/>
        </w:rPr>
        <w:t xml:space="preserve"> </w:t>
      </w:r>
    </w:p>
    <w:p w14:paraId="20A34B60" w14:textId="77777777" w:rsidR="006E64C9" w:rsidRDefault="0023517A" w:rsidP="00A16521">
      <w:pPr>
        <w:spacing w:line="360" w:lineRule="auto"/>
        <w:jc w:val="both"/>
        <w:rPr>
          <w:rFonts w:ascii="Garamond" w:hAnsi="Garamond"/>
          <w:sz w:val="20"/>
          <w:szCs w:val="20"/>
          <w:lang w:val="es-MX"/>
        </w:rPr>
      </w:pPr>
      <w:r w:rsidRPr="00357ECA">
        <w:rPr>
          <w:rFonts w:ascii="Garamond" w:hAnsi="Garamond"/>
          <w:sz w:val="20"/>
          <w:szCs w:val="20"/>
          <w:lang w:val="es-MX"/>
        </w:rPr>
        <w:t>L</w:t>
      </w:r>
      <w:r w:rsidR="00A16521" w:rsidRPr="00357ECA">
        <w:rPr>
          <w:rFonts w:ascii="Garamond" w:hAnsi="Garamond"/>
          <w:sz w:val="20"/>
          <w:szCs w:val="20"/>
          <w:lang w:val="es-MX"/>
        </w:rPr>
        <w:t xml:space="preserve">a información </w:t>
      </w:r>
      <w:r w:rsidRPr="00357ECA">
        <w:rPr>
          <w:rFonts w:ascii="Garamond" w:hAnsi="Garamond"/>
          <w:sz w:val="20"/>
          <w:szCs w:val="20"/>
          <w:lang w:val="es-MX"/>
        </w:rPr>
        <w:t xml:space="preserve">con la que se cuenta en la actualidad no es </w:t>
      </w:r>
      <w:r w:rsidR="00A16521" w:rsidRPr="00357ECA">
        <w:rPr>
          <w:rFonts w:ascii="Garamond" w:hAnsi="Garamond"/>
          <w:sz w:val="20"/>
          <w:szCs w:val="20"/>
          <w:lang w:val="es-MX"/>
        </w:rPr>
        <w:t xml:space="preserve">suficiente </w:t>
      </w:r>
      <w:r w:rsidRPr="00357ECA">
        <w:rPr>
          <w:rFonts w:ascii="Garamond" w:hAnsi="Garamond"/>
          <w:sz w:val="20"/>
          <w:szCs w:val="20"/>
          <w:lang w:val="es-MX"/>
        </w:rPr>
        <w:t xml:space="preserve">para cuantificar y </w:t>
      </w:r>
      <w:r w:rsidR="00D51EE2" w:rsidRPr="00357ECA">
        <w:rPr>
          <w:rFonts w:ascii="Garamond" w:hAnsi="Garamond"/>
          <w:sz w:val="20"/>
          <w:szCs w:val="20"/>
          <w:lang w:val="es-MX"/>
        </w:rPr>
        <w:t xml:space="preserve">hacer una clasificación de las formas familiares que </w:t>
      </w:r>
      <w:r w:rsidRPr="00357ECA">
        <w:rPr>
          <w:rFonts w:ascii="Garamond" w:hAnsi="Garamond"/>
          <w:sz w:val="20"/>
          <w:szCs w:val="20"/>
          <w:lang w:val="es-MX"/>
        </w:rPr>
        <w:t>predomina</w:t>
      </w:r>
      <w:r w:rsidR="00D51EE2" w:rsidRPr="00357ECA">
        <w:rPr>
          <w:rFonts w:ascii="Garamond" w:hAnsi="Garamond"/>
          <w:sz w:val="20"/>
          <w:szCs w:val="20"/>
          <w:lang w:val="es-MX"/>
        </w:rPr>
        <w:t>n en la realidad bogotana</w:t>
      </w:r>
      <w:r w:rsidRPr="00357ECA">
        <w:rPr>
          <w:rFonts w:ascii="Garamond" w:hAnsi="Garamond"/>
          <w:sz w:val="20"/>
          <w:szCs w:val="20"/>
          <w:lang w:val="es-MX"/>
        </w:rPr>
        <w:t>. Por esta razón es preciso recopila</w:t>
      </w:r>
      <w:r w:rsidR="006E64C9">
        <w:rPr>
          <w:rFonts w:ascii="Garamond" w:hAnsi="Garamond"/>
          <w:sz w:val="20"/>
          <w:szCs w:val="20"/>
          <w:lang w:val="es-MX"/>
        </w:rPr>
        <w:t>r</w:t>
      </w:r>
      <w:r w:rsidRPr="00357ECA">
        <w:rPr>
          <w:rFonts w:ascii="Garamond" w:hAnsi="Garamond"/>
          <w:sz w:val="20"/>
          <w:szCs w:val="20"/>
          <w:lang w:val="es-MX"/>
        </w:rPr>
        <w:t xml:space="preserve"> de información </w:t>
      </w:r>
      <w:r w:rsidR="00E71202" w:rsidRPr="00357ECA">
        <w:rPr>
          <w:rFonts w:ascii="Garamond" w:hAnsi="Garamond"/>
          <w:sz w:val="20"/>
          <w:szCs w:val="20"/>
          <w:lang w:val="es-MX"/>
        </w:rPr>
        <w:t>con</w:t>
      </w:r>
      <w:r w:rsidRPr="00357ECA">
        <w:rPr>
          <w:rFonts w:ascii="Garamond" w:hAnsi="Garamond"/>
          <w:sz w:val="20"/>
          <w:szCs w:val="20"/>
          <w:lang w:val="es-MX"/>
        </w:rPr>
        <w:t xml:space="preserve"> fuente</w:t>
      </w:r>
      <w:r w:rsidR="00E71202" w:rsidRPr="00357ECA">
        <w:rPr>
          <w:rFonts w:ascii="Garamond" w:hAnsi="Garamond"/>
          <w:sz w:val="20"/>
          <w:szCs w:val="20"/>
          <w:lang w:val="es-MX"/>
        </w:rPr>
        <w:t>s primarias</w:t>
      </w:r>
      <w:r w:rsidRPr="00357ECA">
        <w:rPr>
          <w:rFonts w:ascii="Garamond" w:hAnsi="Garamond"/>
          <w:sz w:val="20"/>
          <w:szCs w:val="20"/>
          <w:lang w:val="es-MX"/>
        </w:rPr>
        <w:t xml:space="preserve"> que, con márgenes de error razonables, permitan inferir las principales tipologías familiares. </w:t>
      </w:r>
    </w:p>
    <w:p w14:paraId="029DD799" w14:textId="58B09BE6" w:rsidR="00C010B7" w:rsidRPr="00357ECA" w:rsidRDefault="00C010B7" w:rsidP="00A16521">
      <w:pPr>
        <w:spacing w:line="360" w:lineRule="auto"/>
        <w:jc w:val="both"/>
        <w:rPr>
          <w:rFonts w:ascii="Garamond" w:hAnsi="Garamond"/>
          <w:sz w:val="20"/>
          <w:szCs w:val="20"/>
          <w:lang w:val="es-MX"/>
        </w:rPr>
      </w:pPr>
      <w:r w:rsidRPr="00357ECA">
        <w:rPr>
          <w:rFonts w:ascii="Garamond" w:hAnsi="Garamond"/>
          <w:sz w:val="20"/>
          <w:szCs w:val="20"/>
          <w:lang w:val="es-MX"/>
        </w:rPr>
        <w:t>L</w:t>
      </w:r>
      <w:r w:rsidR="0045711D" w:rsidRPr="00357ECA">
        <w:rPr>
          <w:rFonts w:ascii="Garamond" w:hAnsi="Garamond"/>
          <w:sz w:val="20"/>
          <w:szCs w:val="20"/>
          <w:lang w:val="es-MX"/>
        </w:rPr>
        <w:t xml:space="preserve">a Encuesta Nacional de Demografía y Salud (ENDS) del Ministerio de Salud </w:t>
      </w:r>
      <w:r w:rsidRPr="00357ECA">
        <w:rPr>
          <w:rFonts w:ascii="Garamond" w:hAnsi="Garamond"/>
          <w:sz w:val="20"/>
          <w:szCs w:val="20"/>
          <w:lang w:val="es-MX"/>
        </w:rPr>
        <w:t xml:space="preserve">y Profamilia fue un precedente en caracterización de familia. </w:t>
      </w:r>
      <w:r w:rsidR="006E64C9">
        <w:rPr>
          <w:rFonts w:ascii="Garamond" w:hAnsi="Garamond"/>
          <w:sz w:val="20"/>
          <w:szCs w:val="20"/>
          <w:lang w:val="es-MX"/>
        </w:rPr>
        <w:t xml:space="preserve"> </w:t>
      </w:r>
      <w:r w:rsidRPr="00357ECA">
        <w:rPr>
          <w:rFonts w:ascii="Garamond" w:hAnsi="Garamond"/>
          <w:sz w:val="20"/>
          <w:szCs w:val="20"/>
          <w:lang w:val="es-MX"/>
        </w:rPr>
        <w:t xml:space="preserve">A partir de los datos de 2015 </w:t>
      </w:r>
      <w:r w:rsidR="00DD5DB3" w:rsidRPr="00357ECA">
        <w:rPr>
          <w:rFonts w:ascii="Garamond" w:hAnsi="Garamond"/>
          <w:sz w:val="20"/>
          <w:szCs w:val="20"/>
          <w:lang w:val="es-MX"/>
        </w:rPr>
        <w:t>se establecieron</w:t>
      </w:r>
      <w:r w:rsidR="0045711D" w:rsidRPr="00357ECA">
        <w:rPr>
          <w:rFonts w:ascii="Garamond" w:hAnsi="Garamond"/>
          <w:sz w:val="20"/>
          <w:szCs w:val="20"/>
          <w:lang w:val="es-MX"/>
        </w:rPr>
        <w:t xml:space="preserve"> cuatro criterios de clasificación de familia: unipersonales, n</w:t>
      </w:r>
      <w:r w:rsidRPr="00357ECA">
        <w:rPr>
          <w:rFonts w:ascii="Garamond" w:hAnsi="Garamond"/>
          <w:sz w:val="20"/>
          <w:szCs w:val="20"/>
          <w:lang w:val="es-MX"/>
        </w:rPr>
        <w:t xml:space="preserve">ucleares, extensos y compuestos, y </w:t>
      </w:r>
      <w:r w:rsidR="00DD5DB3" w:rsidRPr="00357ECA">
        <w:rPr>
          <w:rFonts w:ascii="Garamond" w:hAnsi="Garamond"/>
          <w:sz w:val="20"/>
          <w:szCs w:val="20"/>
          <w:lang w:val="es-MX"/>
        </w:rPr>
        <w:t>se encontró que el 11,</w:t>
      </w:r>
      <w:r w:rsidRPr="00357ECA">
        <w:rPr>
          <w:rFonts w:ascii="Garamond" w:hAnsi="Garamond"/>
          <w:sz w:val="20"/>
          <w:szCs w:val="20"/>
          <w:lang w:val="es-MX"/>
        </w:rPr>
        <w:t xml:space="preserve">1% de los hogares colombianos </w:t>
      </w:r>
      <w:r w:rsidR="00DD5DB3" w:rsidRPr="00357ECA">
        <w:rPr>
          <w:rFonts w:ascii="Garamond" w:hAnsi="Garamond"/>
          <w:sz w:val="20"/>
          <w:szCs w:val="20"/>
          <w:lang w:val="es-MX"/>
        </w:rPr>
        <w:t>son hogares</w:t>
      </w:r>
      <w:r w:rsidRPr="00357ECA">
        <w:rPr>
          <w:rFonts w:ascii="Garamond" w:hAnsi="Garamond"/>
          <w:sz w:val="20"/>
          <w:szCs w:val="20"/>
          <w:lang w:val="es-MX"/>
        </w:rPr>
        <w:t xml:space="preserve"> unipersonal</w:t>
      </w:r>
      <w:r w:rsidR="00DD5DB3" w:rsidRPr="00357ECA">
        <w:rPr>
          <w:rFonts w:ascii="Garamond" w:hAnsi="Garamond"/>
          <w:sz w:val="20"/>
          <w:szCs w:val="20"/>
          <w:lang w:val="es-MX"/>
        </w:rPr>
        <w:t>es</w:t>
      </w:r>
      <w:r w:rsidRPr="00357ECA">
        <w:rPr>
          <w:rFonts w:ascii="Garamond" w:hAnsi="Garamond"/>
          <w:sz w:val="20"/>
          <w:szCs w:val="20"/>
          <w:lang w:val="es-MX"/>
        </w:rPr>
        <w:t xml:space="preserve">, </w:t>
      </w:r>
      <w:r w:rsidR="00DD5DB3" w:rsidRPr="00357ECA">
        <w:rPr>
          <w:rFonts w:ascii="Garamond" w:hAnsi="Garamond"/>
          <w:sz w:val="20"/>
          <w:szCs w:val="20"/>
          <w:lang w:val="es-MX"/>
        </w:rPr>
        <w:t>se evidenció además que el 36,</w:t>
      </w:r>
      <w:r w:rsidRPr="00357ECA">
        <w:rPr>
          <w:rFonts w:ascii="Garamond" w:hAnsi="Garamond"/>
          <w:sz w:val="20"/>
          <w:szCs w:val="20"/>
          <w:lang w:val="es-MX"/>
        </w:rPr>
        <w:t>4% tiene una jefatura femenina y que el 40% de las mujeres entre 20 y 24 años tuvo su primera unión conyugal antes de los 20 años. Sin embargo</w:t>
      </w:r>
      <w:r w:rsidR="00DD5DB3" w:rsidRPr="00357ECA">
        <w:rPr>
          <w:rFonts w:ascii="Garamond" w:hAnsi="Garamond"/>
          <w:sz w:val="20"/>
          <w:szCs w:val="20"/>
          <w:lang w:val="es-MX"/>
        </w:rPr>
        <w:t>,</w:t>
      </w:r>
      <w:r w:rsidRPr="00357ECA">
        <w:rPr>
          <w:rFonts w:ascii="Garamond" w:hAnsi="Garamond"/>
          <w:sz w:val="20"/>
          <w:szCs w:val="20"/>
          <w:lang w:val="es-MX"/>
        </w:rPr>
        <w:t xml:space="preserve"> todos los estudios anteriores siempre han considerado al </w:t>
      </w:r>
      <w:r w:rsidRPr="00357ECA">
        <w:rPr>
          <w:rFonts w:ascii="Garamond" w:hAnsi="Garamond"/>
          <w:i/>
          <w:sz w:val="20"/>
          <w:szCs w:val="20"/>
          <w:lang w:val="es-MX"/>
        </w:rPr>
        <w:t>hogar</w:t>
      </w:r>
      <w:r w:rsidRPr="00357ECA">
        <w:rPr>
          <w:rFonts w:ascii="Garamond" w:hAnsi="Garamond"/>
          <w:sz w:val="20"/>
          <w:szCs w:val="20"/>
          <w:lang w:val="es-MX"/>
        </w:rPr>
        <w:t xml:space="preserve"> como la unidad de muestreo pero para </w:t>
      </w:r>
      <w:r w:rsidR="00791402" w:rsidRPr="00357ECA">
        <w:rPr>
          <w:rFonts w:ascii="Garamond" w:hAnsi="Garamond"/>
          <w:sz w:val="20"/>
          <w:szCs w:val="20"/>
          <w:lang w:val="es-MX"/>
        </w:rPr>
        <w:t>un</w:t>
      </w:r>
      <w:r w:rsidRPr="00357ECA">
        <w:rPr>
          <w:rFonts w:ascii="Garamond" w:hAnsi="Garamond"/>
          <w:sz w:val="20"/>
          <w:szCs w:val="20"/>
          <w:lang w:val="es-MX"/>
        </w:rPr>
        <w:t xml:space="preserve"> acertado análisis debe recurrirse a la </w:t>
      </w:r>
      <w:r w:rsidRPr="00357ECA">
        <w:rPr>
          <w:rFonts w:ascii="Garamond" w:hAnsi="Garamond"/>
          <w:i/>
          <w:sz w:val="20"/>
          <w:szCs w:val="20"/>
          <w:lang w:val="es-MX"/>
        </w:rPr>
        <w:t>familia</w:t>
      </w:r>
      <w:r w:rsidRPr="00357ECA">
        <w:rPr>
          <w:rFonts w:ascii="Garamond" w:hAnsi="Garamond"/>
          <w:sz w:val="20"/>
          <w:szCs w:val="20"/>
          <w:lang w:val="es-MX"/>
        </w:rPr>
        <w:t xml:space="preserve"> como el sujeto al que se le aplique el cuestionario.</w:t>
      </w:r>
    </w:p>
    <w:p w14:paraId="0A59BBD2" w14:textId="6288FC2C" w:rsidR="006E64C9" w:rsidRPr="00357ECA" w:rsidRDefault="006E64C9" w:rsidP="006E64C9">
      <w:pPr>
        <w:spacing w:line="360" w:lineRule="auto"/>
        <w:jc w:val="both"/>
        <w:rPr>
          <w:rFonts w:ascii="Garamond" w:hAnsi="Garamond"/>
          <w:sz w:val="20"/>
          <w:szCs w:val="20"/>
          <w:lang w:val="es-MX"/>
        </w:rPr>
      </w:pPr>
      <w:r w:rsidRPr="00357ECA">
        <w:rPr>
          <w:rFonts w:ascii="Garamond" w:hAnsi="Garamond"/>
          <w:sz w:val="20"/>
          <w:szCs w:val="20"/>
          <w:lang w:val="es-MX"/>
        </w:rPr>
        <w:t>En ese sentido la Secretaría de Planeación Distrital creó un formulario que</w:t>
      </w:r>
      <w:r>
        <w:rPr>
          <w:rFonts w:ascii="Garamond" w:hAnsi="Garamond"/>
          <w:sz w:val="20"/>
          <w:szCs w:val="20"/>
          <w:lang w:val="es-MX"/>
        </w:rPr>
        <w:t xml:space="preserve"> se</w:t>
      </w:r>
      <w:r w:rsidRPr="00357ECA">
        <w:rPr>
          <w:rFonts w:ascii="Garamond" w:hAnsi="Garamond"/>
          <w:sz w:val="20"/>
          <w:szCs w:val="20"/>
          <w:lang w:val="es-MX"/>
        </w:rPr>
        <w:t xml:space="preserve"> aplicó a 7</w:t>
      </w:r>
      <w:r>
        <w:rPr>
          <w:rFonts w:ascii="Garamond" w:hAnsi="Garamond"/>
          <w:sz w:val="20"/>
          <w:szCs w:val="20"/>
          <w:lang w:val="es-MX"/>
        </w:rPr>
        <w:t>.</w:t>
      </w:r>
      <w:r w:rsidR="00B943CF">
        <w:rPr>
          <w:rFonts w:ascii="Garamond" w:hAnsi="Garamond"/>
          <w:sz w:val="20"/>
          <w:szCs w:val="20"/>
          <w:lang w:val="es-MX"/>
        </w:rPr>
        <w:t>4</w:t>
      </w:r>
      <w:r w:rsidRPr="00357ECA">
        <w:rPr>
          <w:rFonts w:ascii="Garamond" w:hAnsi="Garamond"/>
          <w:sz w:val="20"/>
          <w:szCs w:val="20"/>
          <w:lang w:val="es-MX"/>
        </w:rPr>
        <w:t xml:space="preserve">20 </w:t>
      </w:r>
      <w:r w:rsidR="008163B7">
        <w:rPr>
          <w:rFonts w:ascii="Garamond" w:hAnsi="Garamond"/>
          <w:sz w:val="20"/>
          <w:szCs w:val="20"/>
          <w:lang w:val="es-MX"/>
        </w:rPr>
        <w:t xml:space="preserve">personas que responden a nombre de sus </w:t>
      </w:r>
      <w:r w:rsidR="00046C6C">
        <w:rPr>
          <w:rFonts w:ascii="Garamond" w:hAnsi="Garamond"/>
          <w:sz w:val="20"/>
          <w:szCs w:val="20"/>
          <w:lang w:val="es-MX"/>
        </w:rPr>
        <w:t xml:space="preserve">hogares </w:t>
      </w:r>
      <w:r w:rsidRPr="00357ECA">
        <w:rPr>
          <w:rFonts w:ascii="Garamond" w:hAnsi="Garamond"/>
          <w:sz w:val="20"/>
          <w:szCs w:val="20"/>
          <w:lang w:val="es-MX"/>
        </w:rPr>
        <w:t>familias</w:t>
      </w:r>
      <w:r w:rsidR="008163B7">
        <w:rPr>
          <w:rFonts w:ascii="Garamond" w:hAnsi="Garamond"/>
          <w:sz w:val="20"/>
          <w:szCs w:val="20"/>
          <w:lang w:val="es-MX"/>
        </w:rPr>
        <w:t>, en l</w:t>
      </w:r>
      <w:r w:rsidRPr="00357ECA">
        <w:rPr>
          <w:rFonts w:ascii="Garamond" w:hAnsi="Garamond"/>
          <w:sz w:val="20"/>
          <w:szCs w:val="20"/>
          <w:lang w:val="es-MX"/>
        </w:rPr>
        <w:t xml:space="preserve">a capital en zona urbana y a 400 familias rurales. </w:t>
      </w:r>
    </w:p>
    <w:p w14:paraId="00E0AE06" w14:textId="2F872508" w:rsidR="00C440BB" w:rsidRPr="00357ECA" w:rsidRDefault="00C010B7" w:rsidP="0045711D">
      <w:pPr>
        <w:spacing w:line="360" w:lineRule="auto"/>
        <w:jc w:val="both"/>
        <w:rPr>
          <w:rFonts w:ascii="Garamond" w:hAnsi="Garamond"/>
          <w:sz w:val="20"/>
          <w:szCs w:val="20"/>
          <w:lang w:val="es-MX"/>
        </w:rPr>
      </w:pPr>
      <w:r w:rsidRPr="00357ECA">
        <w:rPr>
          <w:rFonts w:ascii="Garamond" w:hAnsi="Garamond"/>
          <w:sz w:val="20"/>
          <w:szCs w:val="20"/>
          <w:lang w:val="es-MX"/>
        </w:rPr>
        <w:t>En la encuesta de Planeación Distrital a</w:t>
      </w:r>
      <w:r w:rsidR="0045711D" w:rsidRPr="00357ECA">
        <w:rPr>
          <w:rFonts w:ascii="Garamond" w:hAnsi="Garamond"/>
          <w:sz w:val="20"/>
          <w:szCs w:val="20"/>
          <w:lang w:val="es-MX"/>
        </w:rPr>
        <w:t>demás de las condiciones socioeconómicas</w:t>
      </w:r>
      <w:r w:rsidR="00DD5DB3" w:rsidRPr="00357ECA">
        <w:rPr>
          <w:rFonts w:ascii="Garamond" w:hAnsi="Garamond"/>
          <w:sz w:val="20"/>
          <w:szCs w:val="20"/>
          <w:lang w:val="es-MX"/>
        </w:rPr>
        <w:t>,</w:t>
      </w:r>
      <w:r w:rsidR="0045711D" w:rsidRPr="00357ECA">
        <w:rPr>
          <w:rFonts w:ascii="Garamond" w:hAnsi="Garamond"/>
          <w:sz w:val="20"/>
          <w:szCs w:val="20"/>
          <w:lang w:val="es-MX"/>
        </w:rPr>
        <w:t xml:space="preserve"> el formulario tuvo como propósito fundamental indagar por la concepción de familia y los roles del hombre y la mujer, por la forma en la que se conformó la familia y su composición, y por los métodos de crianza y de resolución de conflictos familiares entre otros aspectos. </w:t>
      </w:r>
    </w:p>
    <w:p w14:paraId="4DE220F0" w14:textId="77777777" w:rsidR="00C440BB" w:rsidRPr="00357ECA" w:rsidRDefault="00C440BB">
      <w:pPr>
        <w:rPr>
          <w:rFonts w:asciiTheme="majorHAnsi" w:eastAsiaTheme="majorEastAsia" w:hAnsiTheme="majorHAnsi" w:cstheme="majorBidi"/>
          <w:color w:val="365F91" w:themeColor="accent1" w:themeShade="BF"/>
          <w:sz w:val="20"/>
          <w:szCs w:val="20"/>
          <w:lang w:val="es-MX"/>
        </w:rPr>
      </w:pPr>
      <w:r w:rsidRPr="00357ECA">
        <w:rPr>
          <w:sz w:val="20"/>
          <w:szCs w:val="20"/>
          <w:lang w:val="es-MX"/>
        </w:rPr>
        <w:br w:type="page"/>
      </w:r>
    </w:p>
    <w:p w14:paraId="43B73B8E" w14:textId="2F3E1D3D" w:rsidR="00C440BB" w:rsidRPr="003073BE" w:rsidRDefault="00C440BB" w:rsidP="00C440BB">
      <w:pPr>
        <w:pStyle w:val="Ttulo1"/>
        <w:rPr>
          <w:szCs w:val="20"/>
          <w:lang w:val="es-MX"/>
        </w:rPr>
      </w:pPr>
      <w:r w:rsidRPr="003073BE">
        <w:rPr>
          <w:szCs w:val="20"/>
          <w:lang w:val="es-MX"/>
        </w:rPr>
        <w:lastRenderedPageBreak/>
        <w:t>Análisis de la Encuesta para familias del Distrito</w:t>
      </w:r>
      <w:r w:rsidR="009F1B6A" w:rsidRPr="003073BE">
        <w:rPr>
          <w:szCs w:val="20"/>
          <w:lang w:val="es-MX"/>
        </w:rPr>
        <w:t>, información demográfica</w:t>
      </w:r>
    </w:p>
    <w:p w14:paraId="6EA47128" w14:textId="77777777" w:rsidR="006E64C9" w:rsidRDefault="006E64C9" w:rsidP="00A16521">
      <w:pPr>
        <w:spacing w:line="360" w:lineRule="auto"/>
        <w:jc w:val="both"/>
        <w:rPr>
          <w:rFonts w:ascii="Garamond" w:hAnsi="Garamond"/>
          <w:sz w:val="20"/>
          <w:szCs w:val="20"/>
          <w:lang w:val="es-MX"/>
        </w:rPr>
      </w:pPr>
    </w:p>
    <w:p w14:paraId="6F91D8B6" w14:textId="65B9FB3D" w:rsidR="00F446E7" w:rsidRDefault="00C440BB" w:rsidP="00A16521">
      <w:pPr>
        <w:spacing w:line="360" w:lineRule="auto"/>
        <w:jc w:val="both"/>
        <w:rPr>
          <w:rFonts w:ascii="Garamond" w:hAnsi="Garamond"/>
          <w:sz w:val="20"/>
          <w:szCs w:val="20"/>
          <w:lang w:val="es-MX"/>
        </w:rPr>
      </w:pPr>
      <w:r w:rsidRPr="00357ECA">
        <w:rPr>
          <w:rFonts w:ascii="Garamond" w:hAnsi="Garamond"/>
          <w:sz w:val="20"/>
          <w:szCs w:val="20"/>
          <w:lang w:val="es-MX"/>
        </w:rPr>
        <w:t>Con base en la información obtenida con</w:t>
      </w:r>
      <w:r w:rsidR="00B020A0" w:rsidRPr="00357ECA">
        <w:rPr>
          <w:rFonts w:ascii="Garamond" w:hAnsi="Garamond"/>
          <w:sz w:val="20"/>
          <w:szCs w:val="20"/>
          <w:lang w:val="es-MX"/>
        </w:rPr>
        <w:t xml:space="preserve"> la aplicación de la encuesta</w:t>
      </w:r>
      <w:r w:rsidR="00D06392">
        <w:rPr>
          <w:rFonts w:ascii="Garamond" w:hAnsi="Garamond"/>
          <w:sz w:val="20"/>
          <w:szCs w:val="20"/>
          <w:lang w:val="es-MX"/>
        </w:rPr>
        <w:t xml:space="preserve"> a personas mayores de edad que afirmaron responder en nombre de sus familias</w:t>
      </w:r>
      <w:r w:rsidR="00997D6D">
        <w:rPr>
          <w:rStyle w:val="Refdenotaalpie"/>
          <w:rFonts w:ascii="Garamond" w:hAnsi="Garamond"/>
          <w:sz w:val="20"/>
          <w:szCs w:val="20"/>
          <w:lang w:val="es-MX"/>
        </w:rPr>
        <w:footnoteReference w:id="3"/>
      </w:r>
      <w:r w:rsidR="00F446E7">
        <w:rPr>
          <w:rFonts w:ascii="Garamond" w:hAnsi="Garamond"/>
          <w:sz w:val="20"/>
          <w:szCs w:val="20"/>
          <w:lang w:val="es-MX"/>
        </w:rPr>
        <w:t>,</w:t>
      </w:r>
      <w:r w:rsidR="00B020A0" w:rsidRPr="00357ECA">
        <w:rPr>
          <w:rFonts w:ascii="Garamond" w:hAnsi="Garamond"/>
          <w:sz w:val="20"/>
          <w:szCs w:val="20"/>
          <w:lang w:val="es-MX"/>
        </w:rPr>
        <w:t xml:space="preserve"> </w:t>
      </w:r>
      <w:r w:rsidR="006E64C9">
        <w:rPr>
          <w:rFonts w:ascii="Garamond" w:hAnsi="Garamond"/>
          <w:sz w:val="20"/>
          <w:szCs w:val="20"/>
          <w:lang w:val="es-MX"/>
        </w:rPr>
        <w:t>se presentan a continuación los resultados relacionados la información demográfica del formulario.</w:t>
      </w:r>
    </w:p>
    <w:p w14:paraId="37D5103C" w14:textId="3C7A257A" w:rsidR="00CF547F" w:rsidRPr="00357ECA" w:rsidRDefault="0045711D" w:rsidP="00A16521">
      <w:pPr>
        <w:spacing w:line="360" w:lineRule="auto"/>
        <w:jc w:val="both"/>
        <w:rPr>
          <w:rFonts w:ascii="Garamond" w:hAnsi="Garamond"/>
          <w:sz w:val="20"/>
          <w:szCs w:val="20"/>
          <w:lang w:val="es-MX"/>
        </w:rPr>
      </w:pPr>
      <w:r w:rsidRPr="00357ECA">
        <w:rPr>
          <w:rFonts w:ascii="Garamond" w:hAnsi="Garamond"/>
          <w:sz w:val="20"/>
          <w:szCs w:val="20"/>
          <w:lang w:val="es-MX"/>
        </w:rPr>
        <w:t xml:space="preserve">La distribución de los formularios aplicados por cada localidad de la capital </w:t>
      </w:r>
      <w:r w:rsidR="00C31236">
        <w:rPr>
          <w:rFonts w:ascii="Garamond" w:hAnsi="Garamond"/>
          <w:sz w:val="20"/>
          <w:szCs w:val="20"/>
          <w:lang w:val="es-MX"/>
        </w:rPr>
        <w:t>se resume en el</w:t>
      </w:r>
      <w:r w:rsidR="00EC6CB5" w:rsidRPr="00357ECA">
        <w:rPr>
          <w:rFonts w:ascii="Garamond" w:hAnsi="Garamond"/>
          <w:sz w:val="20"/>
          <w:szCs w:val="20"/>
          <w:lang w:val="es-MX"/>
        </w:rPr>
        <w:t xml:space="preserve"> siguiente </w:t>
      </w:r>
      <w:r w:rsidR="00C31236">
        <w:rPr>
          <w:rFonts w:ascii="Garamond" w:hAnsi="Garamond"/>
          <w:sz w:val="20"/>
          <w:szCs w:val="20"/>
          <w:lang w:val="es-MX"/>
        </w:rPr>
        <w:t>gráfico</w:t>
      </w:r>
      <w:r w:rsidR="00EC6CB5" w:rsidRPr="00357ECA">
        <w:rPr>
          <w:rFonts w:ascii="Garamond" w:hAnsi="Garamond"/>
          <w:sz w:val="20"/>
          <w:szCs w:val="20"/>
          <w:lang w:val="es-MX"/>
        </w:rPr>
        <w:t>. En total los 7</w:t>
      </w:r>
      <w:r w:rsidR="00412EC6">
        <w:rPr>
          <w:rFonts w:ascii="Garamond" w:hAnsi="Garamond"/>
          <w:sz w:val="20"/>
          <w:szCs w:val="20"/>
          <w:lang w:val="es-MX"/>
        </w:rPr>
        <w:t>.</w:t>
      </w:r>
      <w:r w:rsidR="00EC6CB5" w:rsidRPr="00357ECA">
        <w:rPr>
          <w:rFonts w:ascii="Garamond" w:hAnsi="Garamond"/>
          <w:sz w:val="20"/>
          <w:szCs w:val="20"/>
          <w:lang w:val="es-MX"/>
        </w:rPr>
        <w:t>420 formularios aplicados</w:t>
      </w:r>
      <w:r w:rsidR="00357ECA">
        <w:rPr>
          <w:rFonts w:ascii="Garamond" w:hAnsi="Garamond"/>
          <w:sz w:val="20"/>
          <w:szCs w:val="20"/>
          <w:lang w:val="es-MX"/>
        </w:rPr>
        <w:t xml:space="preserve"> que</w:t>
      </w:r>
      <w:r w:rsidR="00EC6CB5" w:rsidRPr="00357ECA">
        <w:rPr>
          <w:rFonts w:ascii="Garamond" w:hAnsi="Garamond"/>
          <w:sz w:val="20"/>
          <w:szCs w:val="20"/>
          <w:lang w:val="es-MX"/>
        </w:rPr>
        <w:t xml:space="preserve"> representan </w:t>
      </w:r>
      <w:r w:rsidR="00412EC6">
        <w:rPr>
          <w:rFonts w:ascii="Garamond" w:hAnsi="Garamond"/>
          <w:sz w:val="20"/>
          <w:szCs w:val="20"/>
          <w:lang w:val="es-MX"/>
        </w:rPr>
        <w:t xml:space="preserve">un estimado de </w:t>
      </w:r>
      <w:r w:rsidR="00EC6CB5" w:rsidRPr="00357ECA">
        <w:rPr>
          <w:rFonts w:ascii="Garamond" w:hAnsi="Garamond"/>
          <w:sz w:val="20"/>
          <w:szCs w:val="20"/>
          <w:lang w:val="es-MX"/>
        </w:rPr>
        <w:t>2.671.293 familias de Bogot</w:t>
      </w:r>
      <w:r w:rsidR="00357ECA" w:rsidRPr="00357ECA">
        <w:rPr>
          <w:rFonts w:ascii="Garamond" w:hAnsi="Garamond"/>
          <w:sz w:val="20"/>
          <w:szCs w:val="20"/>
          <w:lang w:val="es-MX"/>
        </w:rPr>
        <w:t>á</w:t>
      </w:r>
      <w:r w:rsidR="00357ECA">
        <w:rPr>
          <w:rFonts w:ascii="Garamond" w:hAnsi="Garamond"/>
          <w:sz w:val="20"/>
          <w:szCs w:val="20"/>
          <w:lang w:val="es-MX"/>
        </w:rPr>
        <w:t>.</w:t>
      </w:r>
    </w:p>
    <w:p w14:paraId="5BD23DFE" w14:textId="70DEAD92" w:rsidR="00CF547F" w:rsidRDefault="00C31236" w:rsidP="00A72991">
      <w:pPr>
        <w:spacing w:after="0" w:line="360" w:lineRule="auto"/>
        <w:jc w:val="center"/>
        <w:rPr>
          <w:rFonts w:ascii="Garamond" w:hAnsi="Garamond"/>
          <w:b/>
          <w:sz w:val="18"/>
          <w:szCs w:val="20"/>
          <w:lang w:val="es-MX"/>
        </w:rPr>
      </w:pPr>
      <w:r>
        <w:rPr>
          <w:rFonts w:ascii="Garamond" w:hAnsi="Garamond"/>
          <w:b/>
          <w:sz w:val="18"/>
          <w:szCs w:val="20"/>
          <w:lang w:val="es-MX"/>
        </w:rPr>
        <w:t>Gráfico</w:t>
      </w:r>
      <w:r w:rsidR="00CF547F" w:rsidRPr="00A72991">
        <w:rPr>
          <w:rFonts w:ascii="Garamond" w:hAnsi="Garamond"/>
          <w:b/>
          <w:sz w:val="18"/>
          <w:szCs w:val="20"/>
          <w:lang w:val="es-MX"/>
        </w:rPr>
        <w:t xml:space="preserve"> 1. </w:t>
      </w:r>
      <w:r w:rsidR="00620EF2">
        <w:rPr>
          <w:rFonts w:ascii="Garamond" w:hAnsi="Garamond"/>
          <w:b/>
          <w:sz w:val="18"/>
          <w:szCs w:val="20"/>
          <w:lang w:val="es-MX"/>
        </w:rPr>
        <w:t>Familias</w:t>
      </w:r>
      <w:r w:rsidR="00D06392">
        <w:rPr>
          <w:rFonts w:ascii="Garamond" w:hAnsi="Garamond"/>
          <w:b/>
          <w:sz w:val="18"/>
          <w:szCs w:val="20"/>
          <w:lang w:val="es-MX"/>
        </w:rPr>
        <w:t xml:space="preserve"> por</w:t>
      </w:r>
      <w:r w:rsidR="000F0BB4" w:rsidRPr="00A72991">
        <w:rPr>
          <w:rFonts w:ascii="Garamond" w:hAnsi="Garamond"/>
          <w:b/>
          <w:sz w:val="18"/>
          <w:szCs w:val="20"/>
          <w:lang w:val="es-MX"/>
        </w:rPr>
        <w:t xml:space="preserve"> l</w:t>
      </w:r>
      <w:r w:rsidR="00CF547F" w:rsidRPr="00A72991">
        <w:rPr>
          <w:rFonts w:ascii="Garamond" w:hAnsi="Garamond"/>
          <w:b/>
          <w:sz w:val="18"/>
          <w:szCs w:val="20"/>
          <w:lang w:val="es-MX"/>
        </w:rPr>
        <w:t>ocalidad</w:t>
      </w:r>
    </w:p>
    <w:p w14:paraId="60C012B5" w14:textId="6EF5DE4E" w:rsidR="0063013D" w:rsidRPr="00357ECA" w:rsidRDefault="00D06392" w:rsidP="00D06392">
      <w:pPr>
        <w:spacing w:after="0" w:line="360" w:lineRule="auto"/>
        <w:jc w:val="center"/>
        <w:rPr>
          <w:rFonts w:ascii="Garamond" w:hAnsi="Garamond"/>
          <w:sz w:val="20"/>
          <w:szCs w:val="20"/>
          <w:lang w:val="es-MX"/>
        </w:rPr>
      </w:pPr>
      <w:r>
        <w:rPr>
          <w:noProof/>
          <w:lang w:eastAsia="es-CO"/>
        </w:rPr>
        <w:drawing>
          <wp:inline distT="0" distB="0" distL="0" distR="0" wp14:anchorId="54C86FC9" wp14:editId="4A412B7C">
            <wp:extent cx="2581275" cy="25146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00EB45" w14:textId="047E1096" w:rsidR="005B51AB" w:rsidRDefault="00EC6CB5" w:rsidP="00EC6CB5">
      <w:pPr>
        <w:spacing w:line="360" w:lineRule="auto"/>
        <w:jc w:val="both"/>
        <w:rPr>
          <w:rFonts w:ascii="Garamond" w:hAnsi="Garamond"/>
          <w:sz w:val="20"/>
          <w:szCs w:val="20"/>
          <w:lang w:val="es-MX"/>
        </w:rPr>
      </w:pPr>
      <w:r w:rsidRPr="00357ECA">
        <w:rPr>
          <w:rFonts w:ascii="Garamond" w:hAnsi="Garamond"/>
          <w:sz w:val="20"/>
          <w:szCs w:val="20"/>
          <w:lang w:val="es-MX"/>
        </w:rPr>
        <w:t xml:space="preserve">Suba, Kennedy y </w:t>
      </w:r>
      <w:r w:rsidR="00046C6C" w:rsidRPr="00357ECA">
        <w:rPr>
          <w:rFonts w:ascii="Garamond" w:hAnsi="Garamond"/>
          <w:sz w:val="20"/>
          <w:szCs w:val="20"/>
          <w:lang w:val="es-MX"/>
        </w:rPr>
        <w:t>Engativá</w:t>
      </w:r>
      <w:r w:rsidRPr="00357ECA">
        <w:rPr>
          <w:rFonts w:ascii="Garamond" w:hAnsi="Garamond"/>
          <w:sz w:val="20"/>
          <w:szCs w:val="20"/>
          <w:lang w:val="es-MX"/>
        </w:rPr>
        <w:t xml:space="preserve"> son las localidades</w:t>
      </w:r>
      <w:r w:rsidR="00E374EB" w:rsidRPr="00357ECA">
        <w:rPr>
          <w:rFonts w:ascii="Garamond" w:hAnsi="Garamond"/>
          <w:sz w:val="20"/>
          <w:szCs w:val="20"/>
          <w:lang w:val="es-MX"/>
        </w:rPr>
        <w:t xml:space="preserve"> más densas poblacionalmente</w:t>
      </w:r>
      <w:r w:rsidR="001A3DCB" w:rsidRPr="00357ECA">
        <w:rPr>
          <w:rStyle w:val="Refdenotaalpie"/>
          <w:rFonts w:ascii="Garamond" w:hAnsi="Garamond"/>
          <w:sz w:val="20"/>
          <w:szCs w:val="20"/>
          <w:lang w:val="es-MX"/>
        </w:rPr>
        <w:footnoteReference w:id="4"/>
      </w:r>
      <w:r w:rsidR="00E374EB" w:rsidRPr="00357ECA">
        <w:rPr>
          <w:rFonts w:ascii="Garamond" w:hAnsi="Garamond"/>
          <w:sz w:val="20"/>
          <w:szCs w:val="20"/>
          <w:lang w:val="es-MX"/>
        </w:rPr>
        <w:t>.</w:t>
      </w:r>
      <w:r w:rsidRPr="00357ECA">
        <w:rPr>
          <w:rFonts w:ascii="Garamond" w:hAnsi="Garamond"/>
          <w:sz w:val="20"/>
          <w:szCs w:val="20"/>
          <w:lang w:val="es-MX"/>
        </w:rPr>
        <w:t xml:space="preserve"> </w:t>
      </w:r>
      <w:r w:rsidR="00E374EB" w:rsidRPr="00357ECA">
        <w:rPr>
          <w:rFonts w:ascii="Garamond" w:hAnsi="Garamond"/>
          <w:sz w:val="20"/>
          <w:szCs w:val="20"/>
          <w:lang w:val="es-MX"/>
        </w:rPr>
        <w:t xml:space="preserve">Consecuentemente, estas localidades </w:t>
      </w:r>
      <w:r w:rsidR="0076716E">
        <w:rPr>
          <w:rFonts w:ascii="Garamond" w:hAnsi="Garamond"/>
          <w:sz w:val="20"/>
          <w:szCs w:val="20"/>
          <w:lang w:val="es-MX"/>
        </w:rPr>
        <w:t>representan el 38,5%</w:t>
      </w:r>
      <w:r w:rsidR="006E7597" w:rsidRPr="00357ECA">
        <w:rPr>
          <w:rFonts w:ascii="Garamond" w:hAnsi="Garamond"/>
          <w:sz w:val="20"/>
          <w:szCs w:val="20"/>
          <w:lang w:val="es-MX"/>
        </w:rPr>
        <w:t xml:space="preserve"> de </w:t>
      </w:r>
      <w:r w:rsidR="00997D6D">
        <w:rPr>
          <w:rFonts w:ascii="Garamond" w:hAnsi="Garamond"/>
          <w:sz w:val="20"/>
          <w:szCs w:val="20"/>
          <w:lang w:val="es-MX"/>
        </w:rPr>
        <w:t>las familias</w:t>
      </w:r>
      <w:r w:rsidR="0076716E">
        <w:rPr>
          <w:rFonts w:ascii="Garamond" w:hAnsi="Garamond"/>
          <w:sz w:val="20"/>
          <w:szCs w:val="20"/>
          <w:lang w:val="es-MX"/>
        </w:rPr>
        <w:t xml:space="preserve"> encuestad</w:t>
      </w:r>
      <w:r w:rsidR="00997D6D">
        <w:rPr>
          <w:rFonts w:ascii="Garamond" w:hAnsi="Garamond"/>
          <w:sz w:val="20"/>
          <w:szCs w:val="20"/>
          <w:lang w:val="es-MX"/>
        </w:rPr>
        <w:t>a</w:t>
      </w:r>
      <w:r w:rsidR="0076716E">
        <w:rPr>
          <w:rFonts w:ascii="Garamond" w:hAnsi="Garamond"/>
          <w:sz w:val="20"/>
          <w:szCs w:val="20"/>
          <w:lang w:val="es-MX"/>
        </w:rPr>
        <w:t>s</w:t>
      </w:r>
      <w:r w:rsidR="006E7597" w:rsidRPr="00357ECA">
        <w:rPr>
          <w:rFonts w:ascii="Garamond" w:hAnsi="Garamond"/>
          <w:sz w:val="20"/>
          <w:szCs w:val="20"/>
          <w:lang w:val="es-MX"/>
        </w:rPr>
        <w:t>.</w:t>
      </w:r>
      <w:r w:rsidR="00971770">
        <w:rPr>
          <w:rFonts w:ascii="Garamond" w:hAnsi="Garamond"/>
          <w:sz w:val="20"/>
          <w:szCs w:val="20"/>
          <w:lang w:val="es-MX"/>
        </w:rPr>
        <w:t xml:space="preserve"> De otro lado, tan sólo el 0,3% de </w:t>
      </w:r>
      <w:r w:rsidR="00997D6D">
        <w:rPr>
          <w:rFonts w:ascii="Garamond" w:hAnsi="Garamond"/>
          <w:sz w:val="20"/>
          <w:szCs w:val="20"/>
          <w:lang w:val="es-MX"/>
        </w:rPr>
        <w:t xml:space="preserve">las </w:t>
      </w:r>
      <w:r w:rsidR="00997D6D">
        <w:rPr>
          <w:rFonts w:ascii="Garamond" w:hAnsi="Garamond"/>
          <w:sz w:val="20"/>
          <w:szCs w:val="20"/>
          <w:lang w:val="es-MX"/>
        </w:rPr>
        <w:t xml:space="preserve">familias </w:t>
      </w:r>
      <w:r w:rsidR="00971770">
        <w:rPr>
          <w:rFonts w:ascii="Garamond" w:hAnsi="Garamond"/>
          <w:sz w:val="20"/>
          <w:szCs w:val="20"/>
          <w:lang w:val="es-MX"/>
        </w:rPr>
        <w:t>de la encuesta están ubicad</w:t>
      </w:r>
      <w:r w:rsidR="00997D6D">
        <w:rPr>
          <w:rFonts w:ascii="Garamond" w:hAnsi="Garamond"/>
          <w:sz w:val="20"/>
          <w:szCs w:val="20"/>
          <w:lang w:val="es-MX"/>
        </w:rPr>
        <w:t>a</w:t>
      </w:r>
      <w:r w:rsidR="00971770">
        <w:rPr>
          <w:rFonts w:ascii="Garamond" w:hAnsi="Garamond"/>
          <w:sz w:val="20"/>
          <w:szCs w:val="20"/>
          <w:lang w:val="es-MX"/>
        </w:rPr>
        <w:t>s en zona rural del Distrito.</w:t>
      </w:r>
    </w:p>
    <w:p w14:paraId="3044B4A5" w14:textId="240AEE71" w:rsidR="00357ECA" w:rsidRPr="00357ECA" w:rsidRDefault="00551EA7" w:rsidP="00A72991">
      <w:pPr>
        <w:spacing w:after="0" w:line="360" w:lineRule="auto"/>
        <w:jc w:val="center"/>
        <w:rPr>
          <w:rFonts w:ascii="Garamond" w:hAnsi="Garamond"/>
          <w:b/>
          <w:sz w:val="18"/>
          <w:lang w:val="es-MX"/>
        </w:rPr>
      </w:pPr>
      <w:r>
        <w:rPr>
          <w:rFonts w:ascii="Garamond" w:hAnsi="Garamond"/>
          <w:b/>
          <w:sz w:val="18"/>
          <w:lang w:val="es-MX"/>
        </w:rPr>
        <w:t>Gráfico 2</w:t>
      </w:r>
      <w:r w:rsidR="00357ECA" w:rsidRPr="00357ECA">
        <w:rPr>
          <w:rFonts w:ascii="Garamond" w:hAnsi="Garamond"/>
          <w:b/>
          <w:sz w:val="18"/>
          <w:lang w:val="es-MX"/>
        </w:rPr>
        <w:t xml:space="preserve">. % </w:t>
      </w:r>
      <w:r w:rsidR="000F0BB4">
        <w:rPr>
          <w:rFonts w:ascii="Garamond" w:hAnsi="Garamond"/>
          <w:b/>
          <w:sz w:val="18"/>
          <w:lang w:val="es-MX"/>
        </w:rPr>
        <w:t>Familias e</w:t>
      </w:r>
      <w:r w:rsidR="00357ECA" w:rsidRPr="00357ECA">
        <w:rPr>
          <w:rFonts w:ascii="Garamond" w:hAnsi="Garamond"/>
          <w:b/>
          <w:sz w:val="18"/>
          <w:lang w:val="es-MX"/>
        </w:rPr>
        <w:t>ncuestadas</w:t>
      </w:r>
      <w:r w:rsidR="000F0BB4">
        <w:rPr>
          <w:rFonts w:ascii="Garamond" w:hAnsi="Garamond"/>
          <w:b/>
          <w:sz w:val="18"/>
          <w:lang w:val="es-MX"/>
        </w:rPr>
        <w:t xml:space="preserve"> </w:t>
      </w:r>
      <w:r w:rsidR="005B51AB">
        <w:rPr>
          <w:rFonts w:ascii="Garamond" w:hAnsi="Garamond"/>
          <w:b/>
          <w:sz w:val="18"/>
          <w:lang w:val="es-MX"/>
        </w:rPr>
        <w:t xml:space="preserve">con su representación </w:t>
      </w:r>
      <w:r w:rsidR="000F0BB4">
        <w:rPr>
          <w:rFonts w:ascii="Garamond" w:hAnsi="Garamond"/>
          <w:b/>
          <w:sz w:val="18"/>
          <w:lang w:val="es-MX"/>
        </w:rPr>
        <w:t>por l</w:t>
      </w:r>
      <w:r w:rsidR="00357ECA" w:rsidRPr="00357ECA">
        <w:rPr>
          <w:rFonts w:ascii="Garamond" w:hAnsi="Garamond"/>
          <w:b/>
          <w:sz w:val="18"/>
          <w:lang w:val="es-MX"/>
        </w:rPr>
        <w:t>ocalidad</w:t>
      </w:r>
    </w:p>
    <w:p w14:paraId="03FCCB6D" w14:textId="755BA599" w:rsidR="00CF547F" w:rsidRPr="00357ECA" w:rsidRDefault="00CF547F" w:rsidP="00357ECA">
      <w:pPr>
        <w:spacing w:after="0" w:line="360" w:lineRule="auto"/>
        <w:jc w:val="both"/>
        <w:rPr>
          <w:rFonts w:ascii="Garamond" w:hAnsi="Garamond"/>
          <w:sz w:val="20"/>
          <w:szCs w:val="20"/>
          <w:lang w:val="es-MX"/>
        </w:rPr>
      </w:pPr>
      <w:r>
        <w:rPr>
          <w:noProof/>
          <w:lang w:eastAsia="es-CO"/>
        </w:rPr>
        <w:drawing>
          <wp:inline distT="0" distB="0" distL="0" distR="0" wp14:anchorId="57ECD890" wp14:editId="051A93C5">
            <wp:extent cx="2581275" cy="2819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9466B9" w14:textId="6B3E20BB" w:rsidR="006E7597" w:rsidRDefault="00403C55" w:rsidP="00EC6CB5">
      <w:pPr>
        <w:spacing w:line="360" w:lineRule="auto"/>
        <w:jc w:val="both"/>
        <w:rPr>
          <w:rFonts w:ascii="Garamond" w:hAnsi="Garamond"/>
          <w:sz w:val="20"/>
          <w:szCs w:val="20"/>
          <w:lang w:val="es-MX"/>
        </w:rPr>
      </w:pPr>
      <w:r>
        <w:rPr>
          <w:rFonts w:ascii="Garamond" w:hAnsi="Garamond"/>
          <w:sz w:val="20"/>
          <w:szCs w:val="20"/>
          <w:lang w:val="es-MX"/>
        </w:rPr>
        <w:t>El 21,2</w:t>
      </w:r>
      <w:r w:rsidR="00460525">
        <w:rPr>
          <w:rFonts w:ascii="Garamond" w:hAnsi="Garamond"/>
          <w:sz w:val="20"/>
          <w:szCs w:val="20"/>
          <w:lang w:val="es-MX"/>
        </w:rPr>
        <w:t>% de l</w:t>
      </w:r>
      <w:r w:rsidR="006E7597" w:rsidRPr="00357ECA">
        <w:rPr>
          <w:rFonts w:ascii="Garamond" w:hAnsi="Garamond"/>
          <w:sz w:val="20"/>
          <w:szCs w:val="20"/>
          <w:lang w:val="es-MX"/>
        </w:rPr>
        <w:t>as personas que respondieron la encuesta a título de la familia</w:t>
      </w:r>
      <w:r w:rsidR="00051DBA" w:rsidRPr="00357ECA">
        <w:rPr>
          <w:rFonts w:ascii="Garamond" w:hAnsi="Garamond"/>
          <w:sz w:val="20"/>
          <w:szCs w:val="20"/>
          <w:lang w:val="es-MX"/>
        </w:rPr>
        <w:t xml:space="preserve"> (no </w:t>
      </w:r>
      <w:r w:rsidR="00D06392">
        <w:rPr>
          <w:rFonts w:ascii="Garamond" w:hAnsi="Garamond"/>
          <w:sz w:val="20"/>
          <w:szCs w:val="20"/>
          <w:lang w:val="es-MX"/>
        </w:rPr>
        <w:t>era condición para responder que fuera el</w:t>
      </w:r>
      <w:r w:rsidR="00051DBA" w:rsidRPr="00357ECA">
        <w:rPr>
          <w:rFonts w:ascii="Garamond" w:hAnsi="Garamond"/>
          <w:sz w:val="20"/>
          <w:szCs w:val="20"/>
          <w:lang w:val="es-MX"/>
        </w:rPr>
        <w:t xml:space="preserve"> jefe de hogar)</w:t>
      </w:r>
      <w:r w:rsidR="006E7597" w:rsidRPr="00357ECA">
        <w:rPr>
          <w:rFonts w:ascii="Garamond" w:hAnsi="Garamond"/>
          <w:sz w:val="20"/>
          <w:szCs w:val="20"/>
          <w:lang w:val="es-MX"/>
        </w:rPr>
        <w:t xml:space="preserve">, están entre 31 y 40 años, y 18% entre 17 y 24 años. </w:t>
      </w:r>
    </w:p>
    <w:p w14:paraId="1611D6B7" w14:textId="4BEDFCB2" w:rsidR="00460525" w:rsidRPr="00460525" w:rsidRDefault="00460525" w:rsidP="00A72991">
      <w:pPr>
        <w:spacing w:after="0" w:line="360" w:lineRule="auto"/>
        <w:jc w:val="center"/>
        <w:rPr>
          <w:rFonts w:ascii="Garamond" w:hAnsi="Garamond"/>
          <w:b/>
          <w:sz w:val="18"/>
          <w:lang w:val="es-MX"/>
        </w:rPr>
      </w:pPr>
      <w:r w:rsidRPr="00357ECA">
        <w:rPr>
          <w:rFonts w:ascii="Garamond" w:hAnsi="Garamond"/>
          <w:b/>
          <w:sz w:val="18"/>
          <w:lang w:val="es-MX"/>
        </w:rPr>
        <w:t>Gráfic</w:t>
      </w:r>
      <w:r w:rsidR="00551EA7">
        <w:rPr>
          <w:rFonts w:ascii="Garamond" w:hAnsi="Garamond"/>
          <w:b/>
          <w:sz w:val="18"/>
          <w:lang w:val="es-MX"/>
        </w:rPr>
        <w:t>o 3</w:t>
      </w:r>
      <w:r w:rsidRPr="00357ECA">
        <w:rPr>
          <w:rFonts w:ascii="Garamond" w:hAnsi="Garamond"/>
          <w:b/>
          <w:sz w:val="18"/>
          <w:lang w:val="es-MX"/>
        </w:rPr>
        <w:t>. %</w:t>
      </w:r>
      <w:r w:rsidR="00D06392">
        <w:rPr>
          <w:rFonts w:ascii="Garamond" w:hAnsi="Garamond"/>
          <w:b/>
          <w:sz w:val="18"/>
          <w:lang w:val="es-MX"/>
        </w:rPr>
        <w:t xml:space="preserve"> </w:t>
      </w:r>
      <w:r w:rsidR="000F0BB4">
        <w:rPr>
          <w:rFonts w:ascii="Garamond" w:hAnsi="Garamond"/>
          <w:b/>
          <w:sz w:val="18"/>
          <w:lang w:val="es-MX"/>
        </w:rPr>
        <w:t>Edad de la persona e</w:t>
      </w:r>
      <w:r>
        <w:rPr>
          <w:rFonts w:ascii="Garamond" w:hAnsi="Garamond"/>
          <w:b/>
          <w:sz w:val="18"/>
          <w:lang w:val="es-MX"/>
        </w:rPr>
        <w:t>ncuestada</w:t>
      </w:r>
    </w:p>
    <w:p w14:paraId="758F4672" w14:textId="5192D777" w:rsidR="00971770" w:rsidRDefault="00971770" w:rsidP="00EC6CB5">
      <w:pPr>
        <w:spacing w:line="360" w:lineRule="auto"/>
        <w:jc w:val="both"/>
        <w:rPr>
          <w:rFonts w:ascii="Garamond" w:hAnsi="Garamond"/>
          <w:sz w:val="20"/>
          <w:szCs w:val="20"/>
          <w:lang w:val="es-MX"/>
        </w:rPr>
      </w:pPr>
      <w:r>
        <w:rPr>
          <w:noProof/>
          <w:lang w:eastAsia="es-CO"/>
        </w:rPr>
        <w:drawing>
          <wp:inline distT="0" distB="0" distL="0" distR="0" wp14:anchorId="0960CA13" wp14:editId="0089CEFE">
            <wp:extent cx="2667000" cy="177546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F3F2E3" w14:textId="0FF03EB7" w:rsidR="00A72991" w:rsidRDefault="00460525" w:rsidP="00F446E7">
      <w:pPr>
        <w:spacing w:line="360" w:lineRule="auto"/>
        <w:jc w:val="both"/>
        <w:rPr>
          <w:rFonts w:ascii="Garamond" w:hAnsi="Garamond"/>
          <w:sz w:val="20"/>
          <w:szCs w:val="20"/>
          <w:lang w:val="es-MX"/>
        </w:rPr>
      </w:pPr>
      <w:r w:rsidRPr="00357ECA">
        <w:rPr>
          <w:rFonts w:ascii="Garamond" w:hAnsi="Garamond"/>
          <w:sz w:val="20"/>
          <w:szCs w:val="20"/>
          <w:lang w:val="es-MX"/>
        </w:rPr>
        <w:t xml:space="preserve">El 62% </w:t>
      </w:r>
      <w:r>
        <w:rPr>
          <w:rFonts w:ascii="Garamond" w:hAnsi="Garamond"/>
          <w:sz w:val="20"/>
          <w:szCs w:val="20"/>
          <w:lang w:val="es-MX"/>
        </w:rPr>
        <w:t>de las personas encuestadas</w:t>
      </w:r>
      <w:r w:rsidR="009744DE">
        <w:rPr>
          <w:rFonts w:ascii="Garamond" w:hAnsi="Garamond"/>
          <w:sz w:val="20"/>
          <w:szCs w:val="20"/>
          <w:lang w:val="es-MX"/>
        </w:rPr>
        <w:t xml:space="preserve"> en Bogotá</w:t>
      </w:r>
      <w:r>
        <w:rPr>
          <w:rFonts w:ascii="Garamond" w:hAnsi="Garamond"/>
          <w:sz w:val="20"/>
          <w:szCs w:val="20"/>
          <w:lang w:val="es-MX"/>
        </w:rPr>
        <w:t xml:space="preserve"> </w:t>
      </w:r>
      <w:r w:rsidRPr="00357ECA">
        <w:rPr>
          <w:rFonts w:ascii="Garamond" w:hAnsi="Garamond"/>
          <w:sz w:val="20"/>
          <w:szCs w:val="20"/>
          <w:lang w:val="es-MX"/>
        </w:rPr>
        <w:t>eran mujeres y el 38% hombres.</w:t>
      </w:r>
      <w:r w:rsidR="00F446E7">
        <w:rPr>
          <w:rFonts w:ascii="Garamond" w:hAnsi="Garamond"/>
          <w:sz w:val="20"/>
          <w:szCs w:val="20"/>
          <w:lang w:val="es-MX"/>
        </w:rPr>
        <w:t xml:space="preserve"> </w:t>
      </w:r>
      <w:r w:rsidR="009744DE">
        <w:rPr>
          <w:rFonts w:ascii="Garamond" w:hAnsi="Garamond"/>
          <w:sz w:val="20"/>
          <w:szCs w:val="20"/>
          <w:lang w:val="es-MX"/>
        </w:rPr>
        <w:t xml:space="preserve">En contraste, en la </w:t>
      </w:r>
      <w:r w:rsidR="009744DE">
        <w:rPr>
          <w:rFonts w:ascii="Garamond" w:hAnsi="Garamond"/>
          <w:sz w:val="20"/>
          <w:szCs w:val="20"/>
          <w:lang w:val="es-MX"/>
        </w:rPr>
        <w:lastRenderedPageBreak/>
        <w:t>localidad de Usme fue predominante la participación de mujeres contestando la encuesta (98%), mientras que Ciudad Bolívar fueron los hombres (74%).</w:t>
      </w:r>
      <w:r w:rsidR="00F446E7">
        <w:rPr>
          <w:rFonts w:ascii="Garamond" w:hAnsi="Garamond"/>
          <w:sz w:val="20"/>
          <w:szCs w:val="20"/>
          <w:lang w:val="es-MX"/>
        </w:rPr>
        <w:t xml:space="preserve">   </w:t>
      </w:r>
    </w:p>
    <w:p w14:paraId="2B59E743" w14:textId="6F070D96" w:rsidR="00460525" w:rsidRPr="00460525" w:rsidRDefault="00460525" w:rsidP="00A72991">
      <w:pPr>
        <w:spacing w:after="0" w:line="360" w:lineRule="auto"/>
        <w:jc w:val="center"/>
        <w:rPr>
          <w:rFonts w:ascii="Garamond" w:hAnsi="Garamond"/>
          <w:b/>
          <w:sz w:val="18"/>
          <w:lang w:val="es-MX"/>
        </w:rPr>
      </w:pPr>
      <w:r w:rsidRPr="00357ECA">
        <w:rPr>
          <w:rFonts w:ascii="Garamond" w:hAnsi="Garamond"/>
          <w:b/>
          <w:sz w:val="18"/>
          <w:lang w:val="es-MX"/>
        </w:rPr>
        <w:t>Gráfic</w:t>
      </w:r>
      <w:r w:rsidR="00551EA7">
        <w:rPr>
          <w:rFonts w:ascii="Garamond" w:hAnsi="Garamond"/>
          <w:b/>
          <w:sz w:val="18"/>
          <w:lang w:val="es-MX"/>
        </w:rPr>
        <w:t>o 4</w:t>
      </w:r>
      <w:r w:rsidRPr="00357ECA">
        <w:rPr>
          <w:rFonts w:ascii="Garamond" w:hAnsi="Garamond"/>
          <w:b/>
          <w:sz w:val="18"/>
          <w:lang w:val="es-MX"/>
        </w:rPr>
        <w:t xml:space="preserve">. % </w:t>
      </w:r>
      <w:r>
        <w:rPr>
          <w:rFonts w:ascii="Garamond" w:hAnsi="Garamond"/>
          <w:b/>
          <w:sz w:val="18"/>
          <w:lang w:val="es-MX"/>
        </w:rPr>
        <w:t>Sexo de las personas</w:t>
      </w:r>
      <w:r w:rsidR="000F0BB4">
        <w:rPr>
          <w:rFonts w:ascii="Garamond" w:hAnsi="Garamond"/>
          <w:b/>
          <w:sz w:val="18"/>
          <w:lang w:val="es-MX"/>
        </w:rPr>
        <w:t xml:space="preserve"> e</w:t>
      </w:r>
      <w:r w:rsidRPr="00357ECA">
        <w:rPr>
          <w:rFonts w:ascii="Garamond" w:hAnsi="Garamond"/>
          <w:b/>
          <w:sz w:val="18"/>
          <w:lang w:val="es-MX"/>
        </w:rPr>
        <w:t>ncuestadas</w:t>
      </w:r>
      <w:r w:rsidR="009744DE">
        <w:rPr>
          <w:rFonts w:ascii="Garamond" w:hAnsi="Garamond"/>
          <w:b/>
          <w:sz w:val="18"/>
          <w:lang w:val="es-MX"/>
        </w:rPr>
        <w:t xml:space="preserve"> por localidad</w:t>
      </w:r>
    </w:p>
    <w:p w14:paraId="5DF22340" w14:textId="127BFE9A" w:rsidR="006E7597" w:rsidRPr="00460525" w:rsidRDefault="009744DE" w:rsidP="00460525">
      <w:pPr>
        <w:spacing w:line="360" w:lineRule="auto"/>
        <w:jc w:val="both"/>
        <w:rPr>
          <w:rFonts w:ascii="Garamond" w:hAnsi="Garamond"/>
          <w:sz w:val="16"/>
          <w:szCs w:val="20"/>
          <w:lang w:val="es-MX"/>
        </w:rPr>
      </w:pPr>
      <w:r>
        <w:rPr>
          <w:noProof/>
          <w:lang w:eastAsia="es-CO"/>
        </w:rPr>
        <w:drawing>
          <wp:inline distT="0" distB="0" distL="0" distR="0" wp14:anchorId="39E30481" wp14:editId="530693C3">
            <wp:extent cx="2581275" cy="423672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B7779C" w14:textId="77777777" w:rsidR="00EF7278" w:rsidRDefault="00EF7278" w:rsidP="006E7597">
      <w:pPr>
        <w:spacing w:line="360" w:lineRule="auto"/>
        <w:jc w:val="both"/>
        <w:rPr>
          <w:rFonts w:ascii="Garamond" w:hAnsi="Garamond"/>
          <w:sz w:val="20"/>
          <w:lang w:val="es-MX"/>
        </w:rPr>
      </w:pPr>
    </w:p>
    <w:p w14:paraId="2D3F374D" w14:textId="6636EB59" w:rsidR="006E7597" w:rsidRDefault="006E7597" w:rsidP="006E7597">
      <w:pPr>
        <w:spacing w:line="360" w:lineRule="auto"/>
        <w:jc w:val="both"/>
        <w:rPr>
          <w:rFonts w:ascii="Garamond" w:hAnsi="Garamond"/>
          <w:sz w:val="20"/>
          <w:lang w:val="es-MX"/>
        </w:rPr>
      </w:pPr>
      <w:r w:rsidRPr="00460525">
        <w:rPr>
          <w:rFonts w:ascii="Garamond" w:hAnsi="Garamond"/>
          <w:sz w:val="20"/>
          <w:lang w:val="es-MX"/>
        </w:rPr>
        <w:t xml:space="preserve">Por estrato, </w:t>
      </w:r>
      <w:r w:rsidR="000F0BB4">
        <w:rPr>
          <w:rFonts w:ascii="Garamond" w:hAnsi="Garamond"/>
          <w:sz w:val="20"/>
          <w:lang w:val="es-MX"/>
        </w:rPr>
        <w:t>las familias encuestadas se concentra</w:t>
      </w:r>
      <w:r w:rsidR="00F446E7">
        <w:rPr>
          <w:rFonts w:ascii="Garamond" w:hAnsi="Garamond"/>
          <w:sz w:val="20"/>
          <w:lang w:val="es-MX"/>
        </w:rPr>
        <w:t>ro</w:t>
      </w:r>
      <w:r w:rsidR="000F0BB4">
        <w:rPr>
          <w:rFonts w:ascii="Garamond" w:hAnsi="Garamond"/>
          <w:sz w:val="20"/>
          <w:lang w:val="es-MX"/>
        </w:rPr>
        <w:t>n principalmente en los estratos 2 (42,7%) y 3 (35,9</w:t>
      </w:r>
      <w:r w:rsidR="00A72991">
        <w:rPr>
          <w:rFonts w:ascii="Garamond" w:hAnsi="Garamond"/>
          <w:sz w:val="20"/>
          <w:lang w:val="es-MX"/>
        </w:rPr>
        <w:t>%</w:t>
      </w:r>
      <w:r w:rsidR="000F0BB4">
        <w:rPr>
          <w:rFonts w:ascii="Garamond" w:hAnsi="Garamond"/>
          <w:sz w:val="20"/>
          <w:lang w:val="es-MX"/>
        </w:rPr>
        <w:t xml:space="preserve">), mientras que </w:t>
      </w:r>
      <w:r w:rsidR="00F446E7">
        <w:rPr>
          <w:rFonts w:ascii="Garamond" w:hAnsi="Garamond"/>
          <w:sz w:val="20"/>
          <w:lang w:val="es-MX"/>
        </w:rPr>
        <w:t>en el estrato 6 tan sólo se registró</w:t>
      </w:r>
      <w:r w:rsidR="000F0BB4">
        <w:rPr>
          <w:rFonts w:ascii="Garamond" w:hAnsi="Garamond"/>
          <w:sz w:val="20"/>
          <w:lang w:val="es-MX"/>
        </w:rPr>
        <w:t xml:space="preserve"> el 1,9% de las familias encuestadas y en el estrato 5 el 2,6% (para el 0,2% de las familias encuestadas se desconoce su estrato socioeconómico., no lo reportaron).</w:t>
      </w:r>
    </w:p>
    <w:p w14:paraId="0374815B" w14:textId="77777777" w:rsidR="00EF7278" w:rsidRDefault="00EF7278" w:rsidP="00A72991">
      <w:pPr>
        <w:spacing w:after="0" w:line="360" w:lineRule="auto"/>
        <w:jc w:val="center"/>
        <w:rPr>
          <w:rFonts w:ascii="Garamond" w:hAnsi="Garamond"/>
          <w:b/>
          <w:sz w:val="18"/>
          <w:lang w:val="es-MX"/>
        </w:rPr>
      </w:pPr>
    </w:p>
    <w:p w14:paraId="497A8518" w14:textId="77777777" w:rsidR="00403C55" w:rsidRDefault="00403C55" w:rsidP="00A72991">
      <w:pPr>
        <w:spacing w:after="0" w:line="360" w:lineRule="auto"/>
        <w:jc w:val="center"/>
        <w:rPr>
          <w:rFonts w:ascii="Garamond" w:hAnsi="Garamond"/>
          <w:b/>
          <w:sz w:val="18"/>
          <w:lang w:val="es-MX"/>
        </w:rPr>
      </w:pPr>
    </w:p>
    <w:p w14:paraId="2863C012" w14:textId="0D26A9A3" w:rsidR="000F0BB4" w:rsidRPr="000F0BB4" w:rsidRDefault="000F0BB4" w:rsidP="00A72991">
      <w:pPr>
        <w:spacing w:after="0" w:line="360" w:lineRule="auto"/>
        <w:jc w:val="center"/>
        <w:rPr>
          <w:rFonts w:ascii="Garamond" w:hAnsi="Garamond"/>
          <w:b/>
          <w:sz w:val="18"/>
          <w:lang w:val="es-MX"/>
        </w:rPr>
      </w:pPr>
      <w:r w:rsidRPr="00357ECA">
        <w:rPr>
          <w:rFonts w:ascii="Garamond" w:hAnsi="Garamond"/>
          <w:b/>
          <w:sz w:val="18"/>
          <w:lang w:val="es-MX"/>
        </w:rPr>
        <w:t>Gráfic</w:t>
      </w:r>
      <w:r w:rsidR="006E403D">
        <w:rPr>
          <w:rFonts w:ascii="Garamond" w:hAnsi="Garamond"/>
          <w:b/>
          <w:sz w:val="18"/>
          <w:lang w:val="es-MX"/>
        </w:rPr>
        <w:t>o 5</w:t>
      </w:r>
      <w:r w:rsidRPr="00357ECA">
        <w:rPr>
          <w:rFonts w:ascii="Garamond" w:hAnsi="Garamond"/>
          <w:b/>
          <w:sz w:val="18"/>
          <w:lang w:val="es-MX"/>
        </w:rPr>
        <w:t xml:space="preserve">. % </w:t>
      </w:r>
      <w:r>
        <w:rPr>
          <w:rFonts w:ascii="Garamond" w:hAnsi="Garamond"/>
          <w:b/>
          <w:sz w:val="18"/>
          <w:lang w:val="es-MX"/>
        </w:rPr>
        <w:t>de las familias e</w:t>
      </w:r>
      <w:r w:rsidRPr="00357ECA">
        <w:rPr>
          <w:rFonts w:ascii="Garamond" w:hAnsi="Garamond"/>
          <w:b/>
          <w:sz w:val="18"/>
          <w:lang w:val="es-MX"/>
        </w:rPr>
        <w:t>ncuestadas</w:t>
      </w:r>
      <w:r>
        <w:rPr>
          <w:rFonts w:ascii="Garamond" w:hAnsi="Garamond"/>
          <w:b/>
          <w:sz w:val="18"/>
          <w:lang w:val="es-MX"/>
        </w:rPr>
        <w:t xml:space="preserve"> por estrato</w:t>
      </w:r>
    </w:p>
    <w:p w14:paraId="6D3951C6" w14:textId="2C2E9C7B" w:rsidR="006E7597" w:rsidRPr="000F0BB4" w:rsidRDefault="000F0BB4" w:rsidP="006E7597">
      <w:pPr>
        <w:spacing w:line="360" w:lineRule="auto"/>
        <w:jc w:val="center"/>
        <w:rPr>
          <w:rFonts w:ascii="Garamond" w:hAnsi="Garamond"/>
          <w:sz w:val="20"/>
          <w:lang w:val="es-MX"/>
        </w:rPr>
      </w:pPr>
      <w:r>
        <w:rPr>
          <w:noProof/>
          <w:lang w:eastAsia="es-CO"/>
        </w:rPr>
        <w:drawing>
          <wp:inline distT="0" distB="0" distL="0" distR="0" wp14:anchorId="1335F6A0" wp14:editId="4BA74A04">
            <wp:extent cx="2340610" cy="1522095"/>
            <wp:effectExtent l="0" t="0" r="0" b="19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401A69" w14:textId="2B989EFF" w:rsidR="00F446E7" w:rsidRDefault="006E7597" w:rsidP="006E7597">
      <w:pPr>
        <w:spacing w:line="360" w:lineRule="auto"/>
        <w:jc w:val="both"/>
        <w:rPr>
          <w:rFonts w:ascii="Garamond" w:hAnsi="Garamond"/>
          <w:sz w:val="20"/>
          <w:lang w:val="es-MX"/>
        </w:rPr>
      </w:pPr>
      <w:r w:rsidRPr="000F0BB4">
        <w:rPr>
          <w:rFonts w:ascii="Garamond" w:hAnsi="Garamond"/>
          <w:sz w:val="20"/>
          <w:lang w:val="es-MX"/>
        </w:rPr>
        <w:t xml:space="preserve">La forma predominante de </w:t>
      </w:r>
      <w:r w:rsidR="00D5698A" w:rsidRPr="000F0BB4">
        <w:rPr>
          <w:rFonts w:ascii="Garamond" w:hAnsi="Garamond"/>
          <w:sz w:val="20"/>
          <w:lang w:val="es-MX"/>
        </w:rPr>
        <w:t>tenencia de la vivienda de acuerdo con la encuesta es el arriendo o el subarriendo</w:t>
      </w:r>
      <w:r w:rsidR="009F1B6A">
        <w:rPr>
          <w:rFonts w:ascii="Garamond" w:hAnsi="Garamond"/>
          <w:sz w:val="20"/>
          <w:lang w:val="es-MX"/>
        </w:rPr>
        <w:t xml:space="preserve"> (49,8%)</w:t>
      </w:r>
      <w:r w:rsidR="00D5698A" w:rsidRPr="000F0BB4">
        <w:rPr>
          <w:rFonts w:ascii="Garamond" w:hAnsi="Garamond"/>
          <w:sz w:val="20"/>
          <w:lang w:val="es-MX"/>
        </w:rPr>
        <w:t xml:space="preserve">, </w:t>
      </w:r>
      <w:r w:rsidR="009F1B6A">
        <w:rPr>
          <w:rFonts w:ascii="Garamond" w:hAnsi="Garamond"/>
          <w:sz w:val="20"/>
          <w:lang w:val="es-MX"/>
        </w:rPr>
        <w:t xml:space="preserve">casi </w:t>
      </w:r>
      <w:r w:rsidR="00D5698A" w:rsidRPr="000F0BB4">
        <w:rPr>
          <w:rFonts w:ascii="Garamond" w:hAnsi="Garamond"/>
          <w:sz w:val="20"/>
          <w:lang w:val="es-MX"/>
        </w:rPr>
        <w:t>la mitad de las familia</w:t>
      </w:r>
      <w:r w:rsidR="009F1B6A">
        <w:rPr>
          <w:rFonts w:ascii="Garamond" w:hAnsi="Garamond"/>
          <w:sz w:val="20"/>
          <w:lang w:val="es-MX"/>
        </w:rPr>
        <w:t>s están en esta modalidad. Mientras que el 41,9</w:t>
      </w:r>
      <w:r w:rsidR="00D5698A" w:rsidRPr="000F0BB4">
        <w:rPr>
          <w:rFonts w:ascii="Garamond" w:hAnsi="Garamond"/>
          <w:sz w:val="20"/>
          <w:lang w:val="es-MX"/>
        </w:rPr>
        <w:t xml:space="preserve">% </w:t>
      </w:r>
      <w:r w:rsidR="009F1B6A">
        <w:rPr>
          <w:rFonts w:ascii="Garamond" w:hAnsi="Garamond"/>
          <w:sz w:val="20"/>
          <w:lang w:val="es-MX"/>
        </w:rPr>
        <w:t>de</w:t>
      </w:r>
      <w:r w:rsidR="006E403D">
        <w:rPr>
          <w:rFonts w:ascii="Garamond" w:hAnsi="Garamond"/>
          <w:sz w:val="20"/>
          <w:lang w:val="es-MX"/>
        </w:rPr>
        <w:t xml:space="preserve"> las familias</w:t>
      </w:r>
      <w:r w:rsidR="009F1B6A">
        <w:rPr>
          <w:rFonts w:ascii="Garamond" w:hAnsi="Garamond"/>
          <w:sz w:val="20"/>
          <w:lang w:val="es-MX"/>
        </w:rPr>
        <w:t xml:space="preserve"> </w:t>
      </w:r>
      <w:r w:rsidR="00D5698A" w:rsidRPr="000F0BB4">
        <w:rPr>
          <w:rFonts w:ascii="Garamond" w:hAnsi="Garamond"/>
          <w:sz w:val="20"/>
          <w:lang w:val="es-MX"/>
        </w:rPr>
        <w:t>tiene</w:t>
      </w:r>
      <w:r w:rsidR="009F1B6A">
        <w:rPr>
          <w:rFonts w:ascii="Garamond" w:hAnsi="Garamond"/>
          <w:sz w:val="20"/>
          <w:lang w:val="es-MX"/>
        </w:rPr>
        <w:t>n</w:t>
      </w:r>
      <w:r w:rsidR="00D5698A" w:rsidRPr="000F0BB4">
        <w:rPr>
          <w:rFonts w:ascii="Garamond" w:hAnsi="Garamond"/>
          <w:sz w:val="20"/>
          <w:lang w:val="es-MX"/>
        </w:rPr>
        <w:t xml:space="preserve"> vivienda propia</w:t>
      </w:r>
      <w:r w:rsidR="006E403D">
        <w:rPr>
          <w:rFonts w:ascii="Garamond" w:hAnsi="Garamond"/>
          <w:sz w:val="20"/>
          <w:lang w:val="es-MX"/>
        </w:rPr>
        <w:t xml:space="preserve"> pagada</w:t>
      </w:r>
      <w:r w:rsidR="00D5698A" w:rsidRPr="000F0BB4">
        <w:rPr>
          <w:rFonts w:ascii="Garamond" w:hAnsi="Garamond"/>
          <w:sz w:val="20"/>
          <w:lang w:val="es-MX"/>
        </w:rPr>
        <w:t>. El 3</w:t>
      </w:r>
      <w:r w:rsidR="00A72991">
        <w:rPr>
          <w:rFonts w:ascii="Garamond" w:hAnsi="Garamond"/>
          <w:sz w:val="20"/>
          <w:lang w:val="es-MX"/>
        </w:rPr>
        <w:t>,2</w:t>
      </w:r>
      <w:r w:rsidR="00D5698A" w:rsidRPr="000F0BB4">
        <w:rPr>
          <w:rFonts w:ascii="Garamond" w:hAnsi="Garamond"/>
          <w:sz w:val="20"/>
          <w:lang w:val="es-MX"/>
        </w:rPr>
        <w:t>% de las familias está pagando una deuda</w:t>
      </w:r>
      <w:r w:rsidR="00A72991">
        <w:rPr>
          <w:rFonts w:ascii="Garamond" w:hAnsi="Garamond"/>
          <w:sz w:val="20"/>
          <w:lang w:val="es-MX"/>
        </w:rPr>
        <w:t xml:space="preserve"> hipotecaria, y el 2% son ocupantes de hecho.</w:t>
      </w:r>
      <w:r w:rsidR="000D7F6D">
        <w:rPr>
          <w:rFonts w:ascii="Garamond" w:hAnsi="Garamond"/>
          <w:sz w:val="20"/>
          <w:lang w:val="es-MX"/>
        </w:rPr>
        <w:t xml:space="preserve"> Por localidad sobresale que en el caso de Usme (91%), Ciudad Bolívar (79%) y Usaquén (74%) la mayoría de familias dijeron tener la vivienda en arriendo o subarriendo.</w:t>
      </w:r>
    </w:p>
    <w:p w14:paraId="240FB803" w14:textId="1119844D" w:rsidR="000F0BB4" w:rsidRPr="000F0BB4" w:rsidRDefault="000F0BB4" w:rsidP="008F5BEF">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5</w:t>
      </w:r>
      <w:r w:rsidRPr="00357ECA">
        <w:rPr>
          <w:rFonts w:ascii="Garamond" w:hAnsi="Garamond"/>
          <w:b/>
          <w:sz w:val="18"/>
          <w:lang w:val="es-MX"/>
        </w:rPr>
        <w:t xml:space="preserve">. </w:t>
      </w:r>
      <w:r>
        <w:rPr>
          <w:rFonts w:ascii="Garamond" w:hAnsi="Garamond"/>
          <w:b/>
          <w:sz w:val="18"/>
          <w:lang w:val="es-MX"/>
        </w:rPr>
        <w:t>% Tenencia de la vivienda</w:t>
      </w:r>
    </w:p>
    <w:p w14:paraId="67D991BB" w14:textId="2467534C" w:rsidR="007918C5" w:rsidRDefault="004E2CB3" w:rsidP="006E7597">
      <w:pPr>
        <w:spacing w:line="360" w:lineRule="auto"/>
        <w:jc w:val="center"/>
        <w:rPr>
          <w:rFonts w:ascii="Garamond" w:hAnsi="Garamond"/>
          <w:sz w:val="24"/>
          <w:lang w:val="es-MX"/>
        </w:rPr>
      </w:pPr>
      <w:r>
        <w:rPr>
          <w:noProof/>
          <w:lang w:eastAsia="es-CO"/>
        </w:rPr>
        <w:drawing>
          <wp:inline distT="0" distB="0" distL="0" distR="0" wp14:anchorId="2AF33DC9" wp14:editId="53F1C804">
            <wp:extent cx="2581275" cy="352806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266CD2" w14:textId="77777777" w:rsidR="008F5BEF" w:rsidRDefault="008F5BEF" w:rsidP="001C787A">
      <w:pPr>
        <w:spacing w:line="360" w:lineRule="auto"/>
        <w:jc w:val="both"/>
        <w:rPr>
          <w:rFonts w:ascii="Garamond" w:hAnsi="Garamond"/>
          <w:sz w:val="20"/>
          <w:lang w:val="es-MX"/>
        </w:rPr>
      </w:pPr>
    </w:p>
    <w:p w14:paraId="71F01261" w14:textId="6288F6E0" w:rsidR="006E7597" w:rsidRDefault="002B00AB" w:rsidP="001C787A">
      <w:pPr>
        <w:spacing w:line="360" w:lineRule="auto"/>
        <w:jc w:val="both"/>
        <w:rPr>
          <w:rFonts w:ascii="Garamond" w:hAnsi="Garamond"/>
          <w:sz w:val="20"/>
          <w:lang w:val="es-MX"/>
        </w:rPr>
      </w:pPr>
      <w:r>
        <w:rPr>
          <w:rFonts w:ascii="Garamond" w:hAnsi="Garamond"/>
          <w:sz w:val="20"/>
          <w:lang w:val="es-MX"/>
        </w:rPr>
        <w:lastRenderedPageBreak/>
        <w:t>Frente a las condiciones de habitabilidad se encontró que e</w:t>
      </w:r>
      <w:r w:rsidR="001C787A" w:rsidRPr="000F0BB4">
        <w:rPr>
          <w:rFonts w:ascii="Garamond" w:hAnsi="Garamond"/>
          <w:sz w:val="20"/>
          <w:lang w:val="es-MX"/>
        </w:rPr>
        <w:t>l 33% de las familias tiene viviendas con 2 cuartos. El 32</w:t>
      </w:r>
      <w:r w:rsidR="00A72991">
        <w:rPr>
          <w:rFonts w:ascii="Garamond" w:hAnsi="Garamond"/>
          <w:sz w:val="20"/>
          <w:lang w:val="es-MX"/>
        </w:rPr>
        <w:t>,4% con 3 cuartos y el 19,7% con un solo cuarto, el 10,1% en viviendas con 4 cuartos</w:t>
      </w:r>
      <w:r w:rsidR="000D7F6D">
        <w:rPr>
          <w:rFonts w:ascii="Garamond" w:hAnsi="Garamond"/>
          <w:sz w:val="20"/>
          <w:lang w:val="es-MX"/>
        </w:rPr>
        <w:t>.</w:t>
      </w:r>
    </w:p>
    <w:p w14:paraId="508E4184" w14:textId="2FF6124C" w:rsidR="009F1B6A" w:rsidRPr="009F1B6A" w:rsidRDefault="009F1B6A" w:rsidP="00A72991">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6</w:t>
      </w:r>
      <w:r w:rsidRPr="00357ECA">
        <w:rPr>
          <w:rFonts w:ascii="Garamond" w:hAnsi="Garamond"/>
          <w:b/>
          <w:sz w:val="18"/>
          <w:lang w:val="es-MX"/>
        </w:rPr>
        <w:t xml:space="preserve">. </w:t>
      </w:r>
      <w:r>
        <w:rPr>
          <w:rFonts w:ascii="Garamond" w:hAnsi="Garamond"/>
          <w:b/>
          <w:sz w:val="18"/>
          <w:lang w:val="es-MX"/>
        </w:rPr>
        <w:t xml:space="preserve">% </w:t>
      </w:r>
      <w:r w:rsidR="00A72991">
        <w:rPr>
          <w:rFonts w:ascii="Garamond" w:hAnsi="Garamond"/>
          <w:b/>
          <w:sz w:val="18"/>
          <w:lang w:val="es-MX"/>
        </w:rPr>
        <w:t>de familias por número de cuartos en sus viviendas</w:t>
      </w:r>
    </w:p>
    <w:p w14:paraId="5D8F76A1" w14:textId="54D2878E" w:rsidR="000C622B" w:rsidRDefault="009F1B6A" w:rsidP="001C787A">
      <w:pPr>
        <w:spacing w:line="360" w:lineRule="auto"/>
        <w:jc w:val="center"/>
        <w:rPr>
          <w:rFonts w:ascii="Garamond" w:hAnsi="Garamond"/>
          <w:sz w:val="20"/>
          <w:lang w:val="es-MX"/>
        </w:rPr>
      </w:pPr>
      <w:r>
        <w:rPr>
          <w:noProof/>
          <w:lang w:eastAsia="es-CO"/>
        </w:rPr>
        <w:drawing>
          <wp:inline distT="0" distB="0" distL="0" distR="0" wp14:anchorId="2BA73AF6" wp14:editId="7E8C3371">
            <wp:extent cx="2581275" cy="1762963"/>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54AC10" w14:textId="1E1C649F" w:rsidR="00F446E7" w:rsidRDefault="00A72991" w:rsidP="00A72991">
      <w:pPr>
        <w:spacing w:line="360" w:lineRule="auto"/>
        <w:jc w:val="both"/>
        <w:rPr>
          <w:rFonts w:ascii="Garamond" w:hAnsi="Garamond"/>
          <w:sz w:val="20"/>
          <w:lang w:val="es-MX"/>
        </w:rPr>
      </w:pPr>
      <w:r w:rsidRPr="000F0BB4">
        <w:rPr>
          <w:rFonts w:ascii="Garamond" w:hAnsi="Garamond"/>
          <w:sz w:val="20"/>
          <w:lang w:val="es-MX"/>
        </w:rPr>
        <w:t xml:space="preserve">En Bogotá el 67% de las familias </w:t>
      </w:r>
      <w:r w:rsidR="001A5B45">
        <w:rPr>
          <w:rFonts w:ascii="Garamond" w:hAnsi="Garamond"/>
          <w:sz w:val="20"/>
          <w:lang w:val="es-MX"/>
        </w:rPr>
        <w:t>habitan</w:t>
      </w:r>
      <w:r w:rsidRPr="000F0BB4">
        <w:rPr>
          <w:rFonts w:ascii="Garamond" w:hAnsi="Garamond"/>
          <w:sz w:val="20"/>
          <w:lang w:val="es-MX"/>
        </w:rPr>
        <w:t xml:space="preserve"> viviendas donde hay entre uno y hasta tres integrantes por cuarto. S</w:t>
      </w:r>
      <w:r w:rsidR="001A5B45">
        <w:rPr>
          <w:rFonts w:ascii="Garamond" w:hAnsi="Garamond"/>
          <w:sz w:val="20"/>
          <w:lang w:val="es-MX"/>
        </w:rPr>
        <w:t>olo hay 57.306 (2%)</w:t>
      </w:r>
      <w:r w:rsidRPr="000F0BB4">
        <w:rPr>
          <w:rFonts w:ascii="Garamond" w:hAnsi="Garamond"/>
          <w:sz w:val="20"/>
          <w:lang w:val="es-MX"/>
        </w:rPr>
        <w:t xml:space="preserve"> familias que muestran un hacinamiento crítico donde viven más de tres integrantes por cuarto. La mitad de este fenómeno se presenta en las localidades de Kennedy, Suba y Rafael Uribe Uribe. </w:t>
      </w:r>
    </w:p>
    <w:p w14:paraId="54A97E1D" w14:textId="3A23C341" w:rsidR="00E44D0B" w:rsidRP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7</w:t>
      </w:r>
      <w:r w:rsidRPr="00357ECA">
        <w:rPr>
          <w:rFonts w:ascii="Garamond" w:hAnsi="Garamond"/>
          <w:b/>
          <w:sz w:val="18"/>
          <w:lang w:val="es-MX"/>
        </w:rPr>
        <w:t xml:space="preserve">. </w:t>
      </w:r>
      <w:r>
        <w:rPr>
          <w:rFonts w:ascii="Garamond" w:hAnsi="Garamond"/>
          <w:b/>
          <w:sz w:val="18"/>
          <w:lang w:val="es-MX"/>
        </w:rPr>
        <w:t>Indicador de Hacinamiento de familias</w:t>
      </w:r>
    </w:p>
    <w:p w14:paraId="2E72AAF5" w14:textId="69B2055A" w:rsidR="001B7CAF" w:rsidRDefault="001A5B45" w:rsidP="001C787A">
      <w:pPr>
        <w:spacing w:line="360" w:lineRule="auto"/>
        <w:jc w:val="center"/>
        <w:rPr>
          <w:rFonts w:ascii="Garamond" w:hAnsi="Garamond"/>
          <w:sz w:val="24"/>
          <w:lang w:val="es-MX"/>
        </w:rPr>
      </w:pPr>
      <w:r>
        <w:rPr>
          <w:noProof/>
          <w:lang w:eastAsia="es-CO"/>
        </w:rPr>
        <w:drawing>
          <wp:inline distT="0" distB="0" distL="0" distR="0" wp14:anchorId="6D842E20" wp14:editId="6310232D">
            <wp:extent cx="2581275" cy="228790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C21BA1" w14:textId="7C9B131C" w:rsidR="00E44D0B" w:rsidRDefault="002B00AB" w:rsidP="005C7E4E">
      <w:pPr>
        <w:spacing w:line="360" w:lineRule="auto"/>
        <w:jc w:val="both"/>
        <w:rPr>
          <w:rFonts w:ascii="Garamond" w:hAnsi="Garamond"/>
          <w:sz w:val="20"/>
          <w:lang w:val="es-MX"/>
        </w:rPr>
      </w:pPr>
      <w:r>
        <w:rPr>
          <w:rFonts w:ascii="Garamond" w:hAnsi="Garamond"/>
          <w:sz w:val="20"/>
          <w:lang w:val="es-MX"/>
        </w:rPr>
        <w:t>En términos de ingresos, e</w:t>
      </w:r>
      <w:r w:rsidR="00E44D0B">
        <w:rPr>
          <w:rFonts w:ascii="Garamond" w:hAnsi="Garamond"/>
          <w:sz w:val="20"/>
          <w:lang w:val="es-MX"/>
        </w:rPr>
        <w:t>l 38,5</w:t>
      </w:r>
      <w:r w:rsidR="005C7E4E" w:rsidRPr="000F0BB4">
        <w:rPr>
          <w:rFonts w:ascii="Garamond" w:hAnsi="Garamond"/>
          <w:sz w:val="20"/>
          <w:lang w:val="es-MX"/>
        </w:rPr>
        <w:t>% de las familias</w:t>
      </w:r>
      <w:r w:rsidR="00E44D0B">
        <w:rPr>
          <w:rFonts w:ascii="Garamond" w:hAnsi="Garamond"/>
          <w:sz w:val="20"/>
          <w:lang w:val="es-MX"/>
        </w:rPr>
        <w:t xml:space="preserve"> encuestadas dijeron tener</w:t>
      </w:r>
      <w:r w:rsidR="005C7E4E" w:rsidRPr="000F0BB4">
        <w:rPr>
          <w:rFonts w:ascii="Garamond" w:hAnsi="Garamond"/>
          <w:sz w:val="20"/>
          <w:lang w:val="es-MX"/>
        </w:rPr>
        <w:t xml:space="preserve"> ingresos entre uno y</w:t>
      </w:r>
      <w:r w:rsidR="00E44D0B">
        <w:rPr>
          <w:rFonts w:ascii="Garamond" w:hAnsi="Garamond"/>
          <w:sz w:val="20"/>
          <w:lang w:val="es-MX"/>
        </w:rPr>
        <w:t xml:space="preserve"> dos salarios mínimos mensuales, siendo este nivel de </w:t>
      </w:r>
      <w:r w:rsidR="00E44D0B">
        <w:rPr>
          <w:rFonts w:ascii="Garamond" w:hAnsi="Garamond"/>
          <w:sz w:val="20"/>
          <w:lang w:val="es-MX"/>
        </w:rPr>
        <w:t>ingresos el que predomina como respuesta de los</w:t>
      </w:r>
      <w:r w:rsidR="004C7551">
        <w:rPr>
          <w:rFonts w:ascii="Garamond" w:hAnsi="Garamond"/>
          <w:sz w:val="20"/>
          <w:lang w:val="es-MX"/>
        </w:rPr>
        <w:t xml:space="preserve"> </w:t>
      </w:r>
      <w:r w:rsidR="00E44D0B">
        <w:rPr>
          <w:rFonts w:ascii="Garamond" w:hAnsi="Garamond"/>
          <w:sz w:val="20"/>
          <w:lang w:val="es-MX"/>
        </w:rPr>
        <w:t>encuestados.</w:t>
      </w:r>
      <w:r w:rsidR="005C7E4E" w:rsidRPr="000F0BB4">
        <w:rPr>
          <w:rFonts w:ascii="Garamond" w:hAnsi="Garamond"/>
          <w:sz w:val="20"/>
          <w:lang w:val="es-MX"/>
        </w:rPr>
        <w:t xml:space="preserve"> </w:t>
      </w:r>
    </w:p>
    <w:p w14:paraId="547AE453" w14:textId="07AAC223" w:rsidR="00E44D0B" w:rsidRP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8</w:t>
      </w:r>
      <w:r w:rsidRPr="00357ECA">
        <w:rPr>
          <w:rFonts w:ascii="Garamond" w:hAnsi="Garamond"/>
          <w:b/>
          <w:sz w:val="18"/>
          <w:lang w:val="es-MX"/>
        </w:rPr>
        <w:t xml:space="preserve">. </w:t>
      </w:r>
      <w:r>
        <w:rPr>
          <w:rFonts w:ascii="Garamond" w:hAnsi="Garamond"/>
          <w:b/>
          <w:sz w:val="18"/>
          <w:lang w:val="es-MX"/>
        </w:rPr>
        <w:t>% de Ingresos por familia</w:t>
      </w:r>
    </w:p>
    <w:p w14:paraId="4D6E8F8D" w14:textId="702E498E" w:rsidR="005C7E4E" w:rsidRDefault="00E44D0B" w:rsidP="005C7E4E">
      <w:pPr>
        <w:spacing w:line="360" w:lineRule="auto"/>
        <w:jc w:val="center"/>
        <w:rPr>
          <w:rFonts w:ascii="Garamond" w:hAnsi="Garamond"/>
          <w:sz w:val="24"/>
          <w:lang w:val="es-MX"/>
        </w:rPr>
      </w:pPr>
      <w:r>
        <w:rPr>
          <w:noProof/>
          <w:lang w:eastAsia="es-CO"/>
        </w:rPr>
        <w:drawing>
          <wp:inline distT="0" distB="0" distL="0" distR="0" wp14:anchorId="3AC8B915" wp14:editId="7362F474">
            <wp:extent cx="2581275" cy="1499616"/>
            <wp:effectExtent l="0" t="0" r="0" b="571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8605BE" w14:textId="78473AA7" w:rsidR="005C7E4E" w:rsidRDefault="005C7E4E" w:rsidP="005C7E4E">
      <w:pPr>
        <w:spacing w:line="360" w:lineRule="auto"/>
        <w:jc w:val="both"/>
        <w:rPr>
          <w:rFonts w:ascii="Garamond" w:hAnsi="Garamond"/>
          <w:sz w:val="20"/>
          <w:lang w:val="es-MX"/>
        </w:rPr>
      </w:pPr>
      <w:r w:rsidRPr="000F0BB4">
        <w:rPr>
          <w:rFonts w:ascii="Garamond" w:hAnsi="Garamond"/>
          <w:sz w:val="20"/>
          <w:lang w:val="es-MX"/>
        </w:rPr>
        <w:t xml:space="preserve">El 51% de las familias considera que los ingresos que tienen apenas son suficientes para cubrir los gastos mínimos. </w:t>
      </w:r>
    </w:p>
    <w:p w14:paraId="47E06E3B" w14:textId="4D6DFF79" w:rsidR="00E44D0B" w:rsidRPr="00E44D0B" w:rsidRDefault="00E44D0B" w:rsidP="00E44D0B">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9</w:t>
      </w:r>
      <w:r w:rsidRPr="00357ECA">
        <w:rPr>
          <w:rFonts w:ascii="Garamond" w:hAnsi="Garamond"/>
          <w:b/>
          <w:sz w:val="18"/>
          <w:lang w:val="es-MX"/>
        </w:rPr>
        <w:t xml:space="preserve">. </w:t>
      </w:r>
      <w:r>
        <w:rPr>
          <w:rFonts w:ascii="Garamond" w:hAnsi="Garamond"/>
          <w:b/>
          <w:sz w:val="18"/>
          <w:lang w:val="es-MX"/>
        </w:rPr>
        <w:t>Percepción de suficiencia del ingreso por familia</w:t>
      </w:r>
    </w:p>
    <w:p w14:paraId="2197049F" w14:textId="6B35CD01" w:rsidR="001C787A" w:rsidRDefault="00D85BC4" w:rsidP="001C787A">
      <w:pPr>
        <w:spacing w:line="360" w:lineRule="auto"/>
        <w:jc w:val="center"/>
        <w:rPr>
          <w:rFonts w:ascii="Garamond" w:hAnsi="Garamond"/>
          <w:sz w:val="20"/>
          <w:lang w:val="es-MX"/>
        </w:rPr>
      </w:pPr>
      <w:r>
        <w:rPr>
          <w:noProof/>
          <w:lang w:eastAsia="es-CO"/>
        </w:rPr>
        <w:drawing>
          <wp:inline distT="0" distB="0" distL="0" distR="0" wp14:anchorId="0A068C03" wp14:editId="286736AE">
            <wp:extent cx="2581275" cy="1282065"/>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A220A9" w14:textId="301CCC5C" w:rsidR="00D85BC4" w:rsidRDefault="004C7551" w:rsidP="00D85BC4">
      <w:pPr>
        <w:spacing w:line="360" w:lineRule="auto"/>
        <w:jc w:val="both"/>
        <w:rPr>
          <w:rFonts w:ascii="Garamond" w:hAnsi="Garamond"/>
          <w:sz w:val="20"/>
          <w:lang w:val="es-MX"/>
        </w:rPr>
      </w:pPr>
      <w:r>
        <w:rPr>
          <w:rFonts w:ascii="Garamond" w:hAnsi="Garamond"/>
          <w:sz w:val="20"/>
          <w:lang w:val="es-MX"/>
        </w:rPr>
        <w:t xml:space="preserve">Más de la mitad de las familias (52,6%) dijeron tener una situación económica regular, mientras que el 36,3% mencionaron que consideraban que su situación económica era buena y el 2,8% excelente. Se destaca que </w:t>
      </w:r>
      <w:r w:rsidR="00B35E17">
        <w:rPr>
          <w:rFonts w:ascii="Garamond" w:hAnsi="Garamond"/>
          <w:sz w:val="20"/>
          <w:lang w:val="es-MX"/>
        </w:rPr>
        <w:t xml:space="preserve">tan solo el 8,4% </w:t>
      </w:r>
      <w:r>
        <w:rPr>
          <w:rFonts w:ascii="Garamond" w:hAnsi="Garamond"/>
          <w:sz w:val="20"/>
          <w:lang w:val="es-MX"/>
        </w:rPr>
        <w:t>de las familias dijeron tener una situación económica mala</w:t>
      </w:r>
      <w:r w:rsidR="00B35E17">
        <w:rPr>
          <w:rFonts w:ascii="Garamond" w:hAnsi="Garamond"/>
          <w:sz w:val="20"/>
          <w:lang w:val="es-MX"/>
        </w:rPr>
        <w:t xml:space="preserve">, o </w:t>
      </w:r>
      <w:r>
        <w:rPr>
          <w:rFonts w:ascii="Garamond" w:hAnsi="Garamond"/>
          <w:sz w:val="20"/>
          <w:lang w:val="es-MX"/>
        </w:rPr>
        <w:t>muy mala</w:t>
      </w:r>
      <w:r w:rsidR="00B35E17">
        <w:rPr>
          <w:rFonts w:ascii="Garamond" w:hAnsi="Garamond"/>
          <w:sz w:val="20"/>
          <w:lang w:val="es-MX"/>
        </w:rPr>
        <w:t>; mientras que el 39,1% afirmó tener una situación económica buena o excelente.</w:t>
      </w:r>
      <w:r>
        <w:rPr>
          <w:rFonts w:ascii="Garamond" w:hAnsi="Garamond"/>
          <w:sz w:val="20"/>
          <w:lang w:val="es-MX"/>
        </w:rPr>
        <w:t xml:space="preserve"> </w:t>
      </w:r>
    </w:p>
    <w:p w14:paraId="72F67569" w14:textId="77777777" w:rsidR="007F57B1" w:rsidRDefault="007F57B1" w:rsidP="00A72D17">
      <w:pPr>
        <w:spacing w:after="0" w:line="360" w:lineRule="auto"/>
        <w:jc w:val="center"/>
        <w:rPr>
          <w:rFonts w:ascii="Garamond" w:hAnsi="Garamond"/>
          <w:b/>
          <w:sz w:val="18"/>
          <w:lang w:val="es-MX"/>
        </w:rPr>
      </w:pPr>
    </w:p>
    <w:p w14:paraId="3994E541" w14:textId="77777777" w:rsidR="007F57B1" w:rsidRDefault="007F57B1" w:rsidP="00A72D17">
      <w:pPr>
        <w:spacing w:after="0" w:line="360" w:lineRule="auto"/>
        <w:jc w:val="center"/>
        <w:rPr>
          <w:rFonts w:ascii="Garamond" w:hAnsi="Garamond"/>
          <w:b/>
          <w:sz w:val="18"/>
          <w:lang w:val="es-MX"/>
        </w:rPr>
      </w:pPr>
    </w:p>
    <w:p w14:paraId="4A4E6078" w14:textId="77777777" w:rsidR="007F57B1" w:rsidRDefault="007F57B1" w:rsidP="00A72D17">
      <w:pPr>
        <w:spacing w:after="0" w:line="360" w:lineRule="auto"/>
        <w:jc w:val="center"/>
        <w:rPr>
          <w:rFonts w:ascii="Garamond" w:hAnsi="Garamond"/>
          <w:b/>
          <w:sz w:val="18"/>
          <w:lang w:val="es-MX"/>
        </w:rPr>
      </w:pPr>
    </w:p>
    <w:p w14:paraId="5C837E91" w14:textId="77777777" w:rsidR="007F57B1" w:rsidRDefault="007F57B1" w:rsidP="00A72D17">
      <w:pPr>
        <w:spacing w:after="0" w:line="360" w:lineRule="auto"/>
        <w:jc w:val="center"/>
        <w:rPr>
          <w:rFonts w:ascii="Garamond" w:hAnsi="Garamond"/>
          <w:b/>
          <w:sz w:val="18"/>
          <w:lang w:val="es-MX"/>
        </w:rPr>
      </w:pPr>
    </w:p>
    <w:p w14:paraId="51904FC3" w14:textId="77777777" w:rsidR="007F57B1" w:rsidRDefault="007F57B1" w:rsidP="00A72D17">
      <w:pPr>
        <w:spacing w:after="0" w:line="360" w:lineRule="auto"/>
        <w:jc w:val="center"/>
        <w:rPr>
          <w:rFonts w:ascii="Garamond" w:hAnsi="Garamond"/>
          <w:b/>
          <w:sz w:val="18"/>
          <w:lang w:val="es-MX"/>
        </w:rPr>
      </w:pPr>
    </w:p>
    <w:p w14:paraId="402F19B1" w14:textId="77777777" w:rsidR="007F57B1" w:rsidRDefault="007F57B1" w:rsidP="00A72D17">
      <w:pPr>
        <w:spacing w:after="0" w:line="360" w:lineRule="auto"/>
        <w:jc w:val="center"/>
        <w:rPr>
          <w:rFonts w:ascii="Garamond" w:hAnsi="Garamond"/>
          <w:b/>
          <w:sz w:val="18"/>
          <w:lang w:val="es-MX"/>
        </w:rPr>
      </w:pPr>
    </w:p>
    <w:p w14:paraId="13008977" w14:textId="2850D604" w:rsidR="00A72D17" w:rsidRPr="00A72D17" w:rsidRDefault="00A72D17" w:rsidP="00A72D17">
      <w:pPr>
        <w:spacing w:after="0" w:line="360" w:lineRule="auto"/>
        <w:jc w:val="center"/>
        <w:rPr>
          <w:rFonts w:ascii="Garamond" w:hAnsi="Garamond"/>
          <w:b/>
          <w:sz w:val="18"/>
          <w:lang w:val="es-MX"/>
        </w:rPr>
      </w:pPr>
      <w:r w:rsidRPr="00357ECA">
        <w:rPr>
          <w:rFonts w:ascii="Garamond" w:hAnsi="Garamond"/>
          <w:b/>
          <w:sz w:val="18"/>
          <w:lang w:val="es-MX"/>
        </w:rPr>
        <w:lastRenderedPageBreak/>
        <w:t>Gráfic</w:t>
      </w:r>
      <w:r>
        <w:rPr>
          <w:rFonts w:ascii="Garamond" w:hAnsi="Garamond"/>
          <w:b/>
          <w:sz w:val="18"/>
          <w:lang w:val="es-MX"/>
        </w:rPr>
        <w:t>o 10</w:t>
      </w:r>
      <w:r w:rsidRPr="00357ECA">
        <w:rPr>
          <w:rFonts w:ascii="Garamond" w:hAnsi="Garamond"/>
          <w:b/>
          <w:sz w:val="18"/>
          <w:lang w:val="es-MX"/>
        </w:rPr>
        <w:t xml:space="preserve">. </w:t>
      </w:r>
      <w:r w:rsidR="004C7551">
        <w:rPr>
          <w:rFonts w:ascii="Garamond" w:hAnsi="Garamond"/>
          <w:b/>
          <w:sz w:val="18"/>
          <w:lang w:val="es-MX"/>
        </w:rPr>
        <w:t>Percepción s</w:t>
      </w:r>
      <w:r>
        <w:rPr>
          <w:rFonts w:ascii="Garamond" w:hAnsi="Garamond"/>
          <w:b/>
          <w:sz w:val="18"/>
          <w:lang w:val="es-MX"/>
        </w:rPr>
        <w:t xml:space="preserve">ituación Económica </w:t>
      </w:r>
      <w:r w:rsidR="004C7551">
        <w:rPr>
          <w:rFonts w:ascii="Garamond" w:hAnsi="Garamond"/>
          <w:b/>
          <w:sz w:val="18"/>
          <w:lang w:val="es-MX"/>
        </w:rPr>
        <w:t>en</w:t>
      </w:r>
      <w:r>
        <w:rPr>
          <w:rFonts w:ascii="Garamond" w:hAnsi="Garamond"/>
          <w:b/>
          <w:sz w:val="18"/>
          <w:lang w:val="es-MX"/>
        </w:rPr>
        <w:t xml:space="preserve"> las Familias</w:t>
      </w:r>
    </w:p>
    <w:p w14:paraId="3998FCE3" w14:textId="6D6E39BC" w:rsidR="00741111" w:rsidRDefault="004C7551" w:rsidP="001C787A">
      <w:pPr>
        <w:spacing w:line="360" w:lineRule="auto"/>
        <w:jc w:val="center"/>
        <w:rPr>
          <w:rFonts w:ascii="Garamond" w:hAnsi="Garamond"/>
          <w:sz w:val="24"/>
          <w:lang w:val="es-MX"/>
        </w:rPr>
      </w:pPr>
      <w:r>
        <w:rPr>
          <w:noProof/>
          <w:lang w:eastAsia="es-CO"/>
        </w:rPr>
        <w:drawing>
          <wp:inline distT="0" distB="0" distL="0" distR="0" wp14:anchorId="38A9DE94" wp14:editId="048DE63A">
            <wp:extent cx="2581275" cy="14351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2A61FD" w14:textId="6AEB598D" w:rsidR="00A40C1D" w:rsidRDefault="00B405E6" w:rsidP="00FF75BC">
      <w:pPr>
        <w:spacing w:line="360" w:lineRule="auto"/>
        <w:jc w:val="both"/>
        <w:rPr>
          <w:rFonts w:ascii="Garamond" w:hAnsi="Garamond"/>
          <w:sz w:val="20"/>
          <w:lang w:val="es-MX"/>
        </w:rPr>
      </w:pPr>
      <w:r>
        <w:rPr>
          <w:rFonts w:ascii="Garamond" w:hAnsi="Garamond"/>
          <w:sz w:val="20"/>
          <w:lang w:val="es-MX"/>
        </w:rPr>
        <w:t xml:space="preserve">Frente al número de aportantes al presupuesto familiar, </w:t>
      </w:r>
      <w:r w:rsidR="00FF75BC" w:rsidRPr="000F0BB4">
        <w:rPr>
          <w:rFonts w:ascii="Garamond" w:hAnsi="Garamond"/>
          <w:sz w:val="20"/>
          <w:lang w:val="es-MX"/>
        </w:rPr>
        <w:t>44%</w:t>
      </w:r>
      <w:r w:rsidR="00A72D17">
        <w:rPr>
          <w:rFonts w:ascii="Garamond" w:hAnsi="Garamond"/>
          <w:sz w:val="20"/>
          <w:lang w:val="es-MX"/>
        </w:rPr>
        <w:t xml:space="preserve"> dijeron que dos personas son aportantes al ingreso familiar, seguidas por el 37,8% de las familias que dijeron que solo un integrante aporta económicamente. Mientras que el 5,1% informaron que más de tres integrantes aportaban al ingreso familiar y el 13% dijeron que son 3 integrantes los aportantes.</w:t>
      </w:r>
    </w:p>
    <w:p w14:paraId="6130A3D3" w14:textId="228F757E" w:rsidR="00A72D17" w:rsidRPr="00A72D17" w:rsidRDefault="00A72D17" w:rsidP="00A72D17">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11</w:t>
      </w:r>
      <w:r w:rsidRPr="00357ECA">
        <w:rPr>
          <w:rFonts w:ascii="Garamond" w:hAnsi="Garamond"/>
          <w:b/>
          <w:sz w:val="18"/>
          <w:lang w:val="es-MX"/>
        </w:rPr>
        <w:t xml:space="preserve">. </w:t>
      </w:r>
      <w:r>
        <w:rPr>
          <w:rFonts w:ascii="Garamond" w:hAnsi="Garamond"/>
          <w:b/>
          <w:sz w:val="18"/>
          <w:lang w:val="es-MX"/>
        </w:rPr>
        <w:t>Integrantes que aportan económicamente a las Familias</w:t>
      </w:r>
    </w:p>
    <w:p w14:paraId="1DFDF25E" w14:textId="712F0C97" w:rsidR="00A40C1D" w:rsidRPr="00D85BC4" w:rsidRDefault="00D85BC4" w:rsidP="001C787A">
      <w:pPr>
        <w:spacing w:line="360" w:lineRule="auto"/>
        <w:jc w:val="center"/>
        <w:rPr>
          <w:rFonts w:ascii="Garamond" w:hAnsi="Garamond"/>
          <w:sz w:val="20"/>
          <w:lang w:val="es-MX"/>
        </w:rPr>
      </w:pPr>
      <w:r>
        <w:rPr>
          <w:noProof/>
          <w:lang w:eastAsia="es-CO"/>
        </w:rPr>
        <w:drawing>
          <wp:inline distT="0" distB="0" distL="0" distR="0" wp14:anchorId="3502F62A" wp14:editId="5FEF4EA2">
            <wp:extent cx="2581275" cy="173926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47B041" w14:textId="6B094B45" w:rsidR="00FF75BC" w:rsidRDefault="00FB0ED5" w:rsidP="00FF75BC">
      <w:pPr>
        <w:spacing w:line="360" w:lineRule="auto"/>
        <w:jc w:val="both"/>
        <w:rPr>
          <w:rFonts w:ascii="Garamond" w:hAnsi="Garamond"/>
          <w:sz w:val="20"/>
          <w:lang w:val="es-MX"/>
        </w:rPr>
      </w:pPr>
      <w:r w:rsidRPr="000F0BB4">
        <w:rPr>
          <w:rFonts w:ascii="Garamond" w:hAnsi="Garamond"/>
          <w:sz w:val="20"/>
          <w:lang w:val="es-MX"/>
        </w:rPr>
        <w:t>La mayoría de las familias</w:t>
      </w:r>
      <w:r w:rsidR="008961E9">
        <w:rPr>
          <w:rFonts w:ascii="Garamond" w:hAnsi="Garamond"/>
          <w:sz w:val="20"/>
          <w:lang w:val="es-MX"/>
        </w:rPr>
        <w:t xml:space="preserve"> del Distrito</w:t>
      </w:r>
      <w:r w:rsidRPr="000F0BB4">
        <w:rPr>
          <w:rFonts w:ascii="Garamond" w:hAnsi="Garamond"/>
          <w:sz w:val="20"/>
          <w:lang w:val="es-MX"/>
        </w:rPr>
        <w:t xml:space="preserve"> (</w:t>
      </w:r>
      <w:r w:rsidR="008961E9">
        <w:rPr>
          <w:rFonts w:ascii="Garamond" w:hAnsi="Garamond"/>
          <w:sz w:val="20"/>
          <w:lang w:val="es-MX"/>
        </w:rPr>
        <w:t>84,9%</w:t>
      </w:r>
      <w:r w:rsidRPr="000F0BB4">
        <w:rPr>
          <w:rFonts w:ascii="Garamond" w:hAnsi="Garamond"/>
          <w:sz w:val="20"/>
          <w:lang w:val="es-MX"/>
        </w:rPr>
        <w:t>) declara</w:t>
      </w:r>
      <w:r w:rsidR="008961E9">
        <w:rPr>
          <w:rFonts w:ascii="Garamond" w:hAnsi="Garamond"/>
          <w:sz w:val="20"/>
          <w:lang w:val="es-MX"/>
        </w:rPr>
        <w:t>ron</w:t>
      </w:r>
      <w:r w:rsidRPr="000F0BB4">
        <w:rPr>
          <w:rFonts w:ascii="Garamond" w:hAnsi="Garamond"/>
          <w:sz w:val="20"/>
          <w:lang w:val="es-MX"/>
        </w:rPr>
        <w:t xml:space="preserve"> </w:t>
      </w:r>
      <w:r w:rsidR="008961E9">
        <w:rPr>
          <w:rFonts w:ascii="Garamond" w:hAnsi="Garamond"/>
          <w:sz w:val="20"/>
          <w:lang w:val="es-MX"/>
        </w:rPr>
        <w:t>no recibir algún tipo de subsidio</w:t>
      </w:r>
      <w:r w:rsidRPr="000F0BB4">
        <w:rPr>
          <w:rFonts w:ascii="Garamond" w:hAnsi="Garamond"/>
          <w:sz w:val="20"/>
          <w:lang w:val="es-MX"/>
        </w:rPr>
        <w:t xml:space="preserve">. </w:t>
      </w:r>
      <w:r w:rsidR="00625A91" w:rsidRPr="000F0BB4">
        <w:rPr>
          <w:rFonts w:ascii="Garamond" w:hAnsi="Garamond"/>
          <w:sz w:val="20"/>
          <w:lang w:val="es-MX"/>
        </w:rPr>
        <w:t xml:space="preserve">De las </w:t>
      </w:r>
      <w:r w:rsidR="00FF75BC" w:rsidRPr="000F0BB4">
        <w:rPr>
          <w:rFonts w:ascii="Garamond" w:hAnsi="Garamond"/>
          <w:sz w:val="20"/>
          <w:lang w:val="es-MX"/>
        </w:rPr>
        <w:t xml:space="preserve">familias </w:t>
      </w:r>
      <w:r w:rsidR="00625A91" w:rsidRPr="000F0BB4">
        <w:rPr>
          <w:rFonts w:ascii="Garamond" w:hAnsi="Garamond"/>
          <w:sz w:val="20"/>
          <w:lang w:val="es-MX"/>
        </w:rPr>
        <w:t xml:space="preserve">que </w:t>
      </w:r>
      <w:r w:rsidR="00BB4A87">
        <w:rPr>
          <w:rFonts w:ascii="Garamond" w:hAnsi="Garamond"/>
          <w:sz w:val="20"/>
          <w:lang w:val="es-MX"/>
        </w:rPr>
        <w:t xml:space="preserve">si </w:t>
      </w:r>
      <w:r w:rsidR="00625A91" w:rsidRPr="000F0BB4">
        <w:rPr>
          <w:rFonts w:ascii="Garamond" w:hAnsi="Garamond"/>
          <w:sz w:val="20"/>
          <w:lang w:val="es-MX"/>
        </w:rPr>
        <w:t xml:space="preserve">reciben subsidios </w:t>
      </w:r>
      <w:r w:rsidR="008961E9">
        <w:rPr>
          <w:rFonts w:ascii="Garamond" w:hAnsi="Garamond"/>
          <w:sz w:val="20"/>
          <w:lang w:val="es-MX"/>
        </w:rPr>
        <w:t>el 4,</w:t>
      </w:r>
      <w:r w:rsidR="00625A91" w:rsidRPr="000F0BB4">
        <w:rPr>
          <w:rFonts w:ascii="Garamond" w:hAnsi="Garamond"/>
          <w:sz w:val="20"/>
          <w:lang w:val="es-MX"/>
        </w:rPr>
        <w:t xml:space="preserve">2% </w:t>
      </w:r>
      <w:r w:rsidR="00BB4A87">
        <w:rPr>
          <w:rFonts w:ascii="Garamond" w:hAnsi="Garamond"/>
          <w:sz w:val="20"/>
          <w:lang w:val="es-MX"/>
        </w:rPr>
        <w:t>dijeron recibir</w:t>
      </w:r>
      <w:r w:rsidR="00FF75BC" w:rsidRPr="000F0BB4">
        <w:rPr>
          <w:rFonts w:ascii="Garamond" w:hAnsi="Garamond"/>
          <w:sz w:val="20"/>
          <w:lang w:val="es-MX"/>
        </w:rPr>
        <w:t xml:space="preserve"> “canasta complementaria de alimentos”</w:t>
      </w:r>
      <w:r w:rsidR="008961E9">
        <w:rPr>
          <w:rFonts w:ascii="Garamond" w:hAnsi="Garamond"/>
          <w:sz w:val="20"/>
          <w:lang w:val="es-MX"/>
        </w:rPr>
        <w:t>, el 3,</w:t>
      </w:r>
      <w:r w:rsidR="00BB4A87">
        <w:rPr>
          <w:rFonts w:ascii="Garamond" w:hAnsi="Garamond"/>
          <w:sz w:val="20"/>
          <w:lang w:val="es-MX"/>
        </w:rPr>
        <w:t>2%</w:t>
      </w:r>
      <w:r w:rsidR="00FF75BC" w:rsidRPr="000F0BB4">
        <w:rPr>
          <w:rFonts w:ascii="Garamond" w:hAnsi="Garamond"/>
          <w:sz w:val="20"/>
          <w:lang w:val="es-MX"/>
        </w:rPr>
        <w:t xml:space="preserve"> “apoyo a cuidadores de personas </w:t>
      </w:r>
      <w:r w:rsidR="00852DE5">
        <w:rPr>
          <w:rFonts w:ascii="Garamond" w:hAnsi="Garamond"/>
          <w:sz w:val="20"/>
          <w:lang w:val="es-MX"/>
        </w:rPr>
        <w:t>con</w:t>
      </w:r>
      <w:r w:rsidR="00FF75BC" w:rsidRPr="000F0BB4">
        <w:rPr>
          <w:rFonts w:ascii="Garamond" w:hAnsi="Garamond"/>
          <w:sz w:val="20"/>
          <w:lang w:val="es-MX"/>
        </w:rPr>
        <w:t xml:space="preserve"> discapacidad</w:t>
      </w:r>
      <w:r w:rsidR="00BB4A87">
        <w:rPr>
          <w:rFonts w:ascii="Garamond" w:hAnsi="Garamond"/>
          <w:sz w:val="20"/>
          <w:lang w:val="es-MX"/>
        </w:rPr>
        <w:t>”,</w:t>
      </w:r>
      <w:r w:rsidR="00FF75BC" w:rsidRPr="000F0BB4">
        <w:rPr>
          <w:rFonts w:ascii="Garamond" w:hAnsi="Garamond"/>
          <w:sz w:val="20"/>
          <w:lang w:val="es-MX"/>
        </w:rPr>
        <w:t xml:space="preserve"> </w:t>
      </w:r>
      <w:r w:rsidR="008961E9">
        <w:rPr>
          <w:rFonts w:ascii="Garamond" w:hAnsi="Garamond"/>
          <w:sz w:val="20"/>
          <w:lang w:val="es-MX"/>
        </w:rPr>
        <w:t>2,</w:t>
      </w:r>
      <w:r w:rsidR="00625A91" w:rsidRPr="000F0BB4">
        <w:rPr>
          <w:rFonts w:ascii="Garamond" w:hAnsi="Garamond"/>
          <w:sz w:val="20"/>
          <w:lang w:val="es-MX"/>
        </w:rPr>
        <w:t xml:space="preserve">6% </w:t>
      </w:r>
      <w:r w:rsidR="00FF75BC" w:rsidRPr="000F0BB4">
        <w:rPr>
          <w:rFonts w:ascii="Garamond" w:hAnsi="Garamond"/>
          <w:sz w:val="20"/>
          <w:lang w:val="es-MX"/>
        </w:rPr>
        <w:t>el “apoyo económico a persona mayor”</w:t>
      </w:r>
      <w:r w:rsidR="008961E9">
        <w:rPr>
          <w:rFonts w:ascii="Garamond" w:hAnsi="Garamond"/>
          <w:sz w:val="20"/>
          <w:lang w:val="es-MX"/>
        </w:rPr>
        <w:t xml:space="preserve">, </w:t>
      </w:r>
      <w:r w:rsidR="00BB4A87">
        <w:rPr>
          <w:rFonts w:ascii="Garamond" w:hAnsi="Garamond"/>
          <w:sz w:val="20"/>
          <w:lang w:val="es-MX"/>
        </w:rPr>
        <w:t xml:space="preserve">y 2,3% dijeron recibir subsidio de familias en acción, </w:t>
      </w:r>
      <w:r w:rsidR="008961E9">
        <w:rPr>
          <w:rFonts w:ascii="Garamond" w:hAnsi="Garamond"/>
          <w:sz w:val="20"/>
          <w:lang w:val="es-MX"/>
        </w:rPr>
        <w:t>entre otros.</w:t>
      </w:r>
      <w:r w:rsidR="005757D8" w:rsidRPr="000F0BB4">
        <w:rPr>
          <w:rFonts w:ascii="Garamond" w:hAnsi="Garamond"/>
          <w:sz w:val="20"/>
          <w:lang w:val="es-MX"/>
        </w:rPr>
        <w:t xml:space="preserve"> </w:t>
      </w:r>
    </w:p>
    <w:p w14:paraId="750A06A6" w14:textId="77777777" w:rsidR="00E17815" w:rsidRDefault="00E17815" w:rsidP="00FF75BC">
      <w:pPr>
        <w:spacing w:line="360" w:lineRule="auto"/>
        <w:jc w:val="both"/>
        <w:rPr>
          <w:rFonts w:ascii="Garamond" w:hAnsi="Garamond"/>
          <w:sz w:val="20"/>
          <w:lang w:val="es-MX"/>
        </w:rPr>
      </w:pPr>
    </w:p>
    <w:p w14:paraId="27CC504F" w14:textId="6C873D0A" w:rsidR="008961E9" w:rsidRPr="008961E9" w:rsidRDefault="008961E9" w:rsidP="008961E9">
      <w:pPr>
        <w:spacing w:after="0"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12</w:t>
      </w:r>
      <w:r w:rsidRPr="00357ECA">
        <w:rPr>
          <w:rFonts w:ascii="Garamond" w:hAnsi="Garamond"/>
          <w:b/>
          <w:sz w:val="18"/>
          <w:lang w:val="es-MX"/>
        </w:rPr>
        <w:t xml:space="preserve">. </w:t>
      </w:r>
      <w:r>
        <w:rPr>
          <w:rFonts w:ascii="Garamond" w:hAnsi="Garamond"/>
          <w:b/>
          <w:sz w:val="18"/>
          <w:lang w:val="es-MX"/>
        </w:rPr>
        <w:t>% de Familias por tipo de subsidio que reciben.</w:t>
      </w:r>
    </w:p>
    <w:p w14:paraId="55210301" w14:textId="6F1AC056" w:rsidR="00557CB7" w:rsidRDefault="004D2457" w:rsidP="001C787A">
      <w:pPr>
        <w:spacing w:line="360" w:lineRule="auto"/>
        <w:jc w:val="center"/>
        <w:rPr>
          <w:rFonts w:ascii="Garamond" w:hAnsi="Garamond"/>
          <w:sz w:val="24"/>
          <w:lang w:val="es-MX"/>
        </w:rPr>
      </w:pPr>
      <w:r>
        <w:rPr>
          <w:noProof/>
          <w:lang w:eastAsia="es-CO"/>
        </w:rPr>
        <w:drawing>
          <wp:inline distT="0" distB="0" distL="0" distR="0" wp14:anchorId="70519BB9" wp14:editId="330F8264">
            <wp:extent cx="2581275" cy="283464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A15775" w14:textId="77777777" w:rsidR="007F57B1" w:rsidRDefault="007F57B1">
      <w:pPr>
        <w:rPr>
          <w:rFonts w:asciiTheme="majorHAnsi" w:eastAsiaTheme="majorEastAsia" w:hAnsiTheme="majorHAnsi" w:cstheme="majorBidi"/>
          <w:color w:val="365F91" w:themeColor="accent1" w:themeShade="BF"/>
          <w:sz w:val="32"/>
          <w:szCs w:val="20"/>
          <w:lang w:val="es-MX"/>
        </w:rPr>
      </w:pPr>
      <w:r>
        <w:rPr>
          <w:szCs w:val="20"/>
          <w:lang w:val="es-MX"/>
        </w:rPr>
        <w:br w:type="page"/>
      </w:r>
    </w:p>
    <w:p w14:paraId="0A84806D" w14:textId="3DCF529E" w:rsidR="00BB4A87" w:rsidRDefault="00BB4A87" w:rsidP="00BB4A87">
      <w:pPr>
        <w:pStyle w:val="Ttulo1"/>
        <w:rPr>
          <w:szCs w:val="20"/>
          <w:lang w:val="es-MX"/>
        </w:rPr>
      </w:pPr>
      <w:r>
        <w:rPr>
          <w:szCs w:val="20"/>
          <w:lang w:val="es-MX"/>
        </w:rPr>
        <w:lastRenderedPageBreak/>
        <w:t>Conclusiones</w:t>
      </w:r>
    </w:p>
    <w:p w14:paraId="203E34D8" w14:textId="77777777" w:rsidR="006E2C7D" w:rsidRPr="006E2C7D" w:rsidRDefault="00620EF2" w:rsidP="00620EF2">
      <w:pPr>
        <w:pStyle w:val="Prrafodelista"/>
        <w:numPr>
          <w:ilvl w:val="0"/>
          <w:numId w:val="1"/>
        </w:numPr>
        <w:spacing w:line="360" w:lineRule="auto"/>
        <w:jc w:val="both"/>
        <w:rPr>
          <w:rFonts w:ascii="Garamond" w:hAnsi="Garamond"/>
          <w:sz w:val="20"/>
          <w:szCs w:val="20"/>
          <w:lang w:val="es-MX"/>
        </w:rPr>
      </w:pPr>
      <w:r w:rsidRPr="00620EF2">
        <w:rPr>
          <w:rFonts w:ascii="Garamond" w:hAnsi="Garamond"/>
          <w:sz w:val="20"/>
          <w:szCs w:val="20"/>
        </w:rPr>
        <w:t xml:space="preserve">El 62% de las personas que respondieron la encuesta en representación de sus familias eran </w:t>
      </w:r>
      <w:r>
        <w:rPr>
          <w:rFonts w:ascii="Garamond" w:hAnsi="Garamond"/>
          <w:sz w:val="20"/>
          <w:szCs w:val="20"/>
        </w:rPr>
        <w:t xml:space="preserve">mujeres. Por localidad, en el caso de Ciudad Bolívar (26%), </w:t>
      </w:r>
      <w:r w:rsidR="006E2C7D">
        <w:rPr>
          <w:rFonts w:ascii="Garamond" w:hAnsi="Garamond"/>
          <w:sz w:val="20"/>
          <w:szCs w:val="20"/>
        </w:rPr>
        <w:t>y Kennedy (41%) fueron las dos únicas localidades en las que las mujeres representaron menos del 50% de los personas que respondieron, es decir fueron más hombres quienes la respondieron.</w:t>
      </w:r>
    </w:p>
    <w:p w14:paraId="5E9977D9" w14:textId="66BCF8A5" w:rsidR="00BB4A87" w:rsidRPr="006E2C7D" w:rsidRDefault="006E2C7D" w:rsidP="00620EF2">
      <w:pPr>
        <w:pStyle w:val="Prrafodelista"/>
        <w:numPr>
          <w:ilvl w:val="0"/>
          <w:numId w:val="1"/>
        </w:numPr>
        <w:spacing w:line="360" w:lineRule="auto"/>
        <w:jc w:val="both"/>
        <w:rPr>
          <w:rFonts w:ascii="Garamond" w:hAnsi="Garamond"/>
          <w:sz w:val="20"/>
          <w:szCs w:val="20"/>
          <w:lang w:val="es-MX"/>
        </w:rPr>
      </w:pPr>
      <w:r>
        <w:rPr>
          <w:rFonts w:ascii="Garamond" w:hAnsi="Garamond"/>
          <w:sz w:val="20"/>
          <w:szCs w:val="20"/>
        </w:rPr>
        <w:t>El 53,7% de las familias encuestadas se concentraron en 5 localidades: Suba (15,4%), Kennedy (12,1%), Engativá (11%), Ciudad Bolívar (8%) y Usaquén (7,2%).</w:t>
      </w:r>
      <w:r w:rsidR="00620EF2">
        <w:rPr>
          <w:rFonts w:ascii="Garamond" w:hAnsi="Garamond"/>
          <w:sz w:val="20"/>
          <w:szCs w:val="20"/>
        </w:rPr>
        <w:t xml:space="preserve"> </w:t>
      </w:r>
    </w:p>
    <w:p w14:paraId="7A9BBCDC" w14:textId="341771AD" w:rsidR="006E2C7D" w:rsidRDefault="003E46B5" w:rsidP="00620EF2">
      <w:pPr>
        <w:pStyle w:val="Prrafodelista"/>
        <w:numPr>
          <w:ilvl w:val="0"/>
          <w:numId w:val="1"/>
        </w:numPr>
        <w:spacing w:line="360" w:lineRule="auto"/>
        <w:jc w:val="both"/>
        <w:rPr>
          <w:rFonts w:ascii="Garamond" w:hAnsi="Garamond"/>
          <w:sz w:val="20"/>
          <w:szCs w:val="20"/>
          <w:lang w:val="es-MX"/>
        </w:rPr>
      </w:pPr>
      <w:r>
        <w:rPr>
          <w:rFonts w:ascii="Garamond" w:hAnsi="Garamond"/>
          <w:sz w:val="20"/>
          <w:szCs w:val="20"/>
          <w:lang w:val="es-MX"/>
        </w:rPr>
        <w:t>Cerca del 79</w:t>
      </w:r>
      <w:r w:rsidR="00403C55">
        <w:rPr>
          <w:rFonts w:ascii="Garamond" w:hAnsi="Garamond"/>
          <w:sz w:val="20"/>
          <w:szCs w:val="20"/>
          <w:lang w:val="es-MX"/>
        </w:rPr>
        <w:t xml:space="preserve">% de las familias encuestadas reportaron </w:t>
      </w:r>
      <w:r>
        <w:rPr>
          <w:rFonts w:ascii="Garamond" w:hAnsi="Garamond"/>
          <w:sz w:val="20"/>
          <w:szCs w:val="20"/>
          <w:lang w:val="es-MX"/>
        </w:rPr>
        <w:t>vivir en estrato 2 (42,7%) y 3 (35,9%)</w:t>
      </w:r>
      <w:r w:rsidR="00403C55">
        <w:rPr>
          <w:rFonts w:ascii="Garamond" w:hAnsi="Garamond"/>
          <w:sz w:val="20"/>
          <w:szCs w:val="20"/>
          <w:lang w:val="es-MX"/>
        </w:rPr>
        <w:t xml:space="preserve">. </w:t>
      </w:r>
      <w:r>
        <w:rPr>
          <w:rFonts w:ascii="Garamond" w:hAnsi="Garamond"/>
          <w:sz w:val="20"/>
          <w:szCs w:val="20"/>
          <w:lang w:val="es-MX"/>
        </w:rPr>
        <w:t>E</w:t>
      </w:r>
      <w:r w:rsidR="00403C55">
        <w:rPr>
          <w:rFonts w:ascii="Garamond" w:hAnsi="Garamond"/>
          <w:sz w:val="20"/>
          <w:szCs w:val="20"/>
          <w:lang w:val="es-MX"/>
        </w:rPr>
        <w:t>l estrato 1 se encontraron el 8,8% de las familias encuestadas.</w:t>
      </w:r>
      <w:r>
        <w:rPr>
          <w:rFonts w:ascii="Garamond" w:hAnsi="Garamond"/>
          <w:sz w:val="20"/>
          <w:szCs w:val="20"/>
          <w:lang w:val="es-MX"/>
        </w:rPr>
        <w:t xml:space="preserve"> Por su parte, tan solo el 4,5% de las familias encuestadas reportaron vivir en estratos 5 y 6 (estratos que subsidian los estratos 1-3 en servicios públicos domiciliarios).</w:t>
      </w:r>
    </w:p>
    <w:p w14:paraId="3F9F2B50" w14:textId="2AC2C208" w:rsidR="00403C55" w:rsidRDefault="00403C55" w:rsidP="00620EF2">
      <w:pPr>
        <w:pStyle w:val="Prrafodelista"/>
        <w:numPr>
          <w:ilvl w:val="0"/>
          <w:numId w:val="1"/>
        </w:numPr>
        <w:spacing w:line="360" w:lineRule="auto"/>
        <w:jc w:val="both"/>
        <w:rPr>
          <w:rFonts w:ascii="Garamond" w:hAnsi="Garamond"/>
          <w:sz w:val="20"/>
          <w:szCs w:val="20"/>
          <w:lang w:val="es-MX"/>
        </w:rPr>
      </w:pPr>
      <w:r>
        <w:rPr>
          <w:rFonts w:ascii="Garamond" w:hAnsi="Garamond"/>
          <w:sz w:val="20"/>
          <w:szCs w:val="20"/>
          <w:lang w:val="es-MX"/>
        </w:rPr>
        <w:t>En Engativá y Fontibón el 68% de las familias respectivamente dijeron ser los propietarios de sus viviendas. Mientras que en el caso de Usme el 91% de las familias dijeron tener viv</w:t>
      </w:r>
      <w:r w:rsidR="00983AC5">
        <w:rPr>
          <w:rFonts w:ascii="Garamond" w:hAnsi="Garamond"/>
          <w:sz w:val="20"/>
          <w:szCs w:val="20"/>
          <w:lang w:val="es-MX"/>
        </w:rPr>
        <w:t>ienda en arriendo o subarriendo, lo mismo que el 79% de famiilas de Ciudad Bolívar y el 74% de familias de Usaquén.</w:t>
      </w:r>
    </w:p>
    <w:p w14:paraId="5A5284F0" w14:textId="7C4DE976" w:rsidR="00983AC5" w:rsidRPr="00983AC5" w:rsidRDefault="00983AC5" w:rsidP="00620EF2">
      <w:pPr>
        <w:pStyle w:val="Prrafodelista"/>
        <w:numPr>
          <w:ilvl w:val="0"/>
          <w:numId w:val="1"/>
        </w:numPr>
        <w:spacing w:line="360" w:lineRule="auto"/>
        <w:jc w:val="both"/>
        <w:rPr>
          <w:rFonts w:ascii="Garamond" w:hAnsi="Garamond"/>
          <w:sz w:val="20"/>
          <w:szCs w:val="20"/>
          <w:lang w:val="es-MX"/>
        </w:rPr>
      </w:pPr>
      <w:r>
        <w:rPr>
          <w:rFonts w:ascii="Garamond" w:hAnsi="Garamond"/>
          <w:sz w:val="20"/>
          <w:szCs w:val="20"/>
          <w:lang w:val="es-MX"/>
        </w:rPr>
        <w:t xml:space="preserve">Las </w:t>
      </w:r>
      <w:r w:rsidRPr="000F0BB4">
        <w:rPr>
          <w:rFonts w:ascii="Garamond" w:hAnsi="Garamond"/>
          <w:sz w:val="20"/>
          <w:lang w:val="es-MX"/>
        </w:rPr>
        <w:t>localidades de Kennedy, Suba y Rafael Uribe Uribe</w:t>
      </w:r>
      <w:r>
        <w:rPr>
          <w:rFonts w:ascii="Garamond" w:hAnsi="Garamond"/>
          <w:sz w:val="20"/>
          <w:lang w:val="es-MX"/>
        </w:rPr>
        <w:t xml:space="preserve"> concentran en promedio el 1% de familias que se identificaron como hogares con hacinamiento crítico (más de 3 intregrantes por cuarto).</w:t>
      </w:r>
    </w:p>
    <w:p w14:paraId="68D63220" w14:textId="1D6BC3B3" w:rsidR="00983AC5" w:rsidRPr="00620EF2" w:rsidRDefault="00983AC5" w:rsidP="00620EF2">
      <w:pPr>
        <w:pStyle w:val="Prrafodelista"/>
        <w:numPr>
          <w:ilvl w:val="0"/>
          <w:numId w:val="1"/>
        </w:numPr>
        <w:spacing w:line="360" w:lineRule="auto"/>
        <w:jc w:val="both"/>
        <w:rPr>
          <w:rFonts w:ascii="Garamond" w:hAnsi="Garamond"/>
          <w:sz w:val="20"/>
          <w:szCs w:val="20"/>
          <w:lang w:val="es-MX"/>
        </w:rPr>
      </w:pPr>
      <w:r>
        <w:rPr>
          <w:rFonts w:ascii="Garamond" w:hAnsi="Garamond"/>
          <w:sz w:val="20"/>
          <w:lang w:val="es-MX"/>
        </w:rPr>
        <w:t>En cuanto a la percepc</w:t>
      </w:r>
      <w:r w:rsidR="007D1412">
        <w:rPr>
          <w:rFonts w:ascii="Garamond" w:hAnsi="Garamond"/>
          <w:sz w:val="20"/>
          <w:lang w:val="es-MX"/>
        </w:rPr>
        <w:t>ión de suficiencia del ingreso por familia</w:t>
      </w:r>
      <w:r>
        <w:rPr>
          <w:rFonts w:ascii="Garamond" w:hAnsi="Garamond"/>
          <w:sz w:val="20"/>
          <w:lang w:val="es-MX"/>
        </w:rPr>
        <w:t xml:space="preserve">, más de la mitad de las </w:t>
      </w:r>
      <w:r>
        <w:rPr>
          <w:rFonts w:ascii="Garamond" w:hAnsi="Garamond"/>
          <w:sz w:val="20"/>
          <w:lang w:val="es-MX"/>
        </w:rPr>
        <w:t>familias (50,9%) encuestadas dijeron qu</w:t>
      </w:r>
      <w:r w:rsidR="007D1412">
        <w:rPr>
          <w:rFonts w:ascii="Garamond" w:hAnsi="Garamond"/>
          <w:sz w:val="20"/>
          <w:lang w:val="es-MX"/>
        </w:rPr>
        <w:t>e</w:t>
      </w:r>
      <w:r>
        <w:rPr>
          <w:rFonts w:ascii="Garamond" w:hAnsi="Garamond"/>
          <w:sz w:val="20"/>
          <w:lang w:val="es-MX"/>
        </w:rPr>
        <w:t xml:space="preserve"> sus ingresos solo alcanzaban para cubrir los gastos mínimos, un porcentaje cercano (52,6%) de familias consideraron que su situación económica era regular.</w:t>
      </w:r>
    </w:p>
    <w:sectPr w:rsidR="00983AC5" w:rsidRPr="00620EF2" w:rsidSect="001D6C8E">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E127C" w14:textId="77777777" w:rsidR="005111DA" w:rsidRDefault="005111DA" w:rsidP="001A3DCB">
      <w:pPr>
        <w:spacing w:after="0" w:line="240" w:lineRule="auto"/>
      </w:pPr>
      <w:r>
        <w:separator/>
      </w:r>
    </w:p>
  </w:endnote>
  <w:endnote w:type="continuationSeparator" w:id="0">
    <w:p w14:paraId="6D68E6C7" w14:textId="77777777" w:rsidR="005111DA" w:rsidRDefault="005111DA" w:rsidP="001A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1892" w14:textId="77777777" w:rsidR="00403C55" w:rsidRDefault="00403C55" w:rsidP="00914C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BEEDB" w14:textId="77777777" w:rsidR="005111DA" w:rsidRDefault="005111DA" w:rsidP="001A3DCB">
      <w:pPr>
        <w:spacing w:after="0" w:line="240" w:lineRule="auto"/>
      </w:pPr>
      <w:r>
        <w:separator/>
      </w:r>
    </w:p>
  </w:footnote>
  <w:footnote w:type="continuationSeparator" w:id="0">
    <w:p w14:paraId="05369508" w14:textId="77777777" w:rsidR="005111DA" w:rsidRDefault="005111DA" w:rsidP="001A3DCB">
      <w:pPr>
        <w:spacing w:after="0" w:line="240" w:lineRule="auto"/>
      </w:pPr>
      <w:r>
        <w:continuationSeparator/>
      </w:r>
    </w:p>
  </w:footnote>
  <w:footnote w:id="1">
    <w:p w14:paraId="425F7E0F" w14:textId="6FEC6029" w:rsidR="00403C55" w:rsidRPr="00154509" w:rsidRDefault="00403C55" w:rsidP="00154509">
      <w:pPr>
        <w:pStyle w:val="Textonotapie"/>
        <w:jc w:val="both"/>
        <w:rPr>
          <w:rFonts w:ascii="Garamond" w:hAnsi="Garamond"/>
          <w:sz w:val="16"/>
          <w:szCs w:val="16"/>
        </w:rPr>
      </w:pPr>
      <w:r w:rsidRPr="00154509">
        <w:rPr>
          <w:rStyle w:val="Refdenotaalpie"/>
          <w:rFonts w:ascii="Garamond" w:hAnsi="Garamond"/>
          <w:sz w:val="16"/>
          <w:szCs w:val="16"/>
        </w:rPr>
        <w:footnoteRef/>
      </w:r>
      <w:r w:rsidRPr="00154509">
        <w:rPr>
          <w:rFonts w:ascii="Garamond" w:hAnsi="Garamond"/>
          <w:sz w:val="16"/>
          <w:szCs w:val="16"/>
        </w:rPr>
        <w:t xml:space="preserve"> </w:t>
      </w:r>
      <w:r>
        <w:rPr>
          <w:rFonts w:ascii="Garamond" w:hAnsi="Garamond"/>
          <w:sz w:val="16"/>
          <w:szCs w:val="16"/>
        </w:rPr>
        <w:t>“</w:t>
      </w:r>
      <w:r w:rsidRPr="00154509">
        <w:rPr>
          <w:rFonts w:ascii="Garamond" w:hAnsi="Garamond"/>
          <w:sz w:val="16"/>
          <w:szCs w:val="16"/>
        </w:rPr>
        <w:t>Diferenciales geográficos y sociales en las tipologías de familias en Colombia: 2014</w:t>
      </w:r>
      <w:r>
        <w:rPr>
          <w:rFonts w:ascii="Garamond" w:hAnsi="Garamond"/>
          <w:sz w:val="16"/>
          <w:szCs w:val="16"/>
        </w:rPr>
        <w:t>”, Observatorio de Familia, DNP.</w:t>
      </w:r>
    </w:p>
  </w:footnote>
  <w:footnote w:id="2">
    <w:p w14:paraId="753F5E97" w14:textId="6D4FE6BC" w:rsidR="00403C55" w:rsidRPr="006E64C9" w:rsidRDefault="00403C55" w:rsidP="00154509">
      <w:pPr>
        <w:pStyle w:val="Textonotapie"/>
        <w:jc w:val="both"/>
        <w:rPr>
          <w:rFonts w:ascii="Garamond" w:hAnsi="Garamond"/>
        </w:rPr>
      </w:pPr>
      <w:r w:rsidRPr="006E64C9">
        <w:rPr>
          <w:rStyle w:val="Refdenotaalpie"/>
          <w:rFonts w:ascii="Garamond" w:hAnsi="Garamond"/>
          <w:sz w:val="16"/>
        </w:rPr>
        <w:footnoteRef/>
      </w:r>
      <w:r w:rsidRPr="006E64C9">
        <w:rPr>
          <w:rFonts w:ascii="Garamond" w:hAnsi="Garamond"/>
          <w:sz w:val="16"/>
        </w:rPr>
        <w:t xml:space="preserve"> Ver página 34 del documento de </w:t>
      </w:r>
      <w:r w:rsidRPr="006E64C9">
        <w:rPr>
          <w:rFonts w:ascii="Garamond" w:hAnsi="Garamond"/>
          <w:sz w:val="16"/>
          <w:lang w:val="es-MX"/>
        </w:rPr>
        <w:t>Política Pública para las Familias del Distrito 2011-2025, Secretaría Distrital de Integración Social.</w:t>
      </w:r>
    </w:p>
  </w:footnote>
  <w:footnote w:id="3">
    <w:p w14:paraId="2AE8505E" w14:textId="3FF147EB" w:rsidR="00403C55" w:rsidRPr="00997D6D" w:rsidRDefault="00403C55" w:rsidP="00997D6D">
      <w:pPr>
        <w:pStyle w:val="Textonotapie"/>
        <w:jc w:val="both"/>
        <w:rPr>
          <w:rFonts w:ascii="Garamond" w:hAnsi="Garamond"/>
          <w:sz w:val="16"/>
          <w:szCs w:val="16"/>
        </w:rPr>
      </w:pPr>
      <w:r w:rsidRPr="00997D6D">
        <w:rPr>
          <w:rStyle w:val="Refdenotaalpie"/>
          <w:rFonts w:ascii="Garamond" w:hAnsi="Garamond"/>
          <w:sz w:val="16"/>
          <w:szCs w:val="16"/>
        </w:rPr>
        <w:footnoteRef/>
      </w:r>
      <w:r w:rsidRPr="00997D6D">
        <w:rPr>
          <w:rFonts w:ascii="Garamond" w:hAnsi="Garamond"/>
          <w:sz w:val="16"/>
          <w:szCs w:val="16"/>
        </w:rPr>
        <w:t xml:space="preserve"> Al </w:t>
      </w:r>
      <w:r>
        <w:rPr>
          <w:rFonts w:ascii="Garamond" w:hAnsi="Garamond"/>
          <w:sz w:val="16"/>
          <w:szCs w:val="16"/>
        </w:rPr>
        <w:t>mencionar familias encuestadas se hace la precisión que</w:t>
      </w:r>
      <w:r w:rsidR="00C31236">
        <w:rPr>
          <w:rFonts w:ascii="Garamond" w:hAnsi="Garamond"/>
          <w:sz w:val="16"/>
          <w:szCs w:val="16"/>
        </w:rPr>
        <w:t xml:space="preserve"> de acuerdo al diseño muestral, se encuestaron</w:t>
      </w:r>
      <w:r>
        <w:rPr>
          <w:rFonts w:ascii="Garamond" w:hAnsi="Garamond"/>
          <w:sz w:val="16"/>
          <w:szCs w:val="16"/>
        </w:rPr>
        <w:t xml:space="preserve"> hogares familiares, </w:t>
      </w:r>
      <w:r w:rsidR="00C31236">
        <w:rPr>
          <w:rFonts w:ascii="Garamond" w:hAnsi="Garamond"/>
          <w:sz w:val="16"/>
          <w:szCs w:val="16"/>
        </w:rPr>
        <w:t xml:space="preserve">donde </w:t>
      </w:r>
      <w:r>
        <w:rPr>
          <w:rFonts w:ascii="Garamond" w:hAnsi="Garamond"/>
          <w:sz w:val="16"/>
          <w:szCs w:val="16"/>
        </w:rPr>
        <w:t>la persona mayor de edad respondió en nombre de los miembros de su familia con quienes vive.</w:t>
      </w:r>
    </w:p>
  </w:footnote>
  <w:footnote w:id="4">
    <w:p w14:paraId="0EE23E2E" w14:textId="1892E9E1" w:rsidR="00403C55" w:rsidRPr="00CF547F" w:rsidRDefault="00403C55" w:rsidP="00997D6D">
      <w:pPr>
        <w:pStyle w:val="Textonotapie"/>
        <w:jc w:val="both"/>
        <w:rPr>
          <w:rFonts w:ascii="Garamond" w:hAnsi="Garamond"/>
        </w:rPr>
      </w:pPr>
      <w:r w:rsidRPr="00460525">
        <w:rPr>
          <w:rStyle w:val="Refdenotaalpie"/>
          <w:rFonts w:ascii="Garamond" w:hAnsi="Garamond"/>
          <w:sz w:val="16"/>
        </w:rPr>
        <w:footnoteRef/>
      </w:r>
      <w:r w:rsidRPr="00460525">
        <w:rPr>
          <w:rFonts w:ascii="Garamond" w:hAnsi="Garamond"/>
          <w:sz w:val="16"/>
        </w:rPr>
        <w:t xml:space="preserve"> De acuerdo con la Encuesta Multipropósito de 2014 estas localidades concentran el 38,8% del total de viviendas en la ciudad.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7C4"/>
    <w:multiLevelType w:val="hybridMultilevel"/>
    <w:tmpl w:val="B886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78"/>
    <w:rsid w:val="0001246A"/>
    <w:rsid w:val="000168F3"/>
    <w:rsid w:val="00046C6C"/>
    <w:rsid w:val="00051A01"/>
    <w:rsid w:val="00051DBA"/>
    <w:rsid w:val="000A1067"/>
    <w:rsid w:val="000C622B"/>
    <w:rsid w:val="000C6417"/>
    <w:rsid w:val="000D7F6D"/>
    <w:rsid w:val="000F0BB4"/>
    <w:rsid w:val="001406A8"/>
    <w:rsid w:val="00154509"/>
    <w:rsid w:val="001602FA"/>
    <w:rsid w:val="001A3DCB"/>
    <w:rsid w:val="001A5B45"/>
    <w:rsid w:val="001B5C57"/>
    <w:rsid w:val="001B7CAF"/>
    <w:rsid w:val="001C787A"/>
    <w:rsid w:val="001D6C8E"/>
    <w:rsid w:val="00202972"/>
    <w:rsid w:val="00211917"/>
    <w:rsid w:val="002151DA"/>
    <w:rsid w:val="00225A0B"/>
    <w:rsid w:val="0023517A"/>
    <w:rsid w:val="0028492F"/>
    <w:rsid w:val="002B00AB"/>
    <w:rsid w:val="002B4CEC"/>
    <w:rsid w:val="002F1B41"/>
    <w:rsid w:val="003073BE"/>
    <w:rsid w:val="00357ECA"/>
    <w:rsid w:val="00380DC2"/>
    <w:rsid w:val="003E46B5"/>
    <w:rsid w:val="00403C55"/>
    <w:rsid w:val="00412EC6"/>
    <w:rsid w:val="00445BA1"/>
    <w:rsid w:val="0045711D"/>
    <w:rsid w:val="00460525"/>
    <w:rsid w:val="00491341"/>
    <w:rsid w:val="004C7551"/>
    <w:rsid w:val="004D2457"/>
    <w:rsid w:val="004D7A03"/>
    <w:rsid w:val="004E2CB3"/>
    <w:rsid w:val="004E30AA"/>
    <w:rsid w:val="005078CC"/>
    <w:rsid w:val="005111DA"/>
    <w:rsid w:val="00525D7E"/>
    <w:rsid w:val="00551EA7"/>
    <w:rsid w:val="00555EA7"/>
    <w:rsid w:val="00557CB7"/>
    <w:rsid w:val="00563D62"/>
    <w:rsid w:val="005739D2"/>
    <w:rsid w:val="005757D8"/>
    <w:rsid w:val="005B51AB"/>
    <w:rsid w:val="005C7E4E"/>
    <w:rsid w:val="00620EF2"/>
    <w:rsid w:val="00625A91"/>
    <w:rsid w:val="0063013D"/>
    <w:rsid w:val="00631003"/>
    <w:rsid w:val="00644DB7"/>
    <w:rsid w:val="00654860"/>
    <w:rsid w:val="00671D7C"/>
    <w:rsid w:val="0068577F"/>
    <w:rsid w:val="006B6533"/>
    <w:rsid w:val="006B70AB"/>
    <w:rsid w:val="006C2DCF"/>
    <w:rsid w:val="006D214C"/>
    <w:rsid w:val="006E2C7D"/>
    <w:rsid w:val="006E403D"/>
    <w:rsid w:val="006E5CFC"/>
    <w:rsid w:val="006E64C9"/>
    <w:rsid w:val="006E7597"/>
    <w:rsid w:val="0070765F"/>
    <w:rsid w:val="00741111"/>
    <w:rsid w:val="0076716E"/>
    <w:rsid w:val="00791402"/>
    <w:rsid w:val="007918C5"/>
    <w:rsid w:val="00795D64"/>
    <w:rsid w:val="007B1CC6"/>
    <w:rsid w:val="007C4579"/>
    <w:rsid w:val="007D1412"/>
    <w:rsid w:val="007D6BBE"/>
    <w:rsid w:val="007E6A29"/>
    <w:rsid w:val="007F57B1"/>
    <w:rsid w:val="008163B7"/>
    <w:rsid w:val="00835744"/>
    <w:rsid w:val="008426BD"/>
    <w:rsid w:val="00847022"/>
    <w:rsid w:val="00852AD1"/>
    <w:rsid w:val="00852DE5"/>
    <w:rsid w:val="008853B7"/>
    <w:rsid w:val="008961E9"/>
    <w:rsid w:val="008F5BEF"/>
    <w:rsid w:val="009122B4"/>
    <w:rsid w:val="00914C07"/>
    <w:rsid w:val="009176E7"/>
    <w:rsid w:val="00931E5F"/>
    <w:rsid w:val="00971770"/>
    <w:rsid w:val="009744DE"/>
    <w:rsid w:val="00983AC5"/>
    <w:rsid w:val="00991091"/>
    <w:rsid w:val="00997D6D"/>
    <w:rsid w:val="009A7F78"/>
    <w:rsid w:val="009B18D0"/>
    <w:rsid w:val="009F1B6A"/>
    <w:rsid w:val="00A14E75"/>
    <w:rsid w:val="00A16521"/>
    <w:rsid w:val="00A35602"/>
    <w:rsid w:val="00A40C1D"/>
    <w:rsid w:val="00A43DD6"/>
    <w:rsid w:val="00A631C0"/>
    <w:rsid w:val="00A70554"/>
    <w:rsid w:val="00A72991"/>
    <w:rsid w:val="00A72D17"/>
    <w:rsid w:val="00A86979"/>
    <w:rsid w:val="00AA0FF8"/>
    <w:rsid w:val="00AC3571"/>
    <w:rsid w:val="00AD0BB3"/>
    <w:rsid w:val="00AE43AE"/>
    <w:rsid w:val="00B020A0"/>
    <w:rsid w:val="00B35E17"/>
    <w:rsid w:val="00B405E6"/>
    <w:rsid w:val="00B928FC"/>
    <w:rsid w:val="00B943CF"/>
    <w:rsid w:val="00BB4A87"/>
    <w:rsid w:val="00BC7B43"/>
    <w:rsid w:val="00C010B7"/>
    <w:rsid w:val="00C31236"/>
    <w:rsid w:val="00C440BB"/>
    <w:rsid w:val="00CD09A0"/>
    <w:rsid w:val="00CE0B27"/>
    <w:rsid w:val="00CF547F"/>
    <w:rsid w:val="00D06392"/>
    <w:rsid w:val="00D51EE2"/>
    <w:rsid w:val="00D5698A"/>
    <w:rsid w:val="00D828D9"/>
    <w:rsid w:val="00D85BC4"/>
    <w:rsid w:val="00DC1089"/>
    <w:rsid w:val="00DC35EB"/>
    <w:rsid w:val="00DC50C4"/>
    <w:rsid w:val="00DD5DB3"/>
    <w:rsid w:val="00E151B1"/>
    <w:rsid w:val="00E17815"/>
    <w:rsid w:val="00E351CB"/>
    <w:rsid w:val="00E374EB"/>
    <w:rsid w:val="00E44D0B"/>
    <w:rsid w:val="00E71202"/>
    <w:rsid w:val="00E730A0"/>
    <w:rsid w:val="00EA204A"/>
    <w:rsid w:val="00EC6CB5"/>
    <w:rsid w:val="00EF7278"/>
    <w:rsid w:val="00F34A77"/>
    <w:rsid w:val="00F446E7"/>
    <w:rsid w:val="00FA2257"/>
    <w:rsid w:val="00FB0ED5"/>
    <w:rsid w:val="00FF3A3A"/>
    <w:rsid w:val="00FF75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EC7CD"/>
  <w15:docId w15:val="{C0CA3D86-4588-471B-A644-5ECC1BCF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DD5D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257"/>
    <w:rPr>
      <w:rFonts w:ascii="Tahoma" w:hAnsi="Tahoma" w:cs="Tahoma"/>
      <w:sz w:val="16"/>
      <w:szCs w:val="16"/>
      <w:lang w:val="es-CO"/>
    </w:rPr>
  </w:style>
  <w:style w:type="character" w:styleId="Refdecomentario">
    <w:name w:val="annotation reference"/>
    <w:basedOn w:val="Fuentedeprrafopredeter"/>
    <w:uiPriority w:val="99"/>
    <w:semiHidden/>
    <w:unhideWhenUsed/>
    <w:rsid w:val="005739D2"/>
    <w:rPr>
      <w:sz w:val="16"/>
      <w:szCs w:val="16"/>
    </w:rPr>
  </w:style>
  <w:style w:type="paragraph" w:styleId="Textocomentario">
    <w:name w:val="annotation text"/>
    <w:basedOn w:val="Normal"/>
    <w:link w:val="TextocomentarioCar"/>
    <w:uiPriority w:val="99"/>
    <w:semiHidden/>
    <w:unhideWhenUsed/>
    <w:rsid w:val="005739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39D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739D2"/>
    <w:rPr>
      <w:b/>
      <w:bCs/>
    </w:rPr>
  </w:style>
  <w:style w:type="character" w:customStyle="1" w:styleId="AsuntodelcomentarioCar">
    <w:name w:val="Asunto del comentario Car"/>
    <w:basedOn w:val="TextocomentarioCar"/>
    <w:link w:val="Asuntodelcomentario"/>
    <w:uiPriority w:val="99"/>
    <w:semiHidden/>
    <w:rsid w:val="005739D2"/>
    <w:rPr>
      <w:b/>
      <w:bCs/>
      <w:sz w:val="20"/>
      <w:szCs w:val="20"/>
      <w:lang w:val="es-CO"/>
    </w:rPr>
  </w:style>
  <w:style w:type="paragraph" w:styleId="Textonotapie">
    <w:name w:val="footnote text"/>
    <w:basedOn w:val="Normal"/>
    <w:link w:val="TextonotapieCar"/>
    <w:uiPriority w:val="99"/>
    <w:semiHidden/>
    <w:unhideWhenUsed/>
    <w:rsid w:val="001A3D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3DCB"/>
    <w:rPr>
      <w:sz w:val="20"/>
      <w:szCs w:val="20"/>
      <w:lang w:val="es-CO"/>
    </w:rPr>
  </w:style>
  <w:style w:type="character" w:styleId="Refdenotaalpie">
    <w:name w:val="footnote reference"/>
    <w:basedOn w:val="Fuentedeprrafopredeter"/>
    <w:uiPriority w:val="99"/>
    <w:semiHidden/>
    <w:unhideWhenUsed/>
    <w:rsid w:val="001A3DCB"/>
    <w:rPr>
      <w:vertAlign w:val="superscript"/>
    </w:rPr>
  </w:style>
  <w:style w:type="paragraph" w:styleId="Encabezado">
    <w:name w:val="header"/>
    <w:basedOn w:val="Normal"/>
    <w:link w:val="EncabezadoCar"/>
    <w:uiPriority w:val="99"/>
    <w:unhideWhenUsed/>
    <w:rsid w:val="00914C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C07"/>
    <w:rPr>
      <w:lang w:val="es-CO"/>
    </w:rPr>
  </w:style>
  <w:style w:type="paragraph" w:styleId="Piedepgina">
    <w:name w:val="footer"/>
    <w:basedOn w:val="Normal"/>
    <w:link w:val="PiedepginaCar"/>
    <w:uiPriority w:val="99"/>
    <w:unhideWhenUsed/>
    <w:rsid w:val="00914C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C07"/>
    <w:rPr>
      <w:lang w:val="es-CO"/>
    </w:rPr>
  </w:style>
  <w:style w:type="character" w:customStyle="1" w:styleId="Ttulo1Car">
    <w:name w:val="Título 1 Car"/>
    <w:basedOn w:val="Fuentedeprrafopredeter"/>
    <w:link w:val="Ttulo1"/>
    <w:uiPriority w:val="9"/>
    <w:rsid w:val="00DD5DB3"/>
    <w:rPr>
      <w:rFonts w:asciiTheme="majorHAnsi" w:eastAsiaTheme="majorEastAsia" w:hAnsiTheme="majorHAnsi" w:cstheme="majorBidi"/>
      <w:color w:val="365F91" w:themeColor="accent1" w:themeShade="BF"/>
      <w:sz w:val="32"/>
      <w:szCs w:val="32"/>
      <w:lang w:val="es-CO"/>
    </w:rPr>
  </w:style>
  <w:style w:type="paragraph" w:styleId="Revisin">
    <w:name w:val="Revision"/>
    <w:hidden/>
    <w:uiPriority w:val="99"/>
    <w:semiHidden/>
    <w:rsid w:val="00835744"/>
    <w:pPr>
      <w:spacing w:after="0" w:line="240" w:lineRule="auto"/>
    </w:pPr>
    <w:rPr>
      <w:lang w:val="es-CO"/>
    </w:rPr>
  </w:style>
  <w:style w:type="paragraph" w:styleId="Prrafodelista">
    <w:name w:val="List Paragraph"/>
    <w:basedOn w:val="Normal"/>
    <w:uiPriority w:val="34"/>
    <w:qFormat/>
    <w:rsid w:val="00620EF2"/>
    <w:pPr>
      <w:ind w:left="720"/>
      <w:contextualSpacing/>
    </w:pPr>
  </w:style>
  <w:style w:type="paragraph" w:styleId="Sinespaciado">
    <w:name w:val="No Spacing"/>
    <w:link w:val="SinespaciadoCar"/>
    <w:uiPriority w:val="1"/>
    <w:qFormat/>
    <w:rsid w:val="001D6C8E"/>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1D6C8E"/>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091107">
      <w:bodyDiv w:val="1"/>
      <w:marLeft w:val="0"/>
      <w:marRight w:val="0"/>
      <w:marTop w:val="0"/>
      <w:marBottom w:val="0"/>
      <w:divBdr>
        <w:top w:val="none" w:sz="0" w:space="0" w:color="auto"/>
        <w:left w:val="none" w:sz="0" w:space="0" w:color="auto"/>
        <w:bottom w:val="none" w:sz="0" w:space="0" w:color="auto"/>
        <w:right w:val="none" w:sz="0" w:space="0" w:color="auto"/>
      </w:divBdr>
    </w:div>
    <w:div w:id="17168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moncada\Documents\Juliana%20Moncada%20SDP\Entrega%20observatorio\OBSERVATORIO\Datos%20Informaci&#243;n%20ENCAF%20para%20boletines%20Observatorio%20Famil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PC\Google%20Drive\SDP\Informacio&#769;n%20ENCAF%201er%20Boleti&#769;n%20V04102017.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Datos%20Informaci&#243;n%20ENCAF%20para%20boletines%20Observatorio%20Familia.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PC\Google%20Drive\SDP\Informacio&#769;n%20ENCAF%201er%20Boleti&#769;n%20V04102017.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F:\Datos%20Informaci&#243;n%20ENCAF%20para%20boletines%20Observatorio%20Familia.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atos%20Informaci&#243;n%20ENCAF%20para%20boletines%20Observatorio%20Famil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PC\Google%20Drive\SDP\Informacio&#769;n%20ENCAF%201er%20Boleti&#769;n%20V04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52759392160851"/>
          <c:y val="4.4480388192478799E-2"/>
          <c:w val="0.62756041103718097"/>
          <c:h val="0.94117388263429802"/>
        </c:manualLayout>
      </c:layout>
      <c:barChart>
        <c:barDir val="bar"/>
        <c:grouping val="clustered"/>
        <c:varyColors val="0"/>
        <c:ser>
          <c:idx val="0"/>
          <c:order val="0"/>
          <c:tx>
            <c:strRef>
              <c:f>'P1.1'!$C$1</c:f>
              <c:strCache>
                <c:ptCount val="1"/>
                <c:pt idx="0">
                  <c:v>No de Familias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'P1.1'!$B$2:$B$21</c:f>
              <c:strCache>
                <c:ptCount val="20"/>
                <c:pt idx="0">
                  <c:v>Sumapaz</c:v>
                </c:pt>
                <c:pt idx="1">
                  <c:v>Candelaria</c:v>
                </c:pt>
                <c:pt idx="2">
                  <c:v>Los Martires</c:v>
                </c:pt>
                <c:pt idx="3">
                  <c:v>Antonio Nariño</c:v>
                </c:pt>
                <c:pt idx="4">
                  <c:v>Santa Fe</c:v>
                </c:pt>
                <c:pt idx="5">
                  <c:v>Tunjuelito</c:v>
                </c:pt>
                <c:pt idx="6">
                  <c:v>Chapinero</c:v>
                </c:pt>
                <c:pt idx="7">
                  <c:v>Teusaquillo</c:v>
                </c:pt>
                <c:pt idx="8">
                  <c:v>Barrios Unidos</c:v>
                </c:pt>
                <c:pt idx="9">
                  <c:v>Puente Aranda</c:v>
                </c:pt>
                <c:pt idx="10">
                  <c:v>Usme</c:v>
                </c:pt>
                <c:pt idx="11">
                  <c:v>San Cristobal</c:v>
                </c:pt>
                <c:pt idx="12">
                  <c:v>Fontibon</c:v>
                </c:pt>
                <c:pt idx="13">
                  <c:v>Rafael Uribe Uribe</c:v>
                </c:pt>
                <c:pt idx="14">
                  <c:v>Bosa</c:v>
                </c:pt>
                <c:pt idx="15">
                  <c:v>Usaquen</c:v>
                </c:pt>
                <c:pt idx="16">
                  <c:v>Ciudad Bolivar</c:v>
                </c:pt>
                <c:pt idx="17">
                  <c:v>Engativa</c:v>
                </c:pt>
                <c:pt idx="18">
                  <c:v>Kennedy</c:v>
                </c:pt>
                <c:pt idx="19">
                  <c:v>Suba</c:v>
                </c:pt>
              </c:strCache>
            </c:strRef>
          </c:cat>
          <c:val>
            <c:numRef>
              <c:f>'P1.1'!$C$2:$C$21</c:f>
              <c:numCache>
                <c:formatCode>_-* #,##0\ _€_-;\-* #,##0\ _€_-;_-* "-"??\ _€_-;_-@_-</c:formatCode>
                <c:ptCount val="20"/>
                <c:pt idx="0">
                  <c:v>2536.6090380721448</c:v>
                </c:pt>
                <c:pt idx="1">
                  <c:v>7324.5881590604313</c:v>
                </c:pt>
                <c:pt idx="2">
                  <c:v>35009.634197150794</c:v>
                </c:pt>
                <c:pt idx="3">
                  <c:v>39138.113911534951</c:v>
                </c:pt>
                <c:pt idx="4">
                  <c:v>40455.38504917195</c:v>
                </c:pt>
                <c:pt idx="5">
                  <c:v>58994.67134484226</c:v>
                </c:pt>
                <c:pt idx="6">
                  <c:v>71577.169317798005</c:v>
                </c:pt>
                <c:pt idx="7">
                  <c:v>75150.659183882002</c:v>
                </c:pt>
                <c:pt idx="8">
                  <c:v>94090.177224213214</c:v>
                </c:pt>
                <c:pt idx="9">
                  <c:v>94738.560595091039</c:v>
                </c:pt>
                <c:pt idx="10">
                  <c:v>124628.179800511</c:v>
                </c:pt>
                <c:pt idx="11">
                  <c:v>127435.56855161701</c:v>
                </c:pt>
                <c:pt idx="12">
                  <c:v>138490.731511171</c:v>
                </c:pt>
                <c:pt idx="13">
                  <c:v>144590.53823764081</c:v>
                </c:pt>
                <c:pt idx="14">
                  <c:v>185928.82546956529</c:v>
                </c:pt>
                <c:pt idx="15">
                  <c:v>192103.766388836</c:v>
                </c:pt>
                <c:pt idx="16">
                  <c:v>212488.74687811881</c:v>
                </c:pt>
                <c:pt idx="17">
                  <c:v>293940.0206610501</c:v>
                </c:pt>
                <c:pt idx="18">
                  <c:v>322310.2846066191</c:v>
                </c:pt>
                <c:pt idx="19">
                  <c:v>410360.40111605829</c:v>
                </c:pt>
              </c:numCache>
            </c:numRef>
          </c:val>
          <c:extLst>
            <c:ext xmlns:c16="http://schemas.microsoft.com/office/drawing/2014/chart" uri="{C3380CC4-5D6E-409C-BE32-E72D297353CC}">
              <c16:uniqueId val="{00000000-79DA-E543-9018-5AD2B06FBBBB}"/>
            </c:ext>
          </c:extLst>
        </c:ser>
        <c:dLbls>
          <c:showLegendKey val="0"/>
          <c:showVal val="0"/>
          <c:showCatName val="0"/>
          <c:showSerName val="0"/>
          <c:showPercent val="0"/>
          <c:showBubbleSize val="0"/>
        </c:dLbls>
        <c:gapWidth val="150"/>
        <c:axId val="524037920"/>
        <c:axId val="524037136"/>
      </c:barChart>
      <c:catAx>
        <c:axId val="524037920"/>
        <c:scaling>
          <c:orientation val="minMax"/>
        </c:scaling>
        <c:delete val="0"/>
        <c:axPos val="l"/>
        <c:numFmt formatCode="General" sourceLinked="0"/>
        <c:majorTickMark val="none"/>
        <c:minorTickMark val="none"/>
        <c:tickLblPos val="nextTo"/>
        <c:crossAx val="524037136"/>
        <c:crosses val="autoZero"/>
        <c:auto val="1"/>
        <c:lblAlgn val="ctr"/>
        <c:lblOffset val="100"/>
        <c:noMultiLvlLbl val="0"/>
      </c:catAx>
      <c:valAx>
        <c:axId val="524037136"/>
        <c:scaling>
          <c:orientation val="minMax"/>
        </c:scaling>
        <c:delete val="1"/>
        <c:axPos val="b"/>
        <c:numFmt formatCode="_-* #,##0\ _€_-;\-* #,##0\ _€_-;_-* &quot;-&quot;??\ _€_-;_-@_-" sourceLinked="1"/>
        <c:majorTickMark val="none"/>
        <c:minorTickMark val="none"/>
        <c:tickLblPos val="nextTo"/>
        <c:crossAx val="524037920"/>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50277169228385199"/>
          <c:y val="2.97176820208024E-2"/>
          <c:w val="0.44310776651073602"/>
          <c:h val="0.96037642397226297"/>
        </c:manualLayout>
      </c:layout>
      <c:barChart>
        <c:barDir val="bar"/>
        <c:grouping val="clustered"/>
        <c:varyColors val="0"/>
        <c:ser>
          <c:idx val="0"/>
          <c:order val="0"/>
          <c:invertIfNegative val="0"/>
          <c:dPt>
            <c:idx val="0"/>
            <c:invertIfNegative val="0"/>
            <c:bubble3D val="0"/>
            <c:spPr>
              <a:solidFill>
                <a:schemeClr val="accent6"/>
              </a:solidFill>
            </c:spPr>
            <c:extLst>
              <c:ext xmlns:c16="http://schemas.microsoft.com/office/drawing/2014/chart" uri="{C3380CC4-5D6E-409C-BE32-E72D297353CC}">
                <c16:uniqueId val="{00000001-6229-F045-998F-CEA9C5900DB5}"/>
              </c:ext>
            </c:extLst>
          </c:dPt>
          <c:dPt>
            <c:idx val="1"/>
            <c:invertIfNegative val="0"/>
            <c:bubble3D val="0"/>
            <c:spPr>
              <a:solidFill>
                <a:schemeClr val="accent1"/>
              </a:solidFill>
            </c:spPr>
            <c:extLst>
              <c:ext xmlns:c16="http://schemas.microsoft.com/office/drawing/2014/chart" uri="{C3380CC4-5D6E-409C-BE32-E72D297353CC}">
                <c16:uniqueId val="{00000003-6229-F045-998F-CEA9C5900DB5}"/>
              </c:ext>
            </c:extLst>
          </c:dPt>
          <c:dPt>
            <c:idx val="2"/>
            <c:invertIfNegative val="0"/>
            <c:bubble3D val="0"/>
            <c:spPr>
              <a:solidFill>
                <a:schemeClr val="accent3"/>
              </a:solidFill>
            </c:spPr>
            <c:extLst>
              <c:ext xmlns:c16="http://schemas.microsoft.com/office/drawing/2014/chart" uri="{C3380CC4-5D6E-409C-BE32-E72D297353CC}">
                <c16:uniqueId val="{00000005-6229-F045-998F-CEA9C5900DB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'P10.1'!$A$2:$A$4</c:f>
              <c:strCache>
                <c:ptCount val="3"/>
                <c:pt idx="0">
                  <c:v>No alcanzan para cubrir los gastos mínimos</c:v>
                </c:pt>
                <c:pt idx="1">
                  <c:v>Sólo alcanzan para cubrir los gastos mínimos</c:v>
                </c:pt>
                <c:pt idx="2">
                  <c:v>Cubre más que los gastos mínimos</c:v>
                </c:pt>
              </c:strCache>
            </c:strRef>
          </c:cat>
          <c:val>
            <c:numRef>
              <c:f>'P10.1'!$C$2:$C$4</c:f>
              <c:numCache>
                <c:formatCode>0.0%</c:formatCode>
                <c:ptCount val="3"/>
                <c:pt idx="0">
                  <c:v>6.22661277399034E-2</c:v>
                </c:pt>
                <c:pt idx="1">
                  <c:v>0.50889448096386602</c:v>
                </c:pt>
                <c:pt idx="2">
                  <c:v>0.170520580355219</c:v>
                </c:pt>
              </c:numCache>
            </c:numRef>
          </c:val>
          <c:extLst>
            <c:ext xmlns:c16="http://schemas.microsoft.com/office/drawing/2014/chart" uri="{C3380CC4-5D6E-409C-BE32-E72D297353CC}">
              <c16:uniqueId val="{00000006-6229-F045-998F-CEA9C5900DB5}"/>
            </c:ext>
          </c:extLst>
        </c:ser>
        <c:dLbls>
          <c:showLegendKey val="0"/>
          <c:showVal val="0"/>
          <c:showCatName val="0"/>
          <c:showSerName val="0"/>
          <c:showPercent val="0"/>
          <c:showBubbleSize val="0"/>
        </c:dLbls>
        <c:gapWidth val="150"/>
        <c:axId val="607294648"/>
        <c:axId val="607293472"/>
      </c:barChart>
      <c:catAx>
        <c:axId val="607294648"/>
        <c:scaling>
          <c:orientation val="minMax"/>
        </c:scaling>
        <c:delete val="0"/>
        <c:axPos val="l"/>
        <c:numFmt formatCode="General" sourceLinked="0"/>
        <c:majorTickMark val="none"/>
        <c:minorTickMark val="none"/>
        <c:tickLblPos val="nextTo"/>
        <c:crossAx val="607293472"/>
        <c:crosses val="autoZero"/>
        <c:auto val="1"/>
        <c:lblAlgn val="ctr"/>
        <c:lblOffset val="100"/>
        <c:noMultiLvlLbl val="0"/>
      </c:catAx>
      <c:valAx>
        <c:axId val="607293472"/>
        <c:scaling>
          <c:orientation val="minMax"/>
        </c:scaling>
        <c:delete val="1"/>
        <c:axPos val="b"/>
        <c:numFmt formatCode="0.0%" sourceLinked="1"/>
        <c:majorTickMark val="none"/>
        <c:minorTickMark val="none"/>
        <c:tickLblPos val="nextTo"/>
        <c:crossAx val="607294648"/>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8955432846854301"/>
          <c:y val="1.49138855084261E-2"/>
          <c:w val="0.67523530038449997"/>
          <c:h val="0.96202338832517997"/>
        </c:manualLayout>
      </c:layout>
      <c:barChart>
        <c:barDir val="bar"/>
        <c:grouping val="clustered"/>
        <c:varyColors val="0"/>
        <c:ser>
          <c:idx val="0"/>
          <c:order val="0"/>
          <c:tx>
            <c:strRef>
              <c:f>'P13'!$C$1</c:f>
              <c:strCache>
                <c:ptCount val="1"/>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5B3B-C444-9DD7-FFFE7298E9CC}"/>
              </c:ext>
            </c:extLst>
          </c:dPt>
          <c:dPt>
            <c:idx val="1"/>
            <c:invertIfNegative val="0"/>
            <c:bubble3D val="0"/>
            <c:spPr>
              <a:solidFill>
                <a:schemeClr val="accent6"/>
              </a:solidFill>
            </c:spPr>
            <c:extLst>
              <c:ext xmlns:c16="http://schemas.microsoft.com/office/drawing/2014/chart" uri="{C3380CC4-5D6E-409C-BE32-E72D297353CC}">
                <c16:uniqueId val="{00000003-5B3B-C444-9DD7-FFFE7298E9CC}"/>
              </c:ext>
            </c:extLst>
          </c:dPt>
          <c:dPt>
            <c:idx val="2"/>
            <c:invertIfNegative val="0"/>
            <c:bubble3D val="0"/>
            <c:spPr>
              <a:solidFill>
                <a:schemeClr val="accent5"/>
              </a:solidFill>
            </c:spPr>
            <c:extLst>
              <c:ext xmlns:c16="http://schemas.microsoft.com/office/drawing/2014/chart" uri="{C3380CC4-5D6E-409C-BE32-E72D297353CC}">
                <c16:uniqueId val="{00000005-5B3B-C444-9DD7-FFFE7298E9CC}"/>
              </c:ext>
            </c:extLst>
          </c:dPt>
          <c:dPt>
            <c:idx val="3"/>
            <c:invertIfNegative val="0"/>
            <c:bubble3D val="0"/>
            <c:spPr>
              <a:solidFill>
                <a:srgbClr val="1F497D"/>
              </a:solidFill>
            </c:spPr>
            <c:extLst>
              <c:ext xmlns:c16="http://schemas.microsoft.com/office/drawing/2014/chart" uri="{C3380CC4-5D6E-409C-BE32-E72D297353CC}">
                <c16:uniqueId val="{00000007-5B3B-C444-9DD7-FFFE7298E9CC}"/>
              </c:ext>
            </c:extLst>
          </c:dPt>
          <c:dPt>
            <c:idx val="4"/>
            <c:invertIfNegative val="0"/>
            <c:bubble3D val="0"/>
            <c:spPr>
              <a:solidFill>
                <a:schemeClr val="accent3"/>
              </a:solidFill>
            </c:spPr>
            <c:extLst>
              <c:ext xmlns:c16="http://schemas.microsoft.com/office/drawing/2014/chart" uri="{C3380CC4-5D6E-409C-BE32-E72D297353CC}">
                <c16:uniqueId val="{00000009-5B3B-C444-9DD7-FFFE7298E9C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'P13'!$A$2:$A$6</c:f>
              <c:strCache>
                <c:ptCount val="5"/>
                <c:pt idx="0">
                  <c:v>Muy mala</c:v>
                </c:pt>
                <c:pt idx="1">
                  <c:v>Mala</c:v>
                </c:pt>
                <c:pt idx="2">
                  <c:v>Regular</c:v>
                </c:pt>
                <c:pt idx="3">
                  <c:v>Buena</c:v>
                </c:pt>
                <c:pt idx="4">
                  <c:v>Excelente</c:v>
                </c:pt>
              </c:strCache>
            </c:strRef>
          </c:cat>
          <c:val>
            <c:numRef>
              <c:f>'P13'!$C$2:$C$6</c:f>
              <c:numCache>
                <c:formatCode>0.0%</c:formatCode>
                <c:ptCount val="5"/>
                <c:pt idx="0">
                  <c:v>1.70069376686732E-2</c:v>
                </c:pt>
                <c:pt idx="1">
                  <c:v>6.6540327169555505E-2</c:v>
                </c:pt>
                <c:pt idx="2">
                  <c:v>0.52576551218937695</c:v>
                </c:pt>
                <c:pt idx="3">
                  <c:v>0.36273954169039202</c:v>
                </c:pt>
                <c:pt idx="4">
                  <c:v>2.7947681282002899E-2</c:v>
                </c:pt>
              </c:numCache>
            </c:numRef>
          </c:val>
          <c:extLst>
            <c:ext xmlns:c16="http://schemas.microsoft.com/office/drawing/2014/chart" uri="{C3380CC4-5D6E-409C-BE32-E72D297353CC}">
              <c16:uniqueId val="{0000000A-5B3B-C444-9DD7-FFFE7298E9CC}"/>
            </c:ext>
          </c:extLst>
        </c:ser>
        <c:dLbls>
          <c:showLegendKey val="0"/>
          <c:showVal val="0"/>
          <c:showCatName val="0"/>
          <c:showSerName val="0"/>
          <c:showPercent val="0"/>
          <c:showBubbleSize val="0"/>
        </c:dLbls>
        <c:gapWidth val="150"/>
        <c:axId val="607296608"/>
        <c:axId val="413167144"/>
      </c:barChart>
      <c:catAx>
        <c:axId val="607296608"/>
        <c:scaling>
          <c:orientation val="minMax"/>
        </c:scaling>
        <c:delete val="0"/>
        <c:axPos val="l"/>
        <c:numFmt formatCode="General" sourceLinked="0"/>
        <c:majorTickMark val="none"/>
        <c:minorTickMark val="none"/>
        <c:tickLblPos val="nextTo"/>
        <c:crossAx val="413167144"/>
        <c:crosses val="autoZero"/>
        <c:auto val="1"/>
        <c:lblAlgn val="ctr"/>
        <c:lblOffset val="100"/>
        <c:noMultiLvlLbl val="0"/>
      </c:catAx>
      <c:valAx>
        <c:axId val="413167144"/>
        <c:scaling>
          <c:orientation val="minMax"/>
        </c:scaling>
        <c:delete val="1"/>
        <c:axPos val="b"/>
        <c:numFmt formatCode="0.0%" sourceLinked="1"/>
        <c:majorTickMark val="none"/>
        <c:minorTickMark val="none"/>
        <c:tickLblPos val="nextTo"/>
        <c:crossAx val="607296608"/>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783934296035899"/>
          <c:y val="4.9818840579710102E-2"/>
          <c:w val="0.74264036183668902"/>
          <c:h val="0.94565217391304401"/>
        </c:manualLayout>
      </c:layout>
      <c:barChart>
        <c:barDir val="bar"/>
        <c:grouping val="clustered"/>
        <c:varyColors val="0"/>
        <c:ser>
          <c:idx val="0"/>
          <c:order val="0"/>
          <c:invertIfNegative val="0"/>
          <c:dPt>
            <c:idx val="0"/>
            <c:invertIfNegative val="0"/>
            <c:bubble3D val="0"/>
            <c:spPr>
              <a:solidFill>
                <a:schemeClr val="accent3"/>
              </a:solidFill>
            </c:spPr>
            <c:extLst>
              <c:ext xmlns:c16="http://schemas.microsoft.com/office/drawing/2014/chart" uri="{C3380CC4-5D6E-409C-BE32-E72D297353CC}">
                <c16:uniqueId val="{00000001-2EF5-DF46-B627-A50C12AD0475}"/>
              </c:ext>
            </c:extLst>
          </c:dPt>
          <c:dPt>
            <c:idx val="1"/>
            <c:invertIfNegative val="0"/>
            <c:bubble3D val="0"/>
            <c:spPr>
              <a:solidFill>
                <a:schemeClr val="accent4"/>
              </a:solidFill>
            </c:spPr>
            <c:extLst>
              <c:ext xmlns:c16="http://schemas.microsoft.com/office/drawing/2014/chart" uri="{C3380CC4-5D6E-409C-BE32-E72D297353CC}">
                <c16:uniqueId val="{00000003-2EF5-DF46-B627-A50C12AD0475}"/>
              </c:ext>
            </c:extLst>
          </c:dPt>
          <c:dPt>
            <c:idx val="2"/>
            <c:invertIfNegative val="0"/>
            <c:bubble3D val="0"/>
            <c:spPr>
              <a:solidFill>
                <a:schemeClr val="accent5"/>
              </a:solidFill>
            </c:spPr>
            <c:extLst>
              <c:ext xmlns:c16="http://schemas.microsoft.com/office/drawing/2014/chart" uri="{C3380CC4-5D6E-409C-BE32-E72D297353CC}">
                <c16:uniqueId val="{00000005-2EF5-DF46-B627-A50C12AD0475}"/>
              </c:ext>
            </c:extLst>
          </c:dPt>
          <c:dPt>
            <c:idx val="3"/>
            <c:invertIfNegative val="0"/>
            <c:bubble3D val="0"/>
            <c:spPr>
              <a:solidFill>
                <a:schemeClr val="accent6"/>
              </a:solidFill>
            </c:spPr>
            <c:extLst>
              <c:ext xmlns:c16="http://schemas.microsoft.com/office/drawing/2014/chart" uri="{C3380CC4-5D6E-409C-BE32-E72D297353CC}">
                <c16:uniqueId val="{00000007-2EF5-DF46-B627-A50C12AD047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'P11.1'!$B$2:$B$5</c:f>
              <c:strCache>
                <c:ptCount val="4"/>
                <c:pt idx="0">
                  <c:v>Más de Tres</c:v>
                </c:pt>
                <c:pt idx="1">
                  <c:v>Tres</c:v>
                </c:pt>
                <c:pt idx="2">
                  <c:v>Dos</c:v>
                </c:pt>
                <c:pt idx="3">
                  <c:v>Uno</c:v>
                </c:pt>
              </c:strCache>
            </c:strRef>
          </c:cat>
          <c:val>
            <c:numRef>
              <c:f>'P11.1'!$D$2:$D$5</c:f>
              <c:numCache>
                <c:formatCode>0.0%</c:formatCode>
                <c:ptCount val="4"/>
                <c:pt idx="0">
                  <c:v>5.0777210241604899E-2</c:v>
                </c:pt>
                <c:pt idx="1">
                  <c:v>0.130365605308359</c:v>
                </c:pt>
                <c:pt idx="2">
                  <c:v>0.44098418577520598</c:v>
                </c:pt>
                <c:pt idx="3">
                  <c:v>0.37787299867482999</c:v>
                </c:pt>
              </c:numCache>
            </c:numRef>
          </c:val>
          <c:extLst>
            <c:ext xmlns:c16="http://schemas.microsoft.com/office/drawing/2014/chart" uri="{C3380CC4-5D6E-409C-BE32-E72D297353CC}">
              <c16:uniqueId val="{00000008-2EF5-DF46-B627-A50C12AD0475}"/>
            </c:ext>
          </c:extLst>
        </c:ser>
        <c:dLbls>
          <c:showLegendKey val="0"/>
          <c:showVal val="0"/>
          <c:showCatName val="0"/>
          <c:showSerName val="0"/>
          <c:showPercent val="0"/>
          <c:showBubbleSize val="0"/>
        </c:dLbls>
        <c:gapWidth val="150"/>
        <c:axId val="413170280"/>
        <c:axId val="413167536"/>
      </c:barChart>
      <c:catAx>
        <c:axId val="413170280"/>
        <c:scaling>
          <c:orientation val="minMax"/>
        </c:scaling>
        <c:delete val="0"/>
        <c:axPos val="l"/>
        <c:numFmt formatCode="General" sourceLinked="0"/>
        <c:majorTickMark val="none"/>
        <c:minorTickMark val="none"/>
        <c:tickLblPos val="nextTo"/>
        <c:crossAx val="413167536"/>
        <c:crosses val="autoZero"/>
        <c:auto val="1"/>
        <c:lblAlgn val="ctr"/>
        <c:lblOffset val="100"/>
        <c:noMultiLvlLbl val="0"/>
      </c:catAx>
      <c:valAx>
        <c:axId val="413167536"/>
        <c:scaling>
          <c:orientation val="minMax"/>
        </c:scaling>
        <c:delete val="1"/>
        <c:axPos val="b"/>
        <c:numFmt formatCode="0.0%" sourceLinked="1"/>
        <c:majorTickMark val="none"/>
        <c:minorTickMark val="none"/>
        <c:tickLblPos val="nextTo"/>
        <c:crossAx val="413170280"/>
        <c:crosses val="autoZero"/>
        <c:crossBetween val="between"/>
      </c:valAx>
      <c:spPr>
        <a:noFill/>
        <a:ln>
          <a:noFill/>
        </a:ln>
      </c:spPr>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56865153848388905"/>
          <c:y val="3.89433287005738E-2"/>
          <c:w val="0.36404257585882899"/>
          <c:h val="0.92562435440862001"/>
        </c:manualLayout>
      </c:layout>
      <c:barChart>
        <c:barDir val="bar"/>
        <c:grouping val="clustered"/>
        <c:varyColors val="0"/>
        <c:ser>
          <c:idx val="0"/>
          <c:order val="0"/>
          <c:tx>
            <c:strRef>
              <c:f>'P12'!$C$1</c:f>
              <c:strCache>
                <c:ptCount val="1"/>
              </c:strCache>
            </c:strRef>
          </c:tx>
          <c:invertIfNegative val="0"/>
          <c:dPt>
            <c:idx val="0"/>
            <c:invertIfNegative val="0"/>
            <c:bubble3D val="0"/>
            <c:spPr>
              <a:solidFill>
                <a:srgbClr val="00B050"/>
              </a:solidFill>
            </c:spPr>
            <c:extLst>
              <c:ext xmlns:c16="http://schemas.microsoft.com/office/drawing/2014/chart" uri="{C3380CC4-5D6E-409C-BE32-E72D297353CC}">
                <c16:uniqueId val="{00000001-EDCB-C347-A140-61C4E0DEA55D}"/>
              </c:ext>
            </c:extLst>
          </c:dPt>
          <c:dPt>
            <c:idx val="1"/>
            <c:invertIfNegative val="0"/>
            <c:bubble3D val="0"/>
            <c:spPr>
              <a:solidFill>
                <a:schemeClr val="bg2"/>
              </a:solidFill>
            </c:spPr>
            <c:extLst>
              <c:ext xmlns:c16="http://schemas.microsoft.com/office/drawing/2014/chart" uri="{C3380CC4-5D6E-409C-BE32-E72D297353CC}">
                <c16:uniqueId val="{00000003-EDCB-C347-A140-61C4E0DEA55D}"/>
              </c:ext>
            </c:extLst>
          </c:dPt>
          <c:dPt>
            <c:idx val="2"/>
            <c:invertIfNegative val="0"/>
            <c:bubble3D val="0"/>
            <c:spPr>
              <a:solidFill>
                <a:srgbClr val="C00000"/>
              </a:solidFill>
            </c:spPr>
            <c:extLst>
              <c:ext xmlns:c16="http://schemas.microsoft.com/office/drawing/2014/chart" uri="{C3380CC4-5D6E-409C-BE32-E72D297353CC}">
                <c16:uniqueId val="{00000005-EDCB-C347-A140-61C4E0DEA55D}"/>
              </c:ext>
            </c:extLst>
          </c:dPt>
          <c:dPt>
            <c:idx val="3"/>
            <c:invertIfNegative val="0"/>
            <c:bubble3D val="0"/>
            <c:spPr>
              <a:solidFill>
                <a:schemeClr val="tx2"/>
              </a:solidFill>
            </c:spPr>
            <c:extLst>
              <c:ext xmlns:c16="http://schemas.microsoft.com/office/drawing/2014/chart" uri="{C3380CC4-5D6E-409C-BE32-E72D297353CC}">
                <c16:uniqueId val="{00000007-EDCB-C347-A140-61C4E0DEA55D}"/>
              </c:ext>
            </c:extLst>
          </c:dPt>
          <c:dPt>
            <c:idx val="5"/>
            <c:invertIfNegative val="0"/>
            <c:bubble3D val="0"/>
            <c:spPr>
              <a:solidFill>
                <a:schemeClr val="accent1"/>
              </a:solidFill>
            </c:spPr>
            <c:extLst>
              <c:ext xmlns:c16="http://schemas.microsoft.com/office/drawing/2014/chart" uri="{C3380CC4-5D6E-409C-BE32-E72D297353CC}">
                <c16:uniqueId val="{00000009-EDCB-C347-A140-61C4E0DEA55D}"/>
              </c:ext>
            </c:extLst>
          </c:dPt>
          <c:dPt>
            <c:idx val="6"/>
            <c:invertIfNegative val="0"/>
            <c:bubble3D val="0"/>
            <c:spPr>
              <a:solidFill>
                <a:schemeClr val="accent3"/>
              </a:solidFill>
            </c:spPr>
            <c:extLst>
              <c:ext xmlns:c16="http://schemas.microsoft.com/office/drawing/2014/chart" uri="{C3380CC4-5D6E-409C-BE32-E72D297353CC}">
                <c16:uniqueId val="{0000000B-EDCB-C347-A140-61C4E0DEA55D}"/>
              </c:ext>
            </c:extLst>
          </c:dPt>
          <c:dPt>
            <c:idx val="7"/>
            <c:invertIfNegative val="0"/>
            <c:bubble3D val="0"/>
            <c:spPr>
              <a:solidFill>
                <a:schemeClr val="accent4"/>
              </a:solidFill>
            </c:spPr>
            <c:extLst>
              <c:ext xmlns:c16="http://schemas.microsoft.com/office/drawing/2014/chart" uri="{C3380CC4-5D6E-409C-BE32-E72D297353CC}">
                <c16:uniqueId val="{0000000D-EDCB-C347-A140-61C4E0DEA55D}"/>
              </c:ext>
            </c:extLst>
          </c:dPt>
          <c:dPt>
            <c:idx val="8"/>
            <c:invertIfNegative val="0"/>
            <c:bubble3D val="0"/>
            <c:spPr>
              <a:solidFill>
                <a:schemeClr val="accent5"/>
              </a:solidFill>
            </c:spPr>
            <c:extLst>
              <c:ext xmlns:c16="http://schemas.microsoft.com/office/drawing/2014/chart" uri="{C3380CC4-5D6E-409C-BE32-E72D297353CC}">
                <c16:uniqueId val="{0000000F-EDCB-C347-A140-61C4E0DEA55D}"/>
              </c:ext>
            </c:extLst>
          </c:dPt>
          <c:dPt>
            <c:idx val="9"/>
            <c:invertIfNegative val="0"/>
            <c:bubble3D val="0"/>
            <c:spPr>
              <a:solidFill>
                <a:schemeClr val="accent6"/>
              </a:solidFill>
            </c:spPr>
            <c:extLst>
              <c:ext xmlns:c16="http://schemas.microsoft.com/office/drawing/2014/chart" uri="{C3380CC4-5D6E-409C-BE32-E72D297353CC}">
                <c16:uniqueId val="{00000011-EDCB-C347-A140-61C4E0DEA55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'P12'!$A$2:$A$11</c:f>
              <c:strCache>
                <c:ptCount val="10"/>
                <c:pt idx="0">
                  <c:v>Canasta complementaria de alimentos</c:v>
                </c:pt>
                <c:pt idx="1">
                  <c:v>Apoyo cuidadores personas con discapacidad</c:v>
                </c:pt>
                <c:pt idx="2">
                  <c:v>Apoyo económico persona mayor</c:v>
                </c:pt>
                <c:pt idx="3">
                  <c:v>Familias en Acción</c:v>
                </c:pt>
                <c:pt idx="4">
                  <c:v>Otro</c:v>
                </c:pt>
                <c:pt idx="5">
                  <c:v>Bono de apoyo alimentario</c:v>
                </c:pt>
                <c:pt idx="6">
                  <c:v>Comedores comunitarios</c:v>
                </c:pt>
                <c:pt idx="7">
                  <c:v>Subsidio de transporte escolar</c:v>
                </c:pt>
                <c:pt idx="8">
                  <c:v>Subsidio de educación</c:v>
                </c:pt>
                <c:pt idx="9">
                  <c:v>Bonos canjeables</c:v>
                </c:pt>
              </c:strCache>
            </c:strRef>
          </c:cat>
          <c:val>
            <c:numRef>
              <c:f>'P12'!$C$2:$C$11</c:f>
              <c:numCache>
                <c:formatCode>0.0%</c:formatCode>
                <c:ptCount val="10"/>
                <c:pt idx="0">
                  <c:v>4.1880074935067103E-2</c:v>
                </c:pt>
                <c:pt idx="1">
                  <c:v>3.1999815634725003E-2</c:v>
                </c:pt>
                <c:pt idx="2">
                  <c:v>2.6207257283708599E-2</c:v>
                </c:pt>
                <c:pt idx="3">
                  <c:v>2.25645668724124E-2</c:v>
                </c:pt>
                <c:pt idx="4">
                  <c:v>9.3706236069485502E-3</c:v>
                </c:pt>
                <c:pt idx="5">
                  <c:v>7.0885979969555202E-3</c:v>
                </c:pt>
                <c:pt idx="6">
                  <c:v>5.2297497964185402E-3</c:v>
                </c:pt>
                <c:pt idx="7">
                  <c:v>4.6682919306132902E-3</c:v>
                </c:pt>
                <c:pt idx="8">
                  <c:v>1.4069725566159201E-3</c:v>
                </c:pt>
                <c:pt idx="9">
                  <c:v>9.7448273917622504E-4</c:v>
                </c:pt>
              </c:numCache>
            </c:numRef>
          </c:val>
          <c:extLst>
            <c:ext xmlns:c16="http://schemas.microsoft.com/office/drawing/2014/chart" uri="{C3380CC4-5D6E-409C-BE32-E72D297353CC}">
              <c16:uniqueId val="{00000012-EDCB-C347-A140-61C4E0DEA55D}"/>
            </c:ext>
          </c:extLst>
        </c:ser>
        <c:dLbls>
          <c:showLegendKey val="0"/>
          <c:showVal val="0"/>
          <c:showCatName val="0"/>
          <c:showSerName val="0"/>
          <c:showPercent val="0"/>
          <c:showBubbleSize val="0"/>
        </c:dLbls>
        <c:gapWidth val="150"/>
        <c:axId val="372781184"/>
        <c:axId val="534255992"/>
      </c:barChart>
      <c:catAx>
        <c:axId val="372781184"/>
        <c:scaling>
          <c:orientation val="minMax"/>
        </c:scaling>
        <c:delete val="0"/>
        <c:axPos val="l"/>
        <c:numFmt formatCode="General" sourceLinked="0"/>
        <c:majorTickMark val="none"/>
        <c:minorTickMark val="none"/>
        <c:tickLblPos val="nextTo"/>
        <c:txPr>
          <a:bodyPr/>
          <a:lstStyle/>
          <a:p>
            <a:pPr>
              <a:defRPr sz="800"/>
            </a:pPr>
            <a:endParaRPr lang="es-CO"/>
          </a:p>
        </c:txPr>
        <c:crossAx val="534255992"/>
        <c:crosses val="autoZero"/>
        <c:auto val="1"/>
        <c:lblAlgn val="ctr"/>
        <c:lblOffset val="100"/>
        <c:noMultiLvlLbl val="0"/>
      </c:catAx>
      <c:valAx>
        <c:axId val="534255992"/>
        <c:scaling>
          <c:orientation val="minMax"/>
        </c:scaling>
        <c:delete val="1"/>
        <c:axPos val="b"/>
        <c:numFmt formatCode="0.0%" sourceLinked="1"/>
        <c:majorTickMark val="none"/>
        <c:minorTickMark val="none"/>
        <c:tickLblPos val="nextTo"/>
        <c:crossAx val="372781184"/>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56423666598903"/>
          <c:y val="4.37416923913602E-2"/>
          <c:w val="0.58331522212859899"/>
          <c:h val="0.92491620320664003"/>
        </c:manualLayout>
      </c:layout>
      <c:barChart>
        <c:barDir val="bar"/>
        <c:grouping val="clustered"/>
        <c:varyColors val="0"/>
        <c:ser>
          <c:idx val="0"/>
          <c:order val="0"/>
          <c:tx>
            <c:strRef>
              <c:f>'P1.1'!$C$1</c:f>
              <c:strCache>
                <c:ptCount val="1"/>
                <c:pt idx="0">
                  <c:v>% de Familias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'P1.1'!$B$2:$B$21</c:f>
              <c:strCache>
                <c:ptCount val="20"/>
                <c:pt idx="0">
                  <c:v>Suba</c:v>
                </c:pt>
                <c:pt idx="1">
                  <c:v>Kennedy</c:v>
                </c:pt>
                <c:pt idx="2">
                  <c:v>Engativa</c:v>
                </c:pt>
                <c:pt idx="3">
                  <c:v>Ciudad Bolivar</c:v>
                </c:pt>
                <c:pt idx="4">
                  <c:v>Usaquen</c:v>
                </c:pt>
                <c:pt idx="5">
                  <c:v>Bosa</c:v>
                </c:pt>
                <c:pt idx="6">
                  <c:v>Rafael Uribe Uribe</c:v>
                </c:pt>
                <c:pt idx="7">
                  <c:v>Fontibon</c:v>
                </c:pt>
                <c:pt idx="8">
                  <c:v>San Cristobal</c:v>
                </c:pt>
                <c:pt idx="9">
                  <c:v>Usme</c:v>
                </c:pt>
                <c:pt idx="10">
                  <c:v>Puente Aranda</c:v>
                </c:pt>
                <c:pt idx="11">
                  <c:v>Barrios Unidos</c:v>
                </c:pt>
                <c:pt idx="12">
                  <c:v>Teusaquillo</c:v>
                </c:pt>
                <c:pt idx="13">
                  <c:v>Chapinero</c:v>
                </c:pt>
                <c:pt idx="14">
                  <c:v>Tunjuelito</c:v>
                </c:pt>
                <c:pt idx="15">
                  <c:v>Santa Fe</c:v>
                </c:pt>
                <c:pt idx="16">
                  <c:v>Antonio Nariño</c:v>
                </c:pt>
                <c:pt idx="17">
                  <c:v>Los Martires</c:v>
                </c:pt>
                <c:pt idx="18">
                  <c:v>Candelaria</c:v>
                </c:pt>
                <c:pt idx="19">
                  <c:v>Sumapaz</c:v>
                </c:pt>
              </c:strCache>
            </c:strRef>
          </c:cat>
          <c:val>
            <c:numRef>
              <c:f>'P1.1'!$C$2:$C$21</c:f>
              <c:numCache>
                <c:formatCode>0.0%</c:formatCode>
                <c:ptCount val="20"/>
                <c:pt idx="0">
                  <c:v>0.153618662484485</c:v>
                </c:pt>
                <c:pt idx="1">
                  <c:v>0.120657048515408</c:v>
                </c:pt>
                <c:pt idx="2">
                  <c:v>0.11003662317759</c:v>
                </c:pt>
                <c:pt idx="3">
                  <c:v>7.9545289944263103E-2</c:v>
                </c:pt>
                <c:pt idx="4">
                  <c:v>7.1914160261625198E-2</c:v>
                </c:pt>
                <c:pt idx="5">
                  <c:v>6.9602567421869696E-2</c:v>
                </c:pt>
                <c:pt idx="6">
                  <c:v>5.4127554782500302E-2</c:v>
                </c:pt>
                <c:pt idx="7">
                  <c:v>5.1844088472920498E-2</c:v>
                </c:pt>
                <c:pt idx="8">
                  <c:v>4.7705581582938202E-2</c:v>
                </c:pt>
                <c:pt idx="9">
                  <c:v>4.6654633918772802E-2</c:v>
                </c:pt>
                <c:pt idx="10">
                  <c:v>3.5465437027407502E-2</c:v>
                </c:pt>
                <c:pt idx="11">
                  <c:v>3.5222714323314898E-2</c:v>
                </c:pt>
                <c:pt idx="12">
                  <c:v>2.8132694376108498E-2</c:v>
                </c:pt>
                <c:pt idx="13">
                  <c:v>2.6794956299684199E-2</c:v>
                </c:pt>
                <c:pt idx="14">
                  <c:v>2.2084690630622902E-2</c:v>
                </c:pt>
                <c:pt idx="15">
                  <c:v>1.5144497677277101E-2</c:v>
                </c:pt>
                <c:pt idx="16">
                  <c:v>1.46513764361855E-2</c:v>
                </c:pt>
                <c:pt idx="17">
                  <c:v>1.31058775769067E-2</c:v>
                </c:pt>
                <c:pt idx="18">
                  <c:v>2.7419639740685802E-3</c:v>
                </c:pt>
                <c:pt idx="19">
                  <c:v>9.4958111605045702E-4</c:v>
                </c:pt>
              </c:numCache>
            </c:numRef>
          </c:val>
          <c:extLst>
            <c:ext xmlns:c16="http://schemas.microsoft.com/office/drawing/2014/chart" uri="{C3380CC4-5D6E-409C-BE32-E72D297353CC}">
              <c16:uniqueId val="{00000000-5F23-B44D-B16D-585402CA5B7A}"/>
            </c:ext>
          </c:extLst>
        </c:ser>
        <c:dLbls>
          <c:showLegendKey val="0"/>
          <c:showVal val="0"/>
          <c:showCatName val="0"/>
          <c:showSerName val="0"/>
          <c:showPercent val="0"/>
          <c:showBubbleSize val="0"/>
        </c:dLbls>
        <c:gapWidth val="182"/>
        <c:axId val="524031256"/>
        <c:axId val="524035568"/>
      </c:barChart>
      <c:catAx>
        <c:axId val="524031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524035568"/>
        <c:crosses val="autoZero"/>
        <c:auto val="1"/>
        <c:lblAlgn val="ctr"/>
        <c:lblOffset val="100"/>
        <c:noMultiLvlLbl val="0"/>
      </c:catAx>
      <c:valAx>
        <c:axId val="524035568"/>
        <c:scaling>
          <c:orientation val="minMax"/>
        </c:scaling>
        <c:delete val="1"/>
        <c:axPos val="b"/>
        <c:numFmt formatCode="0.0%" sourceLinked="1"/>
        <c:majorTickMark val="none"/>
        <c:minorTickMark val="none"/>
        <c:tickLblPos val="nextTo"/>
        <c:crossAx val="524031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5646124492741001"/>
          <c:y val="5.1944459214303802E-2"/>
          <c:w val="0.73117974644313399"/>
          <c:h val="0.89611108157139197"/>
        </c:manualLayout>
      </c:layout>
      <c:barChart>
        <c:barDir val="bar"/>
        <c:grouping val="clustered"/>
        <c:varyColors val="0"/>
        <c:ser>
          <c:idx val="0"/>
          <c:order val="0"/>
          <c:tx>
            <c:strRef>
              <c:f>'P4.1'!$K$1</c:f>
              <c:strCache>
                <c:ptCount val="1"/>
                <c:pt idx="0">
                  <c:v>% de Familias</c:v>
                </c:pt>
              </c:strCache>
            </c:strRef>
          </c:tx>
          <c:invertIfNegative val="0"/>
          <c:dPt>
            <c:idx val="0"/>
            <c:invertIfNegative val="0"/>
            <c:bubble3D val="0"/>
            <c:spPr>
              <a:solidFill>
                <a:schemeClr val="accent6"/>
              </a:solidFill>
            </c:spPr>
            <c:extLst>
              <c:ext xmlns:c16="http://schemas.microsoft.com/office/drawing/2014/chart" uri="{C3380CC4-5D6E-409C-BE32-E72D297353CC}">
                <c16:uniqueId val="{00000001-00C4-1146-BDDC-D3D3034A88B4}"/>
              </c:ext>
            </c:extLst>
          </c:dPt>
          <c:dPt>
            <c:idx val="1"/>
            <c:invertIfNegative val="0"/>
            <c:bubble3D val="0"/>
            <c:spPr>
              <a:solidFill>
                <a:schemeClr val="accent5"/>
              </a:solidFill>
            </c:spPr>
            <c:extLst>
              <c:ext xmlns:c16="http://schemas.microsoft.com/office/drawing/2014/chart" uri="{C3380CC4-5D6E-409C-BE32-E72D297353CC}">
                <c16:uniqueId val="{00000003-00C4-1146-BDDC-D3D3034A88B4}"/>
              </c:ext>
            </c:extLst>
          </c:dPt>
          <c:dPt>
            <c:idx val="2"/>
            <c:invertIfNegative val="0"/>
            <c:bubble3D val="0"/>
            <c:spPr>
              <a:solidFill>
                <a:schemeClr val="accent4"/>
              </a:solidFill>
            </c:spPr>
            <c:extLst>
              <c:ext xmlns:c16="http://schemas.microsoft.com/office/drawing/2014/chart" uri="{C3380CC4-5D6E-409C-BE32-E72D297353CC}">
                <c16:uniqueId val="{00000005-00C4-1146-BDDC-D3D3034A88B4}"/>
              </c:ext>
            </c:extLst>
          </c:dPt>
          <c:dPt>
            <c:idx val="3"/>
            <c:invertIfNegative val="0"/>
            <c:bubble3D val="0"/>
            <c:spPr>
              <a:solidFill>
                <a:schemeClr val="accent3"/>
              </a:solidFill>
            </c:spPr>
            <c:extLst>
              <c:ext xmlns:c16="http://schemas.microsoft.com/office/drawing/2014/chart" uri="{C3380CC4-5D6E-409C-BE32-E72D297353CC}">
                <c16:uniqueId val="{00000007-00C4-1146-BDDC-D3D3034A88B4}"/>
              </c:ext>
            </c:extLst>
          </c:dPt>
          <c:dPt>
            <c:idx val="4"/>
            <c:invertIfNegative val="0"/>
            <c:bubble3D val="0"/>
            <c:spPr>
              <a:solidFill>
                <a:schemeClr val="accent1"/>
              </a:solidFill>
            </c:spPr>
            <c:extLst>
              <c:ext xmlns:c16="http://schemas.microsoft.com/office/drawing/2014/chart" uri="{C3380CC4-5D6E-409C-BE32-E72D297353CC}">
                <c16:uniqueId val="{00000009-00C4-1146-BDDC-D3D3034A88B4}"/>
              </c:ext>
            </c:extLst>
          </c:dPt>
          <c:dPt>
            <c:idx val="5"/>
            <c:invertIfNegative val="0"/>
            <c:bubble3D val="0"/>
            <c:spPr>
              <a:solidFill>
                <a:schemeClr val="tx2"/>
              </a:solidFill>
            </c:spPr>
            <c:extLst>
              <c:ext xmlns:c16="http://schemas.microsoft.com/office/drawing/2014/chart" uri="{C3380CC4-5D6E-409C-BE32-E72D297353CC}">
                <c16:uniqueId val="{0000000B-00C4-1146-BDDC-D3D3034A88B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'P4.1'!$J$2:$J$7</c:f>
              <c:strCache>
                <c:ptCount val="6"/>
                <c:pt idx="0">
                  <c:v>61 años o más</c:v>
                </c:pt>
                <c:pt idx="1">
                  <c:v>De 41 a 60</c:v>
                </c:pt>
                <c:pt idx="2">
                  <c:v>De 41 a 50</c:v>
                </c:pt>
                <c:pt idx="3">
                  <c:v>De 31 a 40</c:v>
                </c:pt>
                <c:pt idx="4">
                  <c:v>De 25 a 30</c:v>
                </c:pt>
                <c:pt idx="5">
                  <c:v>De 18 a 24</c:v>
                </c:pt>
              </c:strCache>
            </c:strRef>
          </c:cat>
          <c:val>
            <c:numRef>
              <c:f>'P4.1'!$K$2:$K$7</c:f>
              <c:numCache>
                <c:formatCode>0.0%</c:formatCode>
                <c:ptCount val="6"/>
                <c:pt idx="0">
                  <c:v>0.14367797643618299</c:v>
                </c:pt>
                <c:pt idx="1">
                  <c:v>0.15064897168374</c:v>
                </c:pt>
                <c:pt idx="2">
                  <c:v>0.15993770742194199</c:v>
                </c:pt>
                <c:pt idx="3">
                  <c:v>0.21162053134445599</c:v>
                </c:pt>
                <c:pt idx="4">
                  <c:v>0.15530372687258701</c:v>
                </c:pt>
                <c:pt idx="5">
                  <c:v>0.17881108624109299</c:v>
                </c:pt>
              </c:numCache>
            </c:numRef>
          </c:val>
          <c:extLst>
            <c:ext xmlns:c16="http://schemas.microsoft.com/office/drawing/2014/chart" uri="{C3380CC4-5D6E-409C-BE32-E72D297353CC}">
              <c16:uniqueId val="{0000000C-00C4-1146-BDDC-D3D3034A88B4}"/>
            </c:ext>
          </c:extLst>
        </c:ser>
        <c:dLbls>
          <c:showLegendKey val="0"/>
          <c:showVal val="0"/>
          <c:showCatName val="0"/>
          <c:showSerName val="0"/>
          <c:showPercent val="0"/>
          <c:showBubbleSize val="0"/>
        </c:dLbls>
        <c:gapWidth val="150"/>
        <c:axId val="524034784"/>
        <c:axId val="524030864"/>
      </c:barChart>
      <c:catAx>
        <c:axId val="524034784"/>
        <c:scaling>
          <c:orientation val="minMax"/>
        </c:scaling>
        <c:delete val="0"/>
        <c:axPos val="l"/>
        <c:numFmt formatCode="General" sourceLinked="0"/>
        <c:majorTickMark val="none"/>
        <c:minorTickMark val="none"/>
        <c:tickLblPos val="nextTo"/>
        <c:crossAx val="524030864"/>
        <c:crosses val="autoZero"/>
        <c:auto val="1"/>
        <c:lblAlgn val="ctr"/>
        <c:lblOffset val="100"/>
        <c:noMultiLvlLbl val="0"/>
      </c:catAx>
      <c:valAx>
        <c:axId val="524030864"/>
        <c:scaling>
          <c:orientation val="minMax"/>
        </c:scaling>
        <c:delete val="1"/>
        <c:axPos val="b"/>
        <c:numFmt formatCode="0.0%" sourceLinked="1"/>
        <c:majorTickMark val="none"/>
        <c:minorTickMark val="none"/>
        <c:tickLblPos val="nextTo"/>
        <c:crossAx val="524034784"/>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83315415831298"/>
          <c:y val="2.1983043486470701E-2"/>
          <c:w val="0.62316684584168702"/>
          <c:h val="0.90776378896882504"/>
        </c:manualLayout>
      </c:layout>
      <c:barChart>
        <c:barDir val="bar"/>
        <c:grouping val="stacked"/>
        <c:varyColors val="0"/>
        <c:ser>
          <c:idx val="0"/>
          <c:order val="0"/>
          <c:tx>
            <c:strRef>
              <c:f>'P5.1'!$C$49</c:f>
              <c:strCache>
                <c:ptCount val="1"/>
                <c:pt idx="0">
                  <c:v>Mujer</c:v>
                </c:pt>
              </c:strCache>
            </c:strRef>
          </c:tx>
          <c:spPr>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'P5.1'!$B$50:$B$69</c:f>
              <c:strCache>
                <c:ptCount val="20"/>
                <c:pt idx="0">
                  <c:v>Usaquén</c:v>
                </c:pt>
                <c:pt idx="1">
                  <c:v>Chapinero</c:v>
                </c:pt>
                <c:pt idx="2">
                  <c:v>Santa Fe</c:v>
                </c:pt>
                <c:pt idx="3">
                  <c:v>San Cristobal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Candelaria</c:v>
                </c:pt>
                <c:pt idx="17">
                  <c:v>Rafael Uribe Uribe</c:v>
                </c:pt>
                <c:pt idx="18">
                  <c:v>Ciudad Bolívar</c:v>
                </c:pt>
                <c:pt idx="19">
                  <c:v>Sumapaz</c:v>
                </c:pt>
              </c:strCache>
            </c:strRef>
          </c:cat>
          <c:val>
            <c:numRef>
              <c:f>'P5.1'!$C$50:$C$69</c:f>
              <c:numCache>
                <c:formatCode>0%</c:formatCode>
                <c:ptCount val="20"/>
                <c:pt idx="0">
                  <c:v>0.83503221866224797</c:v>
                </c:pt>
                <c:pt idx="1">
                  <c:v>0.54892365972937796</c:v>
                </c:pt>
                <c:pt idx="2">
                  <c:v>0.69290704447323703</c:v>
                </c:pt>
                <c:pt idx="3">
                  <c:v>0.59679979579785403</c:v>
                </c:pt>
                <c:pt idx="4">
                  <c:v>0.97591417748924503</c:v>
                </c:pt>
                <c:pt idx="5">
                  <c:v>0.62730446874203305</c:v>
                </c:pt>
                <c:pt idx="6">
                  <c:v>0.65089198958941696</c:v>
                </c:pt>
                <c:pt idx="7">
                  <c:v>0.41014556029340699</c:v>
                </c:pt>
                <c:pt idx="8">
                  <c:v>0.54242736706846695</c:v>
                </c:pt>
                <c:pt idx="9">
                  <c:v>0.71690443260418102</c:v>
                </c:pt>
                <c:pt idx="10">
                  <c:v>0.69814750597889896</c:v>
                </c:pt>
                <c:pt idx="11">
                  <c:v>0.56829810984541096</c:v>
                </c:pt>
                <c:pt idx="12">
                  <c:v>0.599758317984047</c:v>
                </c:pt>
                <c:pt idx="13">
                  <c:v>0.61097677040694598</c:v>
                </c:pt>
                <c:pt idx="14">
                  <c:v>0.60580071101397504</c:v>
                </c:pt>
                <c:pt idx="15">
                  <c:v>0.62727051808380396</c:v>
                </c:pt>
                <c:pt idx="16">
                  <c:v>0.64819120165047595</c:v>
                </c:pt>
                <c:pt idx="17">
                  <c:v>0.70329170777278505</c:v>
                </c:pt>
                <c:pt idx="18">
                  <c:v>0.26137483976113501</c:v>
                </c:pt>
                <c:pt idx="19">
                  <c:v>0.76567801686564996</c:v>
                </c:pt>
              </c:numCache>
            </c:numRef>
          </c:val>
          <c:extLst>
            <c:ext xmlns:c16="http://schemas.microsoft.com/office/drawing/2014/chart" uri="{C3380CC4-5D6E-409C-BE32-E72D297353CC}">
              <c16:uniqueId val="{00000000-A268-0044-A801-8E5F94556754}"/>
            </c:ext>
          </c:extLst>
        </c:ser>
        <c:ser>
          <c:idx val="1"/>
          <c:order val="1"/>
          <c:tx>
            <c:strRef>
              <c:f>'P5.1'!$D$49</c:f>
              <c:strCache>
                <c:ptCount val="1"/>
                <c:pt idx="0">
                  <c:v>Hombre</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0" scaled="1"/>
              <a:tileRect/>
            </a:gradFill>
            <a:ln>
              <a:noFill/>
            </a:ln>
            <a:effectLst/>
          </c:spPr>
          <c:invertIfNegative val="0"/>
          <c:dLbls>
            <c:dLbl>
              <c:idx val="4"/>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268-0044-A801-8E5F945567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'P5.1'!$B$50:$B$69</c:f>
              <c:strCache>
                <c:ptCount val="20"/>
                <c:pt idx="0">
                  <c:v>Usaquén</c:v>
                </c:pt>
                <c:pt idx="1">
                  <c:v>Chapinero</c:v>
                </c:pt>
                <c:pt idx="2">
                  <c:v>Santa Fe</c:v>
                </c:pt>
                <c:pt idx="3">
                  <c:v>San Cristobal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Candelaria</c:v>
                </c:pt>
                <c:pt idx="17">
                  <c:v>Rafael Uribe Uribe</c:v>
                </c:pt>
                <c:pt idx="18">
                  <c:v>Ciudad Bolívar</c:v>
                </c:pt>
                <c:pt idx="19">
                  <c:v>Sumapaz</c:v>
                </c:pt>
              </c:strCache>
            </c:strRef>
          </c:cat>
          <c:val>
            <c:numRef>
              <c:f>'P5.1'!$D$50:$D$69</c:f>
              <c:numCache>
                <c:formatCode>0%</c:formatCode>
                <c:ptCount val="20"/>
                <c:pt idx="0">
                  <c:v>0.164967781337751</c:v>
                </c:pt>
                <c:pt idx="1">
                  <c:v>0.45107634027062199</c:v>
                </c:pt>
                <c:pt idx="2">
                  <c:v>0.30709295552676302</c:v>
                </c:pt>
                <c:pt idx="3">
                  <c:v>0.40320020420214597</c:v>
                </c:pt>
                <c:pt idx="4">
                  <c:v>2.4085822510754501E-2</c:v>
                </c:pt>
                <c:pt idx="5">
                  <c:v>0.37269553125796701</c:v>
                </c:pt>
                <c:pt idx="6">
                  <c:v>0.34910801041058298</c:v>
                </c:pt>
                <c:pt idx="7">
                  <c:v>0.58985443970659301</c:v>
                </c:pt>
                <c:pt idx="8">
                  <c:v>0.457572632931533</c:v>
                </c:pt>
                <c:pt idx="9">
                  <c:v>0.28309556739581998</c:v>
                </c:pt>
                <c:pt idx="10">
                  <c:v>0.30185249402110098</c:v>
                </c:pt>
                <c:pt idx="11">
                  <c:v>0.43170189015458899</c:v>
                </c:pt>
                <c:pt idx="12">
                  <c:v>0.400241682015953</c:v>
                </c:pt>
                <c:pt idx="13">
                  <c:v>0.38902322959305402</c:v>
                </c:pt>
                <c:pt idx="14">
                  <c:v>0.39419928898602602</c:v>
                </c:pt>
                <c:pt idx="15">
                  <c:v>0.37272948191619698</c:v>
                </c:pt>
                <c:pt idx="16">
                  <c:v>0.351808798349524</c:v>
                </c:pt>
                <c:pt idx="17">
                  <c:v>0.29670829222721601</c:v>
                </c:pt>
                <c:pt idx="18">
                  <c:v>0.73862516023886504</c:v>
                </c:pt>
                <c:pt idx="19">
                  <c:v>0.23432198313434999</c:v>
                </c:pt>
              </c:numCache>
            </c:numRef>
          </c:val>
          <c:extLst>
            <c:ext xmlns:c16="http://schemas.microsoft.com/office/drawing/2014/chart" uri="{C3380CC4-5D6E-409C-BE32-E72D297353CC}">
              <c16:uniqueId val="{00000002-A268-0044-A801-8E5F94556754}"/>
            </c:ext>
          </c:extLst>
        </c:ser>
        <c:dLbls>
          <c:showLegendKey val="0"/>
          <c:showVal val="0"/>
          <c:showCatName val="0"/>
          <c:showSerName val="0"/>
          <c:showPercent val="0"/>
          <c:showBubbleSize val="0"/>
        </c:dLbls>
        <c:gapWidth val="150"/>
        <c:overlap val="100"/>
        <c:axId val="524030472"/>
        <c:axId val="524031648"/>
      </c:barChart>
      <c:catAx>
        <c:axId val="524030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524031648"/>
        <c:crosses val="autoZero"/>
        <c:auto val="1"/>
        <c:lblAlgn val="ctr"/>
        <c:lblOffset val="100"/>
        <c:noMultiLvlLbl val="0"/>
      </c:catAx>
      <c:valAx>
        <c:axId val="524031648"/>
        <c:scaling>
          <c:orientation val="minMax"/>
        </c:scaling>
        <c:delete val="1"/>
        <c:axPos val="b"/>
        <c:numFmt formatCode="0%" sourceLinked="1"/>
        <c:majorTickMark val="none"/>
        <c:minorTickMark val="none"/>
        <c:tickLblPos val="nextTo"/>
        <c:crossAx val="524030472"/>
        <c:crosses val="autoZero"/>
        <c:crossBetween val="between"/>
      </c:valAx>
      <c:spPr>
        <a:noFill/>
        <a:ln>
          <a:noFill/>
        </a:ln>
        <a:effectLst/>
      </c:spPr>
    </c:plotArea>
    <c:legend>
      <c:legendPos val="b"/>
      <c:layout>
        <c:manualLayout>
          <c:xMode val="edge"/>
          <c:yMode val="edge"/>
          <c:x val="0.25142148744322101"/>
          <c:y val="0.94693357770850695"/>
          <c:w val="0.50911468169799801"/>
          <c:h val="4.302133361436889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78703353962705E-2"/>
          <c:y val="9.0200902009020104E-2"/>
          <c:w val="0.89644109984406894"/>
          <c:h val="0.87699876998769999"/>
        </c:manualLayout>
      </c:layout>
      <c:barChart>
        <c:barDir val="bar"/>
        <c:grouping val="clustered"/>
        <c:varyColors val="0"/>
        <c:ser>
          <c:idx val="0"/>
          <c:order val="0"/>
          <c:tx>
            <c:strRef>
              <c:f>'P6.1'!$G$2</c:f>
              <c:strCache>
                <c:ptCount val="1"/>
                <c:pt idx="0">
                  <c:v>porcentaje</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94BA-D348-AD79-7EA913F7F5B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94BA-D348-AD79-7EA913F7F5B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94BA-D348-AD79-7EA913F7F5B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94BA-D348-AD79-7EA913F7F5B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94BA-D348-AD79-7EA913F7F5B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'P6.1'!$F$3:$F$9</c:f>
              <c:strCache>
                <c:ptCount val="6"/>
                <c:pt idx="0">
                  <c:v>6</c:v>
                </c:pt>
                <c:pt idx="1">
                  <c:v>5</c:v>
                </c:pt>
                <c:pt idx="2">
                  <c:v>4</c:v>
                </c:pt>
                <c:pt idx="3">
                  <c:v>3</c:v>
                </c:pt>
                <c:pt idx="4">
                  <c:v>2</c:v>
                </c:pt>
                <c:pt idx="5">
                  <c:v>1</c:v>
                </c:pt>
              </c:strCache>
              <c:extLst/>
            </c:strRef>
          </c:cat>
          <c:val>
            <c:numRef>
              <c:f>'P6.1'!$G$3:$G$9</c:f>
              <c:numCache>
                <c:formatCode>0.0%</c:formatCode>
                <c:ptCount val="6"/>
                <c:pt idx="0">
                  <c:v>1.90541427897447E-2</c:v>
                </c:pt>
                <c:pt idx="1">
                  <c:v>2.5937749401436401E-2</c:v>
                </c:pt>
                <c:pt idx="2">
                  <c:v>7.8143760460669301E-2</c:v>
                </c:pt>
                <c:pt idx="3">
                  <c:v>0.358810294573636</c:v>
                </c:pt>
                <c:pt idx="4">
                  <c:v>0.42723929958420298</c:v>
                </c:pt>
                <c:pt idx="5">
                  <c:v>8.8420499399408395E-2</c:v>
                </c:pt>
              </c:numCache>
              <c:extLst/>
            </c:numRef>
          </c:val>
          <c:extLst>
            <c:ext xmlns:c16="http://schemas.microsoft.com/office/drawing/2014/chart" uri="{C3380CC4-5D6E-409C-BE32-E72D297353CC}">
              <c16:uniqueId val="{0000000A-94BA-D348-AD79-7EA913F7F5BE}"/>
            </c:ext>
          </c:extLst>
        </c:ser>
        <c:dLbls>
          <c:showLegendKey val="0"/>
          <c:showVal val="0"/>
          <c:showCatName val="0"/>
          <c:showSerName val="0"/>
          <c:showPercent val="0"/>
          <c:showBubbleSize val="0"/>
        </c:dLbls>
        <c:gapWidth val="219"/>
        <c:axId val="524036744"/>
        <c:axId val="524035176"/>
      </c:barChart>
      <c:catAx>
        <c:axId val="524036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524035176"/>
        <c:crosses val="autoZero"/>
        <c:auto val="1"/>
        <c:lblAlgn val="ctr"/>
        <c:lblOffset val="100"/>
        <c:noMultiLvlLbl val="0"/>
      </c:catAx>
      <c:valAx>
        <c:axId val="524035176"/>
        <c:scaling>
          <c:orientation val="minMax"/>
        </c:scaling>
        <c:delete val="1"/>
        <c:axPos val="b"/>
        <c:numFmt formatCode="0.0%" sourceLinked="1"/>
        <c:majorTickMark val="none"/>
        <c:minorTickMark val="none"/>
        <c:tickLblPos val="nextTo"/>
        <c:crossAx val="524036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345894955013"/>
          <c:y val="3.1473526528668298E-2"/>
          <c:w val="0.643965482174507"/>
          <c:h val="0.87722463424135"/>
        </c:manualLayout>
      </c:layout>
      <c:barChart>
        <c:barDir val="bar"/>
        <c:grouping val="stacked"/>
        <c:varyColors val="0"/>
        <c:ser>
          <c:idx val="0"/>
          <c:order val="0"/>
          <c:tx>
            <c:strRef>
              <c:f>'P7.1'!$C$70</c:f>
              <c:strCache>
                <c:ptCount val="1"/>
                <c:pt idx="0">
                  <c:v>Propia</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'P7.1'!$B$71:$B$90</c:f>
              <c:strCache>
                <c:ptCount val="20"/>
                <c:pt idx="0">
                  <c:v>Usaquén</c:v>
                </c:pt>
                <c:pt idx="1">
                  <c:v>Chapinero</c:v>
                </c:pt>
                <c:pt idx="2">
                  <c:v>Santa Fe</c:v>
                </c:pt>
                <c:pt idx="3">
                  <c:v>San Cristobal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Candelaria</c:v>
                </c:pt>
                <c:pt idx="17">
                  <c:v>Rafael Uribe Uribe</c:v>
                </c:pt>
                <c:pt idx="18">
                  <c:v>Ciudad Bolívar</c:v>
                </c:pt>
                <c:pt idx="19">
                  <c:v>Sumapaz</c:v>
                </c:pt>
              </c:strCache>
            </c:strRef>
          </c:cat>
          <c:val>
            <c:numRef>
              <c:f>'P7.1'!$C$71:$C$90</c:f>
              <c:numCache>
                <c:formatCode>0%</c:formatCode>
                <c:ptCount val="20"/>
                <c:pt idx="0">
                  <c:v>0.228251202997171</c:v>
                </c:pt>
                <c:pt idx="1">
                  <c:v>0.62646624590871003</c:v>
                </c:pt>
                <c:pt idx="2">
                  <c:v>0.46486590471117001</c:v>
                </c:pt>
                <c:pt idx="3">
                  <c:v>0.49764908685402198</c:v>
                </c:pt>
                <c:pt idx="4">
                  <c:v>6.4270215240699105E-2</c:v>
                </c:pt>
                <c:pt idx="5">
                  <c:v>0.35513502220427101</c:v>
                </c:pt>
                <c:pt idx="6">
                  <c:v>0.39535219750573802</c:v>
                </c:pt>
                <c:pt idx="7">
                  <c:v>0.62481277491115905</c:v>
                </c:pt>
                <c:pt idx="8">
                  <c:v>0.68144302815467395</c:v>
                </c:pt>
                <c:pt idx="9">
                  <c:v>0.67506845158713302</c:v>
                </c:pt>
                <c:pt idx="10">
                  <c:v>0.40732463979876299</c:v>
                </c:pt>
                <c:pt idx="11">
                  <c:v>0.43517795979938101</c:v>
                </c:pt>
                <c:pt idx="12">
                  <c:v>0.61566272368950803</c:v>
                </c:pt>
                <c:pt idx="13">
                  <c:v>0.39809427916983398</c:v>
                </c:pt>
                <c:pt idx="14">
                  <c:v>0.39728520974934201</c:v>
                </c:pt>
                <c:pt idx="15">
                  <c:v>0.45654218363793497</c:v>
                </c:pt>
                <c:pt idx="16">
                  <c:v>0.468567090079829</c:v>
                </c:pt>
                <c:pt idx="17">
                  <c:v>0.45719594998377699</c:v>
                </c:pt>
                <c:pt idx="18">
                  <c:v>0.18216686991711001</c:v>
                </c:pt>
                <c:pt idx="19">
                  <c:v>0.45205971039848702</c:v>
                </c:pt>
              </c:numCache>
            </c:numRef>
          </c:val>
          <c:extLst>
            <c:ext xmlns:c16="http://schemas.microsoft.com/office/drawing/2014/chart" uri="{C3380CC4-5D6E-409C-BE32-E72D297353CC}">
              <c16:uniqueId val="{00000000-539C-A44D-8B24-7BF4AEDEDE36}"/>
            </c:ext>
          </c:extLst>
        </c:ser>
        <c:ser>
          <c:idx val="1"/>
          <c:order val="1"/>
          <c:tx>
            <c:strRef>
              <c:f>'P7.1'!$D$70</c:f>
              <c:strCache>
                <c:ptCount val="1"/>
                <c:pt idx="0">
                  <c:v>Arriendo o Subarriendo</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'P7.1'!$B$71:$B$90</c:f>
              <c:strCache>
                <c:ptCount val="20"/>
                <c:pt idx="0">
                  <c:v>Usaquén</c:v>
                </c:pt>
                <c:pt idx="1">
                  <c:v>Chapinero</c:v>
                </c:pt>
                <c:pt idx="2">
                  <c:v>Santa Fe</c:v>
                </c:pt>
                <c:pt idx="3">
                  <c:v>San Cristobal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Candelaria</c:v>
                </c:pt>
                <c:pt idx="17">
                  <c:v>Rafael Uribe Uribe</c:v>
                </c:pt>
                <c:pt idx="18">
                  <c:v>Ciudad Bolívar</c:v>
                </c:pt>
                <c:pt idx="19">
                  <c:v>Sumapaz</c:v>
                </c:pt>
              </c:strCache>
            </c:strRef>
          </c:cat>
          <c:val>
            <c:numRef>
              <c:f>'P7.1'!$D$71:$D$90</c:f>
              <c:numCache>
                <c:formatCode>0%</c:formatCode>
                <c:ptCount val="20"/>
                <c:pt idx="0">
                  <c:v>0.73682269661364996</c:v>
                </c:pt>
                <c:pt idx="1">
                  <c:v>0.36174100175116303</c:v>
                </c:pt>
                <c:pt idx="2">
                  <c:v>0.46086341623115601</c:v>
                </c:pt>
                <c:pt idx="3">
                  <c:v>0.39437103440896698</c:v>
                </c:pt>
                <c:pt idx="4">
                  <c:v>0.91132350584620003</c:v>
                </c:pt>
                <c:pt idx="5">
                  <c:v>0.458334269563759</c:v>
                </c:pt>
                <c:pt idx="6">
                  <c:v>0.50438125466138495</c:v>
                </c:pt>
                <c:pt idx="7">
                  <c:v>0.34681830454136098</c:v>
                </c:pt>
                <c:pt idx="8">
                  <c:v>0.26728262492483801</c:v>
                </c:pt>
                <c:pt idx="9">
                  <c:v>0.28049468212827999</c:v>
                </c:pt>
                <c:pt idx="10">
                  <c:v>0.56453059330787103</c:v>
                </c:pt>
                <c:pt idx="11">
                  <c:v>0.52774287361509498</c:v>
                </c:pt>
                <c:pt idx="12">
                  <c:v>0.33921213523891502</c:v>
                </c:pt>
                <c:pt idx="13">
                  <c:v>0.55345596113970996</c:v>
                </c:pt>
                <c:pt idx="14">
                  <c:v>0.56729664893141896</c:v>
                </c:pt>
                <c:pt idx="15">
                  <c:v>0.50253862163907603</c:v>
                </c:pt>
                <c:pt idx="16">
                  <c:v>0.46547926475708101</c:v>
                </c:pt>
                <c:pt idx="17">
                  <c:v>0.42458874023769</c:v>
                </c:pt>
                <c:pt idx="18">
                  <c:v>0.788107626757097</c:v>
                </c:pt>
                <c:pt idx="19">
                  <c:v>0.32744221158215903</c:v>
                </c:pt>
              </c:numCache>
            </c:numRef>
          </c:val>
          <c:extLst>
            <c:ext xmlns:c16="http://schemas.microsoft.com/office/drawing/2014/chart" uri="{C3380CC4-5D6E-409C-BE32-E72D297353CC}">
              <c16:uniqueId val="{00000001-539C-A44D-8B24-7BF4AEDEDE36}"/>
            </c:ext>
          </c:extLst>
        </c:ser>
        <c:ser>
          <c:idx val="2"/>
          <c:order val="2"/>
          <c:tx>
            <c:strRef>
              <c:f>'P7.1'!$E$70</c:f>
              <c:strCache>
                <c:ptCount val="1"/>
                <c:pt idx="0">
                  <c:v>Ocupantes de hecho</c:v>
                </c:pt>
              </c:strCache>
            </c:strRef>
          </c:tx>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0" scaled="1"/>
              <a:tileRect/>
            </a:gradFill>
            <a:ln>
              <a:noFill/>
            </a:ln>
            <a:effectLst/>
          </c:spPr>
          <c:invertIfNegative val="0"/>
          <c:dLbls>
            <c:dLbl>
              <c:idx val="17"/>
              <c:layout>
                <c:manualLayout>
                  <c:x val="2.93685756240822E-3"/>
                  <c:y val="-2.8612296844243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9C-A44D-8B24-7BF4AEDEDE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'P7.1'!$B$71:$B$90</c:f>
              <c:strCache>
                <c:ptCount val="20"/>
                <c:pt idx="0">
                  <c:v>Usaquén</c:v>
                </c:pt>
                <c:pt idx="1">
                  <c:v>Chapinero</c:v>
                </c:pt>
                <c:pt idx="2">
                  <c:v>Santa Fe</c:v>
                </c:pt>
                <c:pt idx="3">
                  <c:v>San Cristobal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Candelaria</c:v>
                </c:pt>
                <c:pt idx="17">
                  <c:v>Rafael Uribe Uribe</c:v>
                </c:pt>
                <c:pt idx="18">
                  <c:v>Ciudad Bolívar</c:v>
                </c:pt>
                <c:pt idx="19">
                  <c:v>Sumapaz</c:v>
                </c:pt>
              </c:strCache>
            </c:strRef>
          </c:cat>
          <c:val>
            <c:numRef>
              <c:f>'P7.1'!$E$71:$E$90</c:f>
              <c:numCache>
                <c:formatCode>0%</c:formatCode>
                <c:ptCount val="20"/>
                <c:pt idx="0">
                  <c:v>1.01545919781876E-2</c:v>
                </c:pt>
                <c:pt idx="1">
                  <c:v>3.6709175041132599E-3</c:v>
                </c:pt>
                <c:pt idx="2">
                  <c:v>5.3255413624520999E-2</c:v>
                </c:pt>
                <c:pt idx="3">
                  <c:v>1.0438404856768901E-2</c:v>
                </c:pt>
                <c:pt idx="4">
                  <c:v>2.28334904831963E-2</c:v>
                </c:pt>
                <c:pt idx="5">
                  <c:v>5.9082843905089798E-2</c:v>
                </c:pt>
                <c:pt idx="6">
                  <c:v>1.4289142862539601E-3</c:v>
                </c:pt>
                <c:pt idx="7">
                  <c:v>2.13690050480351E-2</c:v>
                </c:pt>
                <c:pt idx="8">
                  <c:v>1.3533929674896099E-2</c:v>
                </c:pt>
                <c:pt idx="9">
                  <c:v>3.20256983702027E-2</c:v>
                </c:pt>
                <c:pt idx="10">
                  <c:v>1.1027883458630001E-2</c:v>
                </c:pt>
                <c:pt idx="11">
                  <c:v>2.13919826366256E-2</c:v>
                </c:pt>
                <c:pt idx="12">
                  <c:v>5.0933750370388596E-3</c:v>
                </c:pt>
                <c:pt idx="13">
                  <c:v>1.1142273718044601E-2</c:v>
                </c:pt>
                <c:pt idx="14">
                  <c:v>3.0768986255192299E-2</c:v>
                </c:pt>
                <c:pt idx="15">
                  <c:v>1.0330267238776499E-2</c:v>
                </c:pt>
                <c:pt idx="16">
                  <c:v>2.6366896346309301E-2</c:v>
                </c:pt>
                <c:pt idx="17">
                  <c:v>7.7999588585406704E-2</c:v>
                </c:pt>
                <c:pt idx="18">
                  <c:v>5.0595836374529302E-3</c:v>
                </c:pt>
                <c:pt idx="19">
                  <c:v>5.9033476895640702E-2</c:v>
                </c:pt>
              </c:numCache>
            </c:numRef>
          </c:val>
          <c:extLst>
            <c:ext xmlns:c16="http://schemas.microsoft.com/office/drawing/2014/chart" uri="{C3380CC4-5D6E-409C-BE32-E72D297353CC}">
              <c16:uniqueId val="{00000003-539C-A44D-8B24-7BF4AEDEDE36}"/>
            </c:ext>
          </c:extLst>
        </c:ser>
        <c:dLbls>
          <c:showLegendKey val="0"/>
          <c:showVal val="0"/>
          <c:showCatName val="0"/>
          <c:showSerName val="0"/>
          <c:showPercent val="0"/>
          <c:showBubbleSize val="0"/>
        </c:dLbls>
        <c:gapWidth val="150"/>
        <c:overlap val="100"/>
        <c:axId val="524035960"/>
        <c:axId val="524034392"/>
      </c:barChart>
      <c:catAx>
        <c:axId val="52403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524034392"/>
        <c:crosses val="autoZero"/>
        <c:auto val="1"/>
        <c:lblAlgn val="ctr"/>
        <c:lblOffset val="100"/>
        <c:noMultiLvlLbl val="0"/>
      </c:catAx>
      <c:valAx>
        <c:axId val="524034392"/>
        <c:scaling>
          <c:orientation val="minMax"/>
        </c:scaling>
        <c:delete val="1"/>
        <c:axPos val="b"/>
        <c:numFmt formatCode="0%" sourceLinked="1"/>
        <c:majorTickMark val="none"/>
        <c:minorTickMark val="none"/>
        <c:tickLblPos val="nextTo"/>
        <c:crossAx val="524035960"/>
        <c:crosses val="autoZero"/>
        <c:crossBetween val="between"/>
      </c:valAx>
      <c:spPr>
        <a:noFill/>
        <a:ln>
          <a:noFill/>
        </a:ln>
        <a:effectLst/>
      </c:spPr>
    </c:plotArea>
    <c:legend>
      <c:legendPos val="b"/>
      <c:layout>
        <c:manualLayout>
          <c:xMode val="edge"/>
          <c:yMode val="edge"/>
          <c:x val="1.5846819885521699E-2"/>
          <c:y val="0.93228913340476105"/>
          <c:w val="0.97322602202399999"/>
          <c:h val="3.89131704109339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6"/>
              </a:solidFill>
            </c:spPr>
            <c:extLst>
              <c:ext xmlns:c16="http://schemas.microsoft.com/office/drawing/2014/chart" uri="{C3380CC4-5D6E-409C-BE32-E72D297353CC}">
                <c16:uniqueId val="{00000001-5F77-D843-8FB3-AF289E3A1FA6}"/>
              </c:ext>
            </c:extLst>
          </c:dPt>
          <c:dPt>
            <c:idx val="1"/>
            <c:invertIfNegative val="0"/>
            <c:bubble3D val="0"/>
            <c:spPr>
              <a:solidFill>
                <a:schemeClr val="accent5"/>
              </a:solidFill>
            </c:spPr>
            <c:extLst>
              <c:ext xmlns:c16="http://schemas.microsoft.com/office/drawing/2014/chart" uri="{C3380CC4-5D6E-409C-BE32-E72D297353CC}">
                <c16:uniqueId val="{00000003-5F77-D843-8FB3-AF289E3A1FA6}"/>
              </c:ext>
            </c:extLst>
          </c:dPt>
          <c:dPt>
            <c:idx val="2"/>
            <c:invertIfNegative val="0"/>
            <c:bubble3D val="0"/>
            <c:spPr>
              <a:solidFill>
                <a:schemeClr val="accent4"/>
              </a:solidFill>
            </c:spPr>
            <c:extLst>
              <c:ext xmlns:c16="http://schemas.microsoft.com/office/drawing/2014/chart" uri="{C3380CC4-5D6E-409C-BE32-E72D297353CC}">
                <c16:uniqueId val="{00000005-5F77-D843-8FB3-AF289E3A1FA6}"/>
              </c:ext>
            </c:extLst>
          </c:dPt>
          <c:dPt>
            <c:idx val="3"/>
            <c:invertIfNegative val="0"/>
            <c:bubble3D val="0"/>
            <c:spPr>
              <a:solidFill>
                <a:schemeClr val="accent3"/>
              </a:solidFill>
            </c:spPr>
            <c:extLst>
              <c:ext xmlns:c16="http://schemas.microsoft.com/office/drawing/2014/chart" uri="{C3380CC4-5D6E-409C-BE32-E72D297353CC}">
                <c16:uniqueId val="{00000007-5F77-D843-8FB3-AF289E3A1FA6}"/>
              </c:ext>
            </c:extLst>
          </c:dPt>
          <c:dPt>
            <c:idx val="4"/>
            <c:invertIfNegative val="0"/>
            <c:bubble3D val="0"/>
            <c:spPr>
              <a:solidFill>
                <a:schemeClr val="accent1"/>
              </a:solidFill>
            </c:spPr>
            <c:extLst>
              <c:ext xmlns:c16="http://schemas.microsoft.com/office/drawing/2014/chart" uri="{C3380CC4-5D6E-409C-BE32-E72D297353CC}">
                <c16:uniqueId val="{00000009-5F77-D843-8FB3-AF289E3A1FA6}"/>
              </c:ext>
            </c:extLst>
          </c:dPt>
          <c:dPt>
            <c:idx val="5"/>
            <c:invertIfNegative val="0"/>
            <c:bubble3D val="0"/>
            <c:spPr>
              <a:solidFill>
                <a:schemeClr val="tx2"/>
              </a:solidFill>
            </c:spPr>
            <c:extLst>
              <c:ext xmlns:c16="http://schemas.microsoft.com/office/drawing/2014/chart" uri="{C3380CC4-5D6E-409C-BE32-E72D297353CC}">
                <c16:uniqueId val="{0000000B-5F77-D843-8FB3-AF289E3A1FA6}"/>
              </c:ext>
            </c:extLst>
          </c:dPt>
          <c:dPt>
            <c:idx val="6"/>
            <c:invertIfNegative val="0"/>
            <c:bubble3D val="0"/>
            <c:spPr>
              <a:solidFill>
                <a:srgbClr val="FFFF00"/>
              </a:solidFill>
            </c:spPr>
            <c:extLst>
              <c:ext xmlns:c16="http://schemas.microsoft.com/office/drawing/2014/chart" uri="{C3380CC4-5D6E-409C-BE32-E72D297353CC}">
                <c16:uniqueId val="{0000000D-5F77-D843-8FB3-AF289E3A1FA6}"/>
              </c:ext>
            </c:extLst>
          </c:dPt>
          <c:dPt>
            <c:idx val="7"/>
            <c:invertIfNegative val="0"/>
            <c:bubble3D val="0"/>
            <c:spPr>
              <a:solidFill>
                <a:srgbClr val="FF0000"/>
              </a:solidFill>
            </c:spPr>
            <c:extLst>
              <c:ext xmlns:c16="http://schemas.microsoft.com/office/drawing/2014/chart" uri="{C3380CC4-5D6E-409C-BE32-E72D297353CC}">
                <c16:uniqueId val="{0000000F-5F77-D843-8FB3-AF289E3A1FA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P8.1!$D$2:$D$9</c:f>
              <c:numCache>
                <c:formatCode>0.0%</c:formatCode>
                <c:ptCount val="8"/>
                <c:pt idx="0">
                  <c:v>0.19652280353186</c:v>
                </c:pt>
                <c:pt idx="1">
                  <c:v>0.330253882928013</c:v>
                </c:pt>
                <c:pt idx="2">
                  <c:v>0.32417656612124901</c:v>
                </c:pt>
                <c:pt idx="3">
                  <c:v>0.101013816026244</c:v>
                </c:pt>
                <c:pt idx="4">
                  <c:v>3.9047104327652099E-2</c:v>
                </c:pt>
                <c:pt idx="5">
                  <c:v>5.2490863325471296E-3</c:v>
                </c:pt>
                <c:pt idx="6">
                  <c:v>8.81337045569757E-4</c:v>
                </c:pt>
                <c:pt idx="7">
                  <c:v>2.85540368686569E-3</c:v>
                </c:pt>
              </c:numCache>
            </c:numRef>
          </c:val>
          <c:extLst>
            <c:ext xmlns:c15="http://schemas.microsoft.com/office/drawing/2012/chart" uri="{02D57815-91ED-43cb-92C2-25804820EDAC}">
              <c15:filteredSeriesTitle>
                <c15:tx>
                  <c:strRef>
                    <c:extLst>
                      <c:ext uri="{02D57815-91ED-43cb-92C2-25804820EDAC}">
                        <c15:formulaRef>
                          <c15:sqref>P8.1!$D$1</c15:sqref>
                        </c15:formulaRef>
                      </c:ext>
                    </c:extLst>
                    <c:strCache>
                      <c:ptCount val="1"/>
                      <c:pt idx="0">
                        <c:v>% de Familias</c:v>
                      </c:pt>
                    </c:strCache>
                  </c:strRef>
                </c15:tx>
              </c15:filteredSeriesTitle>
            </c:ext>
            <c:ext xmlns:c16="http://schemas.microsoft.com/office/drawing/2014/chart" uri="{C3380CC4-5D6E-409C-BE32-E72D297353CC}">
              <c16:uniqueId val="{00000010-5F77-D843-8FB3-AF289E3A1FA6}"/>
            </c:ext>
          </c:extLst>
        </c:ser>
        <c:dLbls>
          <c:showLegendKey val="0"/>
          <c:showVal val="0"/>
          <c:showCatName val="0"/>
          <c:showSerName val="0"/>
          <c:showPercent val="0"/>
          <c:showBubbleSize val="0"/>
        </c:dLbls>
        <c:gapWidth val="150"/>
        <c:axId val="422566912"/>
        <c:axId val="422564952"/>
      </c:barChart>
      <c:catAx>
        <c:axId val="422566912"/>
        <c:scaling>
          <c:orientation val="minMax"/>
        </c:scaling>
        <c:delete val="0"/>
        <c:axPos val="b"/>
        <c:majorTickMark val="out"/>
        <c:minorTickMark val="none"/>
        <c:tickLblPos val="nextTo"/>
        <c:crossAx val="422564952"/>
        <c:crosses val="autoZero"/>
        <c:auto val="1"/>
        <c:lblAlgn val="ctr"/>
        <c:lblOffset val="100"/>
        <c:noMultiLvlLbl val="0"/>
      </c:catAx>
      <c:valAx>
        <c:axId val="422564952"/>
        <c:scaling>
          <c:orientation val="minMax"/>
        </c:scaling>
        <c:delete val="1"/>
        <c:axPos val="l"/>
        <c:numFmt formatCode="0.0%" sourceLinked="1"/>
        <c:majorTickMark val="out"/>
        <c:minorTickMark val="none"/>
        <c:tickLblPos val="nextTo"/>
        <c:crossAx val="422566912"/>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'Graf Hacinamiento'!$C$2</c:f>
              <c:strCache>
                <c:ptCount val="1"/>
                <c:pt idx="0">
                  <c:v>No de Familias (%)</c:v>
                </c:pt>
              </c:strCache>
            </c:strRef>
          </c:tx>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extLst>
              <c:ext xmlns:c16="http://schemas.microsoft.com/office/drawing/2014/chart" uri="{C3380CC4-5D6E-409C-BE32-E72D297353CC}">
                <c16:uniqueId val="{00000001-CF4E-154E-B252-76044087A7BB}"/>
              </c:ext>
            </c:extLst>
          </c:dPt>
          <c:dPt>
            <c:idx val="1"/>
            <c:invertIfNegative val="0"/>
            <c:bubble3D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0" scaled="1"/>
                <a:tileRect/>
              </a:gradFill>
            </c:spPr>
            <c:extLst>
              <c:ext xmlns:c16="http://schemas.microsoft.com/office/drawing/2014/chart" uri="{C3380CC4-5D6E-409C-BE32-E72D297353CC}">
                <c16:uniqueId val="{00000003-CF4E-154E-B252-76044087A7BB}"/>
              </c:ext>
            </c:extLst>
          </c:dPt>
          <c:dPt>
            <c:idx val="2"/>
            <c:invertIfNegative val="0"/>
            <c:bubble3D val="0"/>
            <c:spPr>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0" scaled="1"/>
                <a:tileRect/>
              </a:gradFill>
            </c:spPr>
            <c:extLst>
              <c:ext xmlns:c16="http://schemas.microsoft.com/office/drawing/2014/chart" uri="{C3380CC4-5D6E-409C-BE32-E72D297353CC}">
                <c16:uniqueId val="{00000005-CF4E-154E-B252-76044087A7BB}"/>
              </c:ext>
            </c:extLst>
          </c:dPt>
          <c:dPt>
            <c:idx val="3"/>
            <c:invertIfNegative val="0"/>
            <c:bubble3D val="0"/>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0" scaled="1"/>
                <a:tileRect/>
              </a:gradFill>
            </c:spPr>
            <c:extLst>
              <c:ext xmlns:c16="http://schemas.microsoft.com/office/drawing/2014/chart" uri="{C3380CC4-5D6E-409C-BE32-E72D297353CC}">
                <c16:uniqueId val="{00000007-CF4E-154E-B252-76044087A7B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 Hacinamiento'!$B$3:$B$6</c:f>
              <c:strCache>
                <c:ptCount val="4"/>
                <c:pt idx="0">
                  <c:v>Más cuartos que integrantes</c:v>
                </c:pt>
                <c:pt idx="1">
                  <c:v>Un cuarto por integrante</c:v>
                </c:pt>
                <c:pt idx="2">
                  <c:v>Hasta tres integrantes por cuarto</c:v>
                </c:pt>
                <c:pt idx="3">
                  <c:v>Más de tres integrantes por cuarto</c:v>
                </c:pt>
              </c:strCache>
            </c:strRef>
          </c:cat>
          <c:val>
            <c:numRef>
              <c:f>'Graf Hacinamiento'!$C$3:$C$6</c:f>
              <c:numCache>
                <c:formatCode>0%</c:formatCode>
                <c:ptCount val="4"/>
                <c:pt idx="0">
                  <c:v>0.109278140857665</c:v>
                </c:pt>
                <c:pt idx="1">
                  <c:v>0.19814314522502899</c:v>
                </c:pt>
                <c:pt idx="2">
                  <c:v>0.67112611492877094</c:v>
                </c:pt>
                <c:pt idx="3">
                  <c:v>2.1452598988534698E-2</c:v>
                </c:pt>
              </c:numCache>
            </c:numRef>
          </c:val>
          <c:extLst>
            <c:ext xmlns:c16="http://schemas.microsoft.com/office/drawing/2014/chart" uri="{C3380CC4-5D6E-409C-BE32-E72D297353CC}">
              <c16:uniqueId val="{00000008-CF4E-154E-B252-76044087A7BB}"/>
            </c:ext>
          </c:extLst>
        </c:ser>
        <c:dLbls>
          <c:showLegendKey val="0"/>
          <c:showVal val="0"/>
          <c:showCatName val="0"/>
          <c:showSerName val="0"/>
          <c:showPercent val="0"/>
          <c:showBubbleSize val="0"/>
        </c:dLbls>
        <c:gapWidth val="150"/>
        <c:axId val="422566128"/>
        <c:axId val="422566520"/>
      </c:barChart>
      <c:catAx>
        <c:axId val="422566128"/>
        <c:scaling>
          <c:orientation val="minMax"/>
        </c:scaling>
        <c:delete val="0"/>
        <c:axPos val="l"/>
        <c:numFmt formatCode="General" sourceLinked="0"/>
        <c:majorTickMark val="none"/>
        <c:minorTickMark val="none"/>
        <c:tickLblPos val="nextTo"/>
        <c:crossAx val="422566520"/>
        <c:crosses val="autoZero"/>
        <c:auto val="1"/>
        <c:lblAlgn val="ctr"/>
        <c:lblOffset val="100"/>
        <c:tickLblSkip val="1"/>
        <c:noMultiLvlLbl val="0"/>
      </c:catAx>
      <c:valAx>
        <c:axId val="422566520"/>
        <c:scaling>
          <c:orientation val="minMax"/>
          <c:min val="0"/>
        </c:scaling>
        <c:delete val="1"/>
        <c:axPos val="b"/>
        <c:numFmt formatCode="0%" sourceLinked="1"/>
        <c:majorTickMark val="none"/>
        <c:minorTickMark val="none"/>
        <c:tickLblPos val="nextTo"/>
        <c:crossAx val="422566128"/>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7863885095543898"/>
          <c:y val="3.7807183364839299E-2"/>
          <c:w val="0.61152105064357798"/>
          <c:h val="0.93950850661625696"/>
        </c:manualLayout>
      </c:layout>
      <c:barChart>
        <c:barDir val="bar"/>
        <c:grouping val="clustered"/>
        <c:varyColors val="0"/>
        <c:ser>
          <c:idx val="0"/>
          <c:order val="0"/>
          <c:invertIfNegative val="0"/>
          <c:dPt>
            <c:idx val="0"/>
            <c:invertIfNegative val="0"/>
            <c:bubble3D val="0"/>
            <c:spPr>
              <a:solidFill>
                <a:schemeClr val="tx2"/>
              </a:solidFill>
            </c:spPr>
            <c:extLst>
              <c:ext xmlns:c16="http://schemas.microsoft.com/office/drawing/2014/chart" uri="{C3380CC4-5D6E-409C-BE32-E72D297353CC}">
                <c16:uniqueId val="{00000001-BB98-7A41-8CCD-E64B3563B768}"/>
              </c:ext>
            </c:extLst>
          </c:dPt>
          <c:dPt>
            <c:idx val="1"/>
            <c:invertIfNegative val="0"/>
            <c:bubble3D val="0"/>
            <c:spPr>
              <a:solidFill>
                <a:schemeClr val="accent1"/>
              </a:solidFill>
            </c:spPr>
            <c:extLst>
              <c:ext xmlns:c16="http://schemas.microsoft.com/office/drawing/2014/chart" uri="{C3380CC4-5D6E-409C-BE32-E72D297353CC}">
                <c16:uniqueId val="{00000003-BB98-7A41-8CCD-E64B3563B768}"/>
              </c:ext>
            </c:extLst>
          </c:dPt>
          <c:dPt>
            <c:idx val="2"/>
            <c:invertIfNegative val="0"/>
            <c:bubble3D val="0"/>
            <c:spPr>
              <a:solidFill>
                <a:schemeClr val="accent3"/>
              </a:solidFill>
            </c:spPr>
            <c:extLst>
              <c:ext xmlns:c16="http://schemas.microsoft.com/office/drawing/2014/chart" uri="{C3380CC4-5D6E-409C-BE32-E72D297353CC}">
                <c16:uniqueId val="{00000005-BB98-7A41-8CCD-E64B3563B768}"/>
              </c:ext>
            </c:extLst>
          </c:dPt>
          <c:dPt>
            <c:idx val="3"/>
            <c:invertIfNegative val="0"/>
            <c:bubble3D val="0"/>
            <c:spPr>
              <a:solidFill>
                <a:schemeClr val="accent4"/>
              </a:solidFill>
            </c:spPr>
            <c:extLst>
              <c:ext xmlns:c16="http://schemas.microsoft.com/office/drawing/2014/chart" uri="{C3380CC4-5D6E-409C-BE32-E72D297353CC}">
                <c16:uniqueId val="{00000007-BB98-7A41-8CCD-E64B3563B768}"/>
              </c:ext>
            </c:extLst>
          </c:dPt>
          <c:dPt>
            <c:idx val="4"/>
            <c:invertIfNegative val="0"/>
            <c:bubble3D val="0"/>
            <c:spPr>
              <a:solidFill>
                <a:schemeClr val="accent5"/>
              </a:solidFill>
            </c:spPr>
            <c:extLst>
              <c:ext xmlns:c16="http://schemas.microsoft.com/office/drawing/2014/chart" uri="{C3380CC4-5D6E-409C-BE32-E72D297353CC}">
                <c16:uniqueId val="{00000009-BB98-7A41-8CCD-E64B3563B768}"/>
              </c:ext>
            </c:extLst>
          </c:dPt>
          <c:dPt>
            <c:idx val="5"/>
            <c:invertIfNegative val="0"/>
            <c:bubble3D val="0"/>
            <c:spPr>
              <a:solidFill>
                <a:schemeClr val="accent6"/>
              </a:solidFill>
            </c:spPr>
            <c:extLst>
              <c:ext xmlns:c16="http://schemas.microsoft.com/office/drawing/2014/chart" uri="{C3380CC4-5D6E-409C-BE32-E72D297353CC}">
                <c16:uniqueId val="{0000000B-BB98-7A41-8CCD-E64B3563B76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'P9.1'!$B$2:$B$7</c:f>
              <c:strCache>
                <c:ptCount val="6"/>
                <c:pt idx="0">
                  <c:v>Mayor a 4 SMMLV</c:v>
                </c:pt>
                <c:pt idx="1">
                  <c:v>Entre 3 y 4 SMMLV</c:v>
                </c:pt>
                <c:pt idx="2">
                  <c:v>Entre 2 y 3 SMMLV</c:v>
                </c:pt>
                <c:pt idx="3">
                  <c:v>Entre 1 y 2 SMMLV</c:v>
                </c:pt>
                <c:pt idx="4">
                  <c:v>Igual a 1 SMMLV</c:v>
                </c:pt>
                <c:pt idx="5">
                  <c:v>Menor a 1 SMMLV</c:v>
                </c:pt>
              </c:strCache>
            </c:strRef>
          </c:cat>
          <c:val>
            <c:numRef>
              <c:f>'P9.1'!$D$2:$D$7</c:f>
              <c:numCache>
                <c:formatCode>0.0%</c:formatCode>
                <c:ptCount val="6"/>
                <c:pt idx="0">
                  <c:v>0.13100853069919599</c:v>
                </c:pt>
                <c:pt idx="1">
                  <c:v>0.13257450596811099</c:v>
                </c:pt>
                <c:pt idx="2">
                  <c:v>0.136147737842825</c:v>
                </c:pt>
                <c:pt idx="3">
                  <c:v>0.38532497684758998</c:v>
                </c:pt>
                <c:pt idx="4">
                  <c:v>0.15267812090237501</c:v>
                </c:pt>
                <c:pt idx="5">
                  <c:v>6.2266127739903102E-2</c:v>
                </c:pt>
              </c:numCache>
            </c:numRef>
          </c:val>
          <c:extLst>
            <c:ext xmlns:c16="http://schemas.microsoft.com/office/drawing/2014/chart" uri="{C3380CC4-5D6E-409C-BE32-E72D297353CC}">
              <c16:uniqueId val="{0000000C-BB98-7A41-8CCD-E64B3563B768}"/>
            </c:ext>
          </c:extLst>
        </c:ser>
        <c:dLbls>
          <c:showLegendKey val="0"/>
          <c:showVal val="0"/>
          <c:showCatName val="0"/>
          <c:showSerName val="0"/>
          <c:showPercent val="0"/>
          <c:showBubbleSize val="0"/>
        </c:dLbls>
        <c:gapWidth val="150"/>
        <c:axId val="422567304"/>
        <c:axId val="607295824"/>
      </c:barChart>
      <c:catAx>
        <c:axId val="422567304"/>
        <c:scaling>
          <c:orientation val="minMax"/>
        </c:scaling>
        <c:delete val="0"/>
        <c:axPos val="l"/>
        <c:numFmt formatCode="General" sourceLinked="0"/>
        <c:majorTickMark val="none"/>
        <c:minorTickMark val="none"/>
        <c:tickLblPos val="nextTo"/>
        <c:crossAx val="607295824"/>
        <c:crosses val="autoZero"/>
        <c:auto val="1"/>
        <c:lblAlgn val="ctr"/>
        <c:lblOffset val="100"/>
        <c:noMultiLvlLbl val="0"/>
      </c:catAx>
      <c:valAx>
        <c:axId val="607295824"/>
        <c:scaling>
          <c:orientation val="minMax"/>
        </c:scaling>
        <c:delete val="1"/>
        <c:axPos val="b"/>
        <c:numFmt formatCode="0.0%" sourceLinked="1"/>
        <c:majorTickMark val="none"/>
        <c:minorTickMark val="none"/>
        <c:tickLblPos val="nextTo"/>
        <c:crossAx val="422567304"/>
        <c:crosses val="autoZero"/>
        <c:crossBetween val="between"/>
      </c:valAx>
    </c:plotArea>
    <c:plotVisOnly val="1"/>
    <c:dispBlanksAs val="gap"/>
    <c:showDLblsOverMax val="0"/>
  </c:chart>
  <c:spPr>
    <a:noFill/>
    <a:ln>
      <a:noFill/>
    </a:ln>
  </c:spPr>
  <c:txPr>
    <a:bodyPr/>
    <a:lstStyle/>
    <a:p>
      <a:pPr>
        <a:defRPr sz="800">
          <a:latin typeface="Garamond" panose="02020404030301010803" pitchFamily="18" charset="0"/>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03E59-6FBF-1441-AD5B-5C8FB78A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1806</Words>
  <Characters>9936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encuesta a familias del distrito: Información demográfica.</dc:title>
  <dc:subject>Boletín 1.</dc:subject>
  <dc:creator>Myriam</dc:creator>
  <cp:lastModifiedBy>Juliana Moncada</cp:lastModifiedBy>
  <cp:revision>6</cp:revision>
  <dcterms:created xsi:type="dcterms:W3CDTF">2019-06-25T16:43:00Z</dcterms:created>
  <dcterms:modified xsi:type="dcterms:W3CDTF">2020-07-22T16:06:00Z</dcterms:modified>
</cp:coreProperties>
</file>