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0CF0A" w14:textId="77777777" w:rsidR="002A12E9" w:rsidRDefault="002A12E9" w:rsidP="000D3F90">
      <w:pPr>
        <w:shd w:val="clear" w:color="auto" w:fill="FFFFFF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15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1551"/>
        <w:gridCol w:w="993"/>
        <w:gridCol w:w="850"/>
        <w:gridCol w:w="992"/>
        <w:gridCol w:w="4253"/>
      </w:tblGrid>
      <w:tr w:rsidR="002A12E9" w14:paraId="46CACF66" w14:textId="77777777">
        <w:trPr>
          <w:trHeight w:val="257"/>
        </w:trPr>
        <w:tc>
          <w:tcPr>
            <w:tcW w:w="1520" w:type="dxa"/>
            <w:shd w:val="clear" w:color="auto" w:fill="auto"/>
            <w:vAlign w:val="center"/>
          </w:tcPr>
          <w:p w14:paraId="5F336CC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 DE INICIO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2E0E65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HORA DE FINALIZACIÓN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8F1352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FECHA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88FFC3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LUGAR </w:t>
            </w:r>
          </w:p>
        </w:tc>
      </w:tr>
      <w:tr w:rsidR="002A12E9" w14:paraId="59DC1D5F" w14:textId="77777777">
        <w:trPr>
          <w:trHeight w:val="2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6D834F9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08:00am</w:t>
            </w:r>
          </w:p>
        </w:tc>
        <w:tc>
          <w:tcPr>
            <w:tcW w:w="1551" w:type="dxa"/>
            <w:vMerge w:val="restart"/>
            <w:shd w:val="clear" w:color="auto" w:fill="auto"/>
            <w:vAlign w:val="center"/>
          </w:tcPr>
          <w:p w14:paraId="61918EB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01:00pm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D500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33FC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MES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2BA7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7EB7524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Fundación universitaria los Libertadores Carrera 16 # 63a -68</w:t>
            </w:r>
          </w:p>
        </w:tc>
      </w:tr>
      <w:tr w:rsidR="002A12E9" w14:paraId="7767785C" w14:textId="77777777">
        <w:trPr>
          <w:trHeight w:val="270"/>
        </w:trPr>
        <w:tc>
          <w:tcPr>
            <w:tcW w:w="1520" w:type="dxa"/>
            <w:vMerge/>
            <w:shd w:val="clear" w:color="auto" w:fill="auto"/>
            <w:vAlign w:val="center"/>
          </w:tcPr>
          <w:p w14:paraId="6C5FAC89" w14:textId="77777777" w:rsidR="002A12E9" w:rsidRDefault="002A12E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shd w:val="clear" w:color="auto" w:fill="auto"/>
            <w:vAlign w:val="center"/>
          </w:tcPr>
          <w:p w14:paraId="2D6AFA9B" w14:textId="77777777" w:rsidR="002A12E9" w:rsidRDefault="002A12E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1CE97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22</w:t>
            </w:r>
          </w:p>
          <w:p w14:paraId="7C348BC8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E3820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0F31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 2022</w:t>
            </w:r>
          </w:p>
        </w:tc>
        <w:tc>
          <w:tcPr>
            <w:tcW w:w="4253" w:type="dxa"/>
            <w:vMerge/>
            <w:shd w:val="clear" w:color="auto" w:fill="auto"/>
          </w:tcPr>
          <w:p w14:paraId="7C7A359B" w14:textId="77777777" w:rsidR="002A12E9" w:rsidRDefault="002A12E9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78167C4" w14:textId="77777777" w:rsidR="002A12E9" w:rsidRDefault="002A12E9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064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2976"/>
        <w:gridCol w:w="7088"/>
      </w:tblGrid>
      <w:tr w:rsidR="002A12E9" w14:paraId="460DAEC8" w14:textId="77777777">
        <w:trPr>
          <w:trHeight w:val="928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BE4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TEMA: 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E1E67" w14:textId="1EB7B695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Encuentro con organizaciones sociales</w:t>
            </w:r>
            <w:r w:rsidR="00952DA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LGBTIQ+</w:t>
            </w:r>
          </w:p>
          <w:p w14:paraId="13913E3F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A12E9" w14:paraId="6AC7B361" w14:textId="77777777">
        <w:trPr>
          <w:trHeight w:val="983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1BD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OBJETIVO DE LA REUNIÓN: </w:t>
            </w:r>
          </w:p>
        </w:tc>
        <w:tc>
          <w:tcPr>
            <w:tcW w:w="7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36071" w14:textId="2628C001" w:rsidR="002A12E9" w:rsidRDefault="00763395" w:rsidP="003F31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Informar </w:t>
            </w:r>
            <w:r w:rsidR="003F3139">
              <w:rPr>
                <w:rFonts w:ascii="Arial" w:eastAsia="Arial" w:hAnsi="Arial" w:cs="Arial"/>
                <w:color w:val="000000"/>
                <w:sz w:val="20"/>
                <w:szCs w:val="20"/>
              </w:rPr>
              <w:t>y recibir retroalimentación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las o</w:t>
            </w:r>
            <w:r w:rsidR="003F3139">
              <w:rPr>
                <w:rFonts w:ascii="Arial" w:eastAsia="Arial" w:hAnsi="Arial" w:cs="Arial"/>
                <w:color w:val="000000"/>
                <w:sz w:val="20"/>
                <w:szCs w:val="20"/>
              </w:rPr>
              <w:t>rganizaciones sociales LGBTI la implementación de la estrategia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F313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“ambientes laborales inclusivos –ALI-,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para lograr mayor interlocución y apropiación de la PPLGBTI.  </w:t>
            </w:r>
          </w:p>
        </w:tc>
      </w:tr>
    </w:tbl>
    <w:p w14:paraId="0A397266" w14:textId="77777777" w:rsidR="002A12E9" w:rsidRDefault="002A12E9">
      <w:pPr>
        <w:shd w:val="clear" w:color="auto" w:fill="FFFFFF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064" w:type="dxa"/>
        <w:tblInd w:w="421" w:type="dxa"/>
        <w:tblLayout w:type="fixed"/>
        <w:tblLook w:val="0400" w:firstRow="0" w:lastRow="0" w:firstColumn="0" w:lastColumn="0" w:noHBand="0" w:noVBand="1"/>
      </w:tblPr>
      <w:tblGrid>
        <w:gridCol w:w="2976"/>
        <w:gridCol w:w="1336"/>
        <w:gridCol w:w="5752"/>
      </w:tblGrid>
      <w:tr w:rsidR="002A12E9" w14:paraId="19B3442F" w14:textId="77777777">
        <w:trPr>
          <w:trHeight w:val="320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64B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PARTICIPANTES </w:t>
            </w:r>
          </w:p>
        </w:tc>
      </w:tr>
      <w:tr w:rsidR="002A12E9" w14:paraId="1D9A8AE0" w14:textId="77777777">
        <w:trPr>
          <w:trHeight w:val="290"/>
        </w:trPr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884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NÚMERO DE PARTICIPANTES </w:t>
            </w:r>
          </w:p>
        </w:tc>
        <w:tc>
          <w:tcPr>
            <w:tcW w:w="5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F76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 ANEXA LISTADO DE ASISTENCIA</w:t>
            </w:r>
          </w:p>
        </w:tc>
      </w:tr>
      <w:tr w:rsidR="002A12E9" w14:paraId="120674D0" w14:textId="77777777">
        <w:trPr>
          <w:trHeight w:val="476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E7B2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SERVIDORES PÚBLICOS SDP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7D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25868" w14:textId="77777777" w:rsidR="002A12E9" w:rsidRDefault="002A12E9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A12E9" w14:paraId="2533F174" w14:textId="77777777">
        <w:trPr>
          <w:trHeight w:val="554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F9A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ASISTENTES NO SDP </w:t>
            </w:r>
          </w:p>
        </w:tc>
        <w:tc>
          <w:tcPr>
            <w:tcW w:w="1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187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5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9D64" w14:textId="77777777" w:rsidR="002A12E9" w:rsidRDefault="002A12E9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C2A6BD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99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1"/>
      </w:tblGrid>
      <w:tr w:rsidR="002A12E9" w14:paraId="2FB7A0EB" w14:textId="77777777" w:rsidTr="00184DA9">
        <w:trPr>
          <w:trHeight w:val="549"/>
        </w:trPr>
        <w:tc>
          <w:tcPr>
            <w:tcW w:w="9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371F5" w14:textId="77777777" w:rsidR="002A12E9" w:rsidRDefault="0076339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ORDEN DEL DÍA </w:t>
            </w:r>
          </w:p>
        </w:tc>
      </w:tr>
      <w:tr w:rsidR="002A12E9" w14:paraId="6C80922C" w14:textId="77777777" w:rsidTr="00184DA9">
        <w:trPr>
          <w:trHeight w:val="383"/>
        </w:trPr>
        <w:tc>
          <w:tcPr>
            <w:tcW w:w="9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513D7" w14:textId="77777777" w:rsidR="002A12E9" w:rsidRDefault="002A12E9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209C09" w14:textId="443EF264" w:rsidR="00952DA7" w:rsidRDefault="00763395" w:rsidP="00952DA7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 w:rsidRPr="00952DA7">
              <w:rPr>
                <w:rFonts w:ascii="Arial" w:eastAsia="Arial" w:hAnsi="Arial" w:cs="Arial"/>
                <w:color w:val="000000"/>
                <w:sz w:val="20"/>
                <w:szCs w:val="20"/>
              </w:rPr>
              <w:t>Metodología Café del Mundo – Espacio grupal</w:t>
            </w:r>
            <w:r w:rsidR="00952DA7" w:rsidRPr="00952DA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</w:t>
            </w:r>
            <w:r w:rsidR="00952DA7" w:rsidRPr="00952DA7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Estrategia de ambientes laborales inclusivos </w:t>
            </w:r>
            <w:r w:rsidR="001E75A4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>–</w:t>
            </w:r>
            <w:r w:rsidR="00952DA7" w:rsidRPr="00952DA7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 ALI</w:t>
            </w:r>
          </w:p>
          <w:p w14:paraId="159E394E" w14:textId="4EE53C21" w:rsidR="001E75A4" w:rsidRDefault="001E75A4" w:rsidP="001E75A4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>Presentación del equipo de trabajo SDP</w:t>
            </w:r>
          </w:p>
          <w:p w14:paraId="0B2D096A" w14:textId="0E4968D5" w:rsidR="001E75A4" w:rsidRDefault="001E75A4" w:rsidP="001E75A4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Instalación de la mesa </w:t>
            </w:r>
          </w:p>
          <w:p w14:paraId="31475F96" w14:textId="15B56144" w:rsidR="001E75A4" w:rsidRDefault="001E75A4" w:rsidP="001E75A4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Socialización de estrategia ALI </w:t>
            </w:r>
          </w:p>
          <w:p w14:paraId="6A6125AC" w14:textId="6DFFE9AC" w:rsidR="001E75A4" w:rsidRPr="001E75A4" w:rsidRDefault="000719D1" w:rsidP="001E75A4">
            <w:pPr>
              <w:numPr>
                <w:ilvl w:val="0"/>
                <w:numId w:val="4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Inicio de la rotación </w:t>
            </w:r>
          </w:p>
          <w:p w14:paraId="01F6E8FD" w14:textId="548D5E66" w:rsidR="002A12E9" w:rsidRDefault="002A12E9" w:rsidP="00952DA7">
            <w:pPr>
              <w:ind w:left="10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E6B52B5" w14:textId="0650D9ED" w:rsidR="000719D1" w:rsidRDefault="000719D1" w:rsidP="00952DA7">
            <w:pPr>
              <w:ind w:left="108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C50959" w14:textId="54D26E07" w:rsidR="000719D1" w:rsidRDefault="000719D1" w:rsidP="000719D1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0719D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Funcionarios participantes en el salón – ALI </w:t>
            </w:r>
          </w:p>
          <w:p w14:paraId="27D3D3FE" w14:textId="77777777" w:rsidR="000719D1" w:rsidRPr="000719D1" w:rsidRDefault="000719D1" w:rsidP="000719D1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BAFC79" w14:textId="77777777" w:rsidR="000719D1" w:rsidRPr="000719D1" w:rsidRDefault="000719D1" w:rsidP="000719D1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 w:rsidRPr="000719D1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Mariana Duque – Dirección de Diversidad Sexual </w:t>
            </w:r>
          </w:p>
          <w:p w14:paraId="717462EE" w14:textId="77777777" w:rsidR="000719D1" w:rsidRPr="000719D1" w:rsidRDefault="000719D1" w:rsidP="000719D1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 w:rsidRPr="000719D1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Julieth Suarez – líder de Tunjuelito </w:t>
            </w:r>
          </w:p>
          <w:p w14:paraId="19042E6A" w14:textId="77777777" w:rsidR="000719D1" w:rsidRPr="000719D1" w:rsidRDefault="000719D1" w:rsidP="000719D1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proofErr w:type="spellStart"/>
            <w:r w:rsidRPr="000719D1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>Yeimy</w:t>
            </w:r>
            <w:proofErr w:type="spellEnd"/>
            <w:r w:rsidRPr="000719D1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 Molla – Dirección de Diversidad Sexual</w:t>
            </w:r>
          </w:p>
          <w:p w14:paraId="507545FD" w14:textId="77777777" w:rsidR="000719D1" w:rsidRPr="000719D1" w:rsidRDefault="000719D1" w:rsidP="000719D1">
            <w:pPr>
              <w:pStyle w:val="Prrafodelista"/>
              <w:numPr>
                <w:ilvl w:val="0"/>
                <w:numId w:val="9"/>
              </w:numPr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</w:pPr>
            <w:r w:rsidRPr="000719D1">
              <w:rPr>
                <w:rFonts w:ascii="Arial" w:eastAsia="Arial" w:hAnsi="Arial" w:cs="Arial"/>
                <w:color w:val="000000"/>
                <w:sz w:val="20"/>
                <w:szCs w:val="20"/>
                <w:lang w:val="es-ES_tradnl"/>
              </w:rPr>
              <w:t xml:space="preserve">Andrés Garzón – Dirección de Participación </w:t>
            </w:r>
          </w:p>
          <w:p w14:paraId="73059D8E" w14:textId="77777777" w:rsidR="000719D1" w:rsidRDefault="000719D1" w:rsidP="000719D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854E921" w14:textId="77777777" w:rsidR="002A12E9" w:rsidRDefault="002A12E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B748438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06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2A12E9" w14:paraId="23F2C02B" w14:textId="77777777">
        <w:trPr>
          <w:trHeight w:val="388"/>
          <w:tblHeader/>
        </w:trPr>
        <w:tc>
          <w:tcPr>
            <w:tcW w:w="1006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31355" w14:textId="77777777" w:rsidR="004D2E8C" w:rsidRDefault="004D2E8C" w:rsidP="00EE31A8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F39FCC2" w14:textId="1845151C" w:rsidR="002A12E9" w:rsidRDefault="00763395" w:rsidP="004D2E8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DESARROLLO DE LA REUNIÓN</w:t>
            </w:r>
          </w:p>
          <w:p w14:paraId="2D47A332" w14:textId="304C8EB4" w:rsidR="000719D1" w:rsidRDefault="000719D1" w:rsidP="004D2E8C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3103AF3" w14:textId="456D93DD" w:rsidR="000719D1" w:rsidRPr="000719D1" w:rsidRDefault="000719D1" w:rsidP="000719D1">
            <w:p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La Secretaría Distrital de Planeación a través de la Dirección de Diversidad Sexual, en el marco de la ejecución del Plan de Acción de la Política Pública LGBTI 2021 - 2032, ha dispuesto la encuesta de Ambientes Laborales Inclusivos - ALI, un instrumento virtual dirigido a los servidores y servidoras de la Administración Distrital en todos los niveles y modalidades de vinculación.</w:t>
            </w:r>
          </w:p>
          <w:p w14:paraId="17CE59CF" w14:textId="77777777" w:rsidR="000719D1" w:rsidRPr="000719D1" w:rsidRDefault="000719D1" w:rsidP="000719D1">
            <w:pPr>
              <w:jc w:val="both"/>
              <w:rPr>
                <w:lang w:val="es-ES_tradnl"/>
              </w:rPr>
            </w:pPr>
          </w:p>
          <w:p w14:paraId="30B26D6C" w14:textId="6258097A" w:rsidR="000719D1" w:rsidRPr="000719D1" w:rsidRDefault="000719D1" w:rsidP="000719D1">
            <w:p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La Encuesta de Ambientes Laborales Inclusivos - ALI se viene aplicando de manera periódica en las entidades distritales con participación de servidores y servidoras de todos los niveles y modalidades de vinculación.</w:t>
            </w:r>
          </w:p>
          <w:p w14:paraId="66707EC2" w14:textId="77777777" w:rsidR="000719D1" w:rsidRPr="000719D1" w:rsidRDefault="000719D1" w:rsidP="000719D1">
            <w:pPr>
              <w:jc w:val="both"/>
              <w:rPr>
                <w:lang w:val="es-ES_tradnl"/>
              </w:rPr>
            </w:pPr>
          </w:p>
          <w:p w14:paraId="481C865A" w14:textId="04BBD8D5" w:rsidR="000719D1" w:rsidRPr="000719D1" w:rsidRDefault="000719D1" w:rsidP="000719D1">
            <w:p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Con este cuestionario se busca conocer la percepción de los colaboradores distritales frente a situaciones de discriminación en el ambiente laboral para las personas de los sectores LGBTI.</w:t>
            </w:r>
          </w:p>
          <w:p w14:paraId="357A1CA0" w14:textId="77777777" w:rsidR="000719D1" w:rsidRPr="000719D1" w:rsidRDefault="000719D1" w:rsidP="000719D1">
            <w:pPr>
              <w:jc w:val="both"/>
              <w:rPr>
                <w:lang w:val="es-ES_tradnl"/>
              </w:rPr>
            </w:pPr>
          </w:p>
          <w:p w14:paraId="095AF46E" w14:textId="77777777" w:rsidR="000719D1" w:rsidRPr="000719D1" w:rsidRDefault="000719D1" w:rsidP="000719D1">
            <w:pPr>
              <w:tabs>
                <w:tab w:val="num" w:pos="720"/>
              </w:tabs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Para el año 2022 se tiene como meta aplicar la encuesta a 9.650 servidores de 54 entidades del Distrito.</w:t>
            </w:r>
          </w:p>
          <w:p w14:paraId="040B6B8E" w14:textId="77777777" w:rsidR="000719D1" w:rsidRPr="000719D1" w:rsidRDefault="000719D1" w:rsidP="000719D1">
            <w:pPr>
              <w:jc w:val="both"/>
              <w:rPr>
                <w:lang w:val="es-ES_tradnl"/>
              </w:rPr>
            </w:pPr>
          </w:p>
          <w:p w14:paraId="39C90206" w14:textId="1345FBB6" w:rsidR="00184DA9" w:rsidRPr="000719D1" w:rsidRDefault="000719D1" w:rsidP="00EE31A8">
            <w:p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El objetivo de esta encuesta es valorar las representaciones sociales de las y los colaboradores de las entidades del Distrito en relación con las personas de los sectores LGBTI y las situaciones de discriminación que se pueden presentar en el ambiente laboral. Con la información recopilada, se podrán establecer estrategias encaminadas a reducir la discriminación, así como desarrollar procesos, procedimientos y manuales dirigidos a las direcciones de talento humano de las distintas entidades.</w:t>
            </w:r>
          </w:p>
          <w:p w14:paraId="7ED62D63" w14:textId="77777777" w:rsidR="000719D1" w:rsidRPr="000719D1" w:rsidRDefault="000719D1" w:rsidP="00EE31A8">
            <w:pPr>
              <w:jc w:val="both"/>
              <w:rPr>
                <w:lang w:val="es-ES_tradnl"/>
              </w:rPr>
            </w:pPr>
          </w:p>
          <w:p w14:paraId="6A75FC92" w14:textId="789BCAB2" w:rsidR="004A27F7" w:rsidRDefault="004A27F7" w:rsidP="00EE31A8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El espacio inicia con la presentación de espacios laborares inclusivos y se explica de manera detallada a los participantes mediante que herramientas se midió la información presentada, es importante destacar que el manejo de encuestas midió el</w:t>
            </w:r>
            <w:r w:rsidR="00952DA7">
              <w:rPr>
                <w:lang w:val="es-ES_tradnl"/>
              </w:rPr>
              <w:t xml:space="preserve"> ambiente laboral</w:t>
            </w:r>
            <w:r>
              <w:rPr>
                <w:lang w:val="es-ES_tradnl"/>
              </w:rPr>
              <w:t xml:space="preserve"> de 70 diferentes Entidades del Distrito, en donde se les pregunto un cuestionario asociado a este tipo de preguntas:</w:t>
            </w:r>
          </w:p>
          <w:p w14:paraId="19B99403" w14:textId="7F700517" w:rsidR="004A27F7" w:rsidRDefault="004A27F7" w:rsidP="00EE31A8">
            <w:pPr>
              <w:jc w:val="both"/>
              <w:rPr>
                <w:lang w:val="es-ES_tradnl"/>
              </w:rPr>
            </w:pPr>
          </w:p>
          <w:p w14:paraId="07803793" w14:textId="56EC7FD8" w:rsidR="004A27F7" w:rsidRDefault="004A27F7" w:rsidP="00EE31A8">
            <w:pPr>
              <w:pStyle w:val="Prrafodelista"/>
              <w:numPr>
                <w:ilvl w:val="1"/>
                <w:numId w:val="4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¿Compartiría usted el baño con una persona transgénero? </w:t>
            </w:r>
          </w:p>
          <w:p w14:paraId="62C2A99E" w14:textId="345994A6" w:rsidR="004A27F7" w:rsidRDefault="004A27F7" w:rsidP="00EE31A8">
            <w:pPr>
              <w:pStyle w:val="Prrafodelista"/>
              <w:numPr>
                <w:ilvl w:val="1"/>
                <w:numId w:val="4"/>
              </w:num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¿Compartiría usted su área de trabajo con una persona con una orientación sexual diversa? </w:t>
            </w:r>
          </w:p>
          <w:p w14:paraId="6BA87CF1" w14:textId="77777777" w:rsidR="004D2E8C" w:rsidRDefault="004D2E8C" w:rsidP="004D2E8C">
            <w:pPr>
              <w:pStyle w:val="Prrafodelista"/>
              <w:ind w:left="1800"/>
              <w:jc w:val="both"/>
              <w:rPr>
                <w:lang w:val="es-ES_tradnl"/>
              </w:rPr>
            </w:pPr>
          </w:p>
          <w:p w14:paraId="427B224D" w14:textId="229904F6" w:rsidR="004A27F7" w:rsidRDefault="004A27F7" w:rsidP="00EE31A8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Entre otras muchas preguntas asociadas a compartir el espacio laboral con personas miembros de los sectores LGBTIQ+</w:t>
            </w:r>
          </w:p>
          <w:p w14:paraId="5D7707CB" w14:textId="77777777" w:rsidR="00952DA7" w:rsidRDefault="00952DA7" w:rsidP="00EE31A8">
            <w:pPr>
              <w:jc w:val="both"/>
              <w:rPr>
                <w:lang w:val="es-ES_tradnl"/>
              </w:rPr>
            </w:pPr>
          </w:p>
          <w:p w14:paraId="5305957F" w14:textId="2EAACA7E" w:rsidR="000719D1" w:rsidRDefault="004D2E8C" w:rsidP="00EE31A8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La estrategia ALI</w:t>
            </w:r>
            <w:r w:rsidR="00074324">
              <w:rPr>
                <w:lang w:val="es-ES_tradnl"/>
              </w:rPr>
              <w:t>, busca promover</w:t>
            </w:r>
            <w:r w:rsidR="00952DA7">
              <w:rPr>
                <w:lang w:val="es-ES_tradnl"/>
              </w:rPr>
              <w:t xml:space="preserve"> la inclusión de personas</w:t>
            </w:r>
            <w:r w:rsidR="00074324">
              <w:rPr>
                <w:lang w:val="es-ES_tradnl"/>
              </w:rPr>
              <w:t xml:space="preserve"> diversas</w:t>
            </w:r>
            <w:r w:rsidR="00952DA7">
              <w:rPr>
                <w:lang w:val="es-ES_tradnl"/>
              </w:rPr>
              <w:t xml:space="preserve"> en el distrito</w:t>
            </w:r>
            <w:r w:rsidR="00C507BB">
              <w:rPr>
                <w:lang w:val="es-ES_tradnl"/>
              </w:rPr>
              <w:t>, mediante</w:t>
            </w:r>
            <w:r>
              <w:rPr>
                <w:lang w:val="es-ES_tradnl"/>
              </w:rPr>
              <w:t xml:space="preserve"> </w:t>
            </w:r>
            <w:r w:rsidR="00952DA7">
              <w:rPr>
                <w:lang w:val="es-ES_tradnl"/>
              </w:rPr>
              <w:t>19 planes de trabajo incluyentes</w:t>
            </w:r>
            <w:r w:rsidR="00C507BB">
              <w:rPr>
                <w:lang w:val="es-ES_tradnl"/>
              </w:rPr>
              <w:t xml:space="preserve"> que buscan presentar a los diferentes sectores, público y privado como podrían incluir dentro de sus </w:t>
            </w:r>
            <w:r w:rsidR="002B17E5">
              <w:rPr>
                <w:lang w:val="es-ES_tradnl"/>
              </w:rPr>
              <w:t xml:space="preserve">nóminas personas pertenecientes a los sectores LGBTIQ+, es importante resaltar que algunas empresas del sector privado ya adelantan algunos procesos con algunas personas miembros de estos grupos, sin </w:t>
            </w:r>
            <w:r w:rsidR="000719D1">
              <w:rPr>
                <w:lang w:val="es-ES_tradnl"/>
              </w:rPr>
              <w:t>embargo,</w:t>
            </w:r>
            <w:r w:rsidR="006C26E7">
              <w:rPr>
                <w:lang w:val="es-ES_tradnl"/>
              </w:rPr>
              <w:t xml:space="preserve"> los esfuerzos aunados han sido </w:t>
            </w:r>
            <w:r w:rsidR="000719D1">
              <w:rPr>
                <w:lang w:val="es-ES_tradnl"/>
              </w:rPr>
              <w:t xml:space="preserve">insuficientes. </w:t>
            </w:r>
          </w:p>
          <w:p w14:paraId="6926FE24" w14:textId="17F09807" w:rsidR="000719D1" w:rsidRPr="000719D1" w:rsidRDefault="000719D1" w:rsidP="000719D1">
            <w:pPr>
              <w:jc w:val="center"/>
              <w:rPr>
                <w:b/>
                <w:bCs/>
                <w:lang w:val="es-ES_tradnl"/>
              </w:rPr>
            </w:pPr>
          </w:p>
          <w:p w14:paraId="0404FC12" w14:textId="3747BA4F" w:rsidR="000719D1" w:rsidRPr="000719D1" w:rsidRDefault="000719D1" w:rsidP="000719D1">
            <w:pPr>
              <w:jc w:val="center"/>
              <w:rPr>
                <w:b/>
                <w:bCs/>
                <w:lang w:val="es-ES_tradnl"/>
              </w:rPr>
            </w:pPr>
            <w:r w:rsidRPr="000719D1">
              <w:rPr>
                <w:b/>
                <w:bCs/>
                <w:lang w:val="es-ES_tradnl"/>
              </w:rPr>
              <w:t>Recomendaciones por parte de las personas que intervinieron en el espacio:</w:t>
            </w:r>
          </w:p>
          <w:p w14:paraId="55EA40E2" w14:textId="77777777" w:rsidR="002B17E5" w:rsidRDefault="002B17E5" w:rsidP="00EE31A8">
            <w:pPr>
              <w:jc w:val="both"/>
              <w:rPr>
                <w:lang w:val="es-ES_tradnl"/>
              </w:rPr>
            </w:pPr>
          </w:p>
          <w:p w14:paraId="490B4035" w14:textId="6D18FA35" w:rsidR="00952DA7" w:rsidRDefault="00952DA7" w:rsidP="000719D1">
            <w:pPr>
              <w:pStyle w:val="Prrafodelista"/>
              <w:numPr>
                <w:ilvl w:val="0"/>
                <w:numId w:val="13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Estrategias de acciones para la empleabilidad de personas pertenecientes a las personas LGBTI</w:t>
            </w:r>
          </w:p>
          <w:p w14:paraId="7243B584" w14:textId="77777777" w:rsidR="000719D1" w:rsidRPr="000719D1" w:rsidRDefault="000719D1" w:rsidP="000719D1">
            <w:pPr>
              <w:pStyle w:val="Prrafodelista"/>
              <w:jc w:val="both"/>
              <w:rPr>
                <w:lang w:val="es-ES_tradnl"/>
              </w:rPr>
            </w:pPr>
          </w:p>
          <w:p w14:paraId="4FAB1090" w14:textId="77777777" w:rsidR="00952DA7" w:rsidRPr="000719D1" w:rsidRDefault="00952DA7" w:rsidP="000719D1">
            <w:pPr>
              <w:pStyle w:val="Prrafodelista"/>
              <w:numPr>
                <w:ilvl w:val="0"/>
                <w:numId w:val="13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Generación de guía de empleabilidad de personas de los sectores LGBTI directiva 005 de 2021</w:t>
            </w:r>
          </w:p>
          <w:p w14:paraId="70A73FF2" w14:textId="77777777" w:rsidR="00952DA7" w:rsidRDefault="00952DA7" w:rsidP="00EE31A8">
            <w:pPr>
              <w:jc w:val="both"/>
              <w:rPr>
                <w:lang w:val="es-ES_tradnl"/>
              </w:rPr>
            </w:pPr>
          </w:p>
          <w:p w14:paraId="5B2E0768" w14:textId="77777777" w:rsidR="004A27F7" w:rsidRPr="000719D1" w:rsidRDefault="004A27F7" w:rsidP="000719D1">
            <w:pPr>
              <w:pStyle w:val="Prrafodelista"/>
              <w:numPr>
                <w:ilvl w:val="0"/>
                <w:numId w:val="13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Acciones de fomento al empleo </w:t>
            </w:r>
          </w:p>
          <w:p w14:paraId="0FDF099C" w14:textId="77777777" w:rsidR="004A27F7" w:rsidRDefault="004A27F7" w:rsidP="00EE31A8">
            <w:pPr>
              <w:jc w:val="both"/>
              <w:rPr>
                <w:lang w:val="es-ES_tradnl"/>
              </w:rPr>
            </w:pPr>
          </w:p>
          <w:p w14:paraId="7A805D91" w14:textId="77777777" w:rsidR="004A27F7" w:rsidRPr="000719D1" w:rsidRDefault="004A27F7" w:rsidP="000719D1">
            <w:pPr>
              <w:pStyle w:val="Prrafodelista"/>
              <w:numPr>
                <w:ilvl w:val="0"/>
                <w:numId w:val="13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Programa de empleo incluyente – enfocado en personas trans </w:t>
            </w:r>
          </w:p>
          <w:p w14:paraId="299270D9" w14:textId="77777777" w:rsidR="004A27F7" w:rsidRDefault="004A27F7" w:rsidP="00EE31A8">
            <w:pPr>
              <w:jc w:val="both"/>
              <w:rPr>
                <w:lang w:val="es-ES_tradnl"/>
              </w:rPr>
            </w:pPr>
          </w:p>
          <w:p w14:paraId="72000155" w14:textId="77777777" w:rsidR="004A27F7" w:rsidRPr="000719D1" w:rsidRDefault="004A27F7" w:rsidP="000719D1">
            <w:pPr>
              <w:pStyle w:val="Prrafodelista"/>
              <w:numPr>
                <w:ilvl w:val="0"/>
                <w:numId w:val="13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Investigación con la fundación corona – inclusión de las personas LGBTI </w:t>
            </w:r>
          </w:p>
          <w:p w14:paraId="0540052E" w14:textId="77777777" w:rsidR="004A27F7" w:rsidRDefault="004A27F7" w:rsidP="00EE31A8">
            <w:pPr>
              <w:jc w:val="both"/>
              <w:rPr>
                <w:lang w:val="es-ES_tradnl"/>
              </w:rPr>
            </w:pPr>
          </w:p>
          <w:p w14:paraId="04136D63" w14:textId="77777777" w:rsidR="004A27F7" w:rsidRPr="000719D1" w:rsidRDefault="004A27F7" w:rsidP="000719D1">
            <w:pPr>
              <w:pStyle w:val="Prrafodelista"/>
              <w:numPr>
                <w:ilvl w:val="0"/>
                <w:numId w:val="13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Creación de ruta para la inclusión y acompañamientos a emprendimientos LGBTI </w:t>
            </w:r>
          </w:p>
          <w:p w14:paraId="785820DD" w14:textId="77777777" w:rsidR="004A27F7" w:rsidRDefault="004A27F7" w:rsidP="00EE31A8">
            <w:pPr>
              <w:jc w:val="both"/>
              <w:rPr>
                <w:lang w:val="es-ES_tradnl"/>
              </w:rPr>
            </w:pPr>
          </w:p>
          <w:p w14:paraId="67F1BD70" w14:textId="77777777" w:rsidR="004A27F7" w:rsidRPr="000719D1" w:rsidRDefault="004A27F7" w:rsidP="000719D1">
            <w:pPr>
              <w:pStyle w:val="Prrafodelista"/>
              <w:numPr>
                <w:ilvl w:val="0"/>
                <w:numId w:val="14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lastRenderedPageBreak/>
              <w:t xml:space="preserve">Acompañamiento y sensibilización a las empresas de los sectores públicos y privados para que se reconozcan las personas LGBTI como miembros importantes de las empresas y compañías </w:t>
            </w:r>
          </w:p>
          <w:p w14:paraId="3FFD54F8" w14:textId="77777777" w:rsidR="004A27F7" w:rsidRDefault="004A27F7" w:rsidP="00EE31A8">
            <w:pPr>
              <w:jc w:val="both"/>
              <w:rPr>
                <w:lang w:val="es-ES_tradnl"/>
              </w:rPr>
            </w:pPr>
          </w:p>
          <w:p w14:paraId="74B17B6B" w14:textId="15FB2233" w:rsidR="004A27F7" w:rsidRPr="000719D1" w:rsidRDefault="004A27F7" w:rsidP="000719D1">
            <w:pPr>
              <w:pStyle w:val="Prrafodelista"/>
              <w:numPr>
                <w:ilvl w:val="0"/>
                <w:numId w:val="14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Empleo incluyente porque a la empresa le debe importar la vinculación por un tema de capacidades  </w:t>
            </w:r>
          </w:p>
          <w:p w14:paraId="118ACD68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14F6C4CF" w14:textId="2DB76D72" w:rsidR="00EE31A8" w:rsidRPr="000719D1" w:rsidRDefault="00EE31A8" w:rsidP="000719D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La estrategia busca que los espacios sean sanos y de beneficios para las personas LGBTI, </w:t>
            </w:r>
          </w:p>
          <w:p w14:paraId="59E8EB40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5795DCFA" w14:textId="4CDB3E1F" w:rsidR="00EE31A8" w:rsidRPr="000719D1" w:rsidRDefault="00EE31A8" w:rsidP="000719D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Como poder SER en el ambiente labora</w:t>
            </w:r>
            <w:r w:rsidR="000719D1">
              <w:rPr>
                <w:lang w:val="es-ES_tradnl"/>
              </w:rPr>
              <w:t>l</w:t>
            </w:r>
          </w:p>
          <w:p w14:paraId="2B4B3DC9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008E0F21" w14:textId="77777777" w:rsidR="00EE31A8" w:rsidRPr="000719D1" w:rsidRDefault="00EE31A8" w:rsidP="000719D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Articulación con empresas y con secretaría de desarrollo económico</w:t>
            </w:r>
          </w:p>
          <w:p w14:paraId="64E726EC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12CD25F2" w14:textId="77777777" w:rsidR="00EE31A8" w:rsidRPr="000719D1" w:rsidRDefault="00EE31A8" w:rsidP="000719D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Generación de acciones afirmativas</w:t>
            </w:r>
          </w:p>
          <w:p w14:paraId="63357DAB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1622F146" w14:textId="61887A6B" w:rsidR="00EE31A8" w:rsidRPr="000719D1" w:rsidRDefault="00EE31A8" w:rsidP="000719D1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Proceso histórico que </w:t>
            </w:r>
            <w:r w:rsidR="000719D1" w:rsidRPr="000719D1">
              <w:rPr>
                <w:lang w:val="es-ES_tradnl"/>
              </w:rPr>
              <w:t>va a</w:t>
            </w:r>
            <w:r w:rsidRPr="000719D1">
              <w:rPr>
                <w:lang w:val="es-ES_tradnl"/>
              </w:rPr>
              <w:t xml:space="preserve"> seguir haciendo historia,  </w:t>
            </w:r>
          </w:p>
          <w:p w14:paraId="17E14304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37D4A5E1" w14:textId="04D8809C" w:rsidR="00EE31A8" w:rsidRPr="000719D1" w:rsidRDefault="00EE31A8" w:rsidP="00EE31A8">
            <w:pPr>
              <w:jc w:val="center"/>
              <w:rPr>
                <w:b/>
                <w:bCs/>
                <w:lang w:val="es-ES_tradnl"/>
              </w:rPr>
            </w:pPr>
            <w:r w:rsidRPr="000719D1">
              <w:rPr>
                <w:b/>
                <w:bCs/>
                <w:lang w:val="es-ES_tradnl"/>
              </w:rPr>
              <w:t>Aportes destacados</w:t>
            </w:r>
          </w:p>
          <w:p w14:paraId="73EC6FC4" w14:textId="77777777" w:rsidR="00EE31A8" w:rsidRPr="000719D1" w:rsidRDefault="00EE31A8" w:rsidP="00EE31A8">
            <w:pPr>
              <w:jc w:val="both"/>
              <w:rPr>
                <w:b/>
                <w:bCs/>
                <w:lang w:val="es-ES_tradnl"/>
              </w:rPr>
            </w:pPr>
          </w:p>
          <w:p w14:paraId="5088B9E6" w14:textId="77777777" w:rsidR="00EE31A8" w:rsidRPr="000719D1" w:rsidRDefault="00EE31A8" w:rsidP="00EE31A8">
            <w:pPr>
              <w:jc w:val="both"/>
              <w:rPr>
                <w:b/>
                <w:bCs/>
                <w:lang w:val="es-ES_tradnl"/>
              </w:rPr>
            </w:pPr>
            <w:r w:rsidRPr="000719D1">
              <w:rPr>
                <w:b/>
                <w:bCs/>
                <w:lang w:val="es-ES_tradnl"/>
              </w:rPr>
              <w:t xml:space="preserve">Jorge Mario – ASOCOE </w:t>
            </w:r>
          </w:p>
          <w:p w14:paraId="25B40EAD" w14:textId="4BCD4DAA" w:rsidR="00EE31A8" w:rsidRDefault="00EE31A8" w:rsidP="00EE31A8">
            <w:pPr>
              <w:jc w:val="both"/>
              <w:rPr>
                <w:b/>
                <w:bCs/>
                <w:lang w:val="es-ES_tradnl"/>
              </w:rPr>
            </w:pPr>
            <w:r w:rsidRPr="000719D1">
              <w:rPr>
                <w:b/>
                <w:bCs/>
                <w:lang w:val="es-ES_tradnl"/>
              </w:rPr>
              <w:t>Sector comercial de personas LGBTIQ+</w:t>
            </w:r>
          </w:p>
          <w:p w14:paraId="1E2947BB" w14:textId="77777777" w:rsidR="000719D1" w:rsidRPr="000719D1" w:rsidRDefault="000719D1" w:rsidP="00EE31A8">
            <w:pPr>
              <w:jc w:val="both"/>
              <w:rPr>
                <w:b/>
                <w:bCs/>
                <w:lang w:val="es-ES_tradnl"/>
              </w:rPr>
            </w:pPr>
          </w:p>
          <w:p w14:paraId="33FBA578" w14:textId="3D99935E" w:rsidR="00EE31A8" w:rsidRDefault="00EE31A8" w:rsidP="00EE31A8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Menciona la importancia </w:t>
            </w:r>
            <w:r w:rsidR="004D2E8C">
              <w:rPr>
                <w:lang w:val="es-ES_tradnl"/>
              </w:rPr>
              <w:t>de incluir</w:t>
            </w:r>
            <w:r>
              <w:rPr>
                <w:lang w:val="es-ES_tradnl"/>
              </w:rPr>
              <w:t xml:space="preserve"> en la estrategia a todos los sectores – incluir a personas de todos los grupos etarios – las personas en especial condición de vulnerabilidad – envejecimiento.</w:t>
            </w:r>
          </w:p>
          <w:p w14:paraId="5807B5CC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3AD63EB5" w14:textId="77777777" w:rsidR="00EE31A8" w:rsidRDefault="00EE31A8" w:rsidP="00EE31A8">
            <w:pPr>
              <w:jc w:val="both"/>
              <w:rPr>
                <w:b/>
                <w:bCs/>
                <w:lang w:val="es-ES_tradnl"/>
              </w:rPr>
            </w:pPr>
            <w:r w:rsidRPr="003B1652">
              <w:rPr>
                <w:b/>
                <w:bCs/>
                <w:lang w:val="es-ES_tradnl"/>
              </w:rPr>
              <w:t xml:space="preserve">Diana Cadena </w:t>
            </w:r>
          </w:p>
          <w:p w14:paraId="4830794C" w14:textId="77777777" w:rsidR="00EE31A8" w:rsidRDefault="00EE31A8" w:rsidP="00EE31A8">
            <w:pPr>
              <w:jc w:val="both"/>
              <w:rPr>
                <w:b/>
                <w:bCs/>
                <w:lang w:val="es-ES_tradnl"/>
              </w:rPr>
            </w:pPr>
          </w:p>
          <w:p w14:paraId="06AA46C2" w14:textId="77777777" w:rsidR="00EE31A8" w:rsidRPr="000719D1" w:rsidRDefault="00EE31A8" w:rsidP="000719D1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No se valida la metodología </w:t>
            </w:r>
          </w:p>
          <w:p w14:paraId="4D693467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580C2889" w14:textId="77777777" w:rsidR="00EE31A8" w:rsidRPr="000719D1" w:rsidRDefault="00EE31A8" w:rsidP="000719D1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No ha habido ejercicios focalizados en las localidades </w:t>
            </w:r>
          </w:p>
          <w:p w14:paraId="657BF6CB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5FB7C095" w14:textId="47B761A1" w:rsidR="00EE31A8" w:rsidRPr="000719D1" w:rsidRDefault="00EE31A8" w:rsidP="000719D1">
            <w:pPr>
              <w:pStyle w:val="Prrafodelista"/>
              <w:numPr>
                <w:ilvl w:val="0"/>
                <w:numId w:val="16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No han ha habido articulaciones con el sector privado </w:t>
            </w:r>
          </w:p>
          <w:p w14:paraId="61292737" w14:textId="77777777" w:rsidR="004D2E8C" w:rsidRDefault="004D2E8C" w:rsidP="00EE31A8">
            <w:pPr>
              <w:jc w:val="both"/>
              <w:rPr>
                <w:lang w:val="es-ES_tradnl"/>
              </w:rPr>
            </w:pPr>
          </w:p>
          <w:p w14:paraId="2763F11E" w14:textId="77777777" w:rsidR="00EE31A8" w:rsidRPr="00C84638" w:rsidRDefault="00EE31A8" w:rsidP="00EE31A8">
            <w:pPr>
              <w:jc w:val="both"/>
              <w:rPr>
                <w:b/>
                <w:bCs/>
                <w:lang w:val="es-ES_tradnl"/>
              </w:rPr>
            </w:pPr>
            <w:proofErr w:type="spellStart"/>
            <w:r w:rsidRPr="00C84638">
              <w:rPr>
                <w:b/>
                <w:bCs/>
                <w:lang w:val="es-ES_tradnl"/>
              </w:rPr>
              <w:t>Alois</w:t>
            </w:r>
            <w:proofErr w:type="spellEnd"/>
            <w:r w:rsidRPr="00C84638">
              <w:rPr>
                <w:b/>
                <w:bCs/>
                <w:lang w:val="es-ES_tradnl"/>
              </w:rPr>
              <w:t xml:space="preserve"> Pardo </w:t>
            </w:r>
          </w:p>
          <w:p w14:paraId="4025CF56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058FDC01" w14:textId="77777777" w:rsidR="00EE31A8" w:rsidRPr="000719D1" w:rsidRDefault="00EE31A8" w:rsidP="000719D1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Formalización de unidades productivas </w:t>
            </w:r>
          </w:p>
          <w:p w14:paraId="7AF7C9F5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0F0BB3AB" w14:textId="77777777" w:rsidR="00EE31A8" w:rsidRPr="000719D1" w:rsidRDefault="00EE31A8" w:rsidP="000719D1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>Articulación de con sectores educativos con</w:t>
            </w:r>
          </w:p>
          <w:p w14:paraId="4EF85DBE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29312BD3" w14:textId="77777777" w:rsidR="00EE31A8" w:rsidRPr="000719D1" w:rsidRDefault="00EE31A8" w:rsidP="000719D1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Vejez indigna no hay garantías </w:t>
            </w:r>
          </w:p>
          <w:p w14:paraId="5E6B0369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4A6EB11B" w14:textId="77777777" w:rsidR="00EE31A8" w:rsidRPr="000719D1" w:rsidRDefault="00EE31A8" w:rsidP="00EE31A8">
            <w:pPr>
              <w:jc w:val="both"/>
              <w:rPr>
                <w:b/>
                <w:bCs/>
                <w:lang w:val="es-ES_tradnl"/>
              </w:rPr>
            </w:pPr>
            <w:r w:rsidRPr="000719D1">
              <w:rPr>
                <w:b/>
                <w:bCs/>
                <w:lang w:val="es-ES_tradnl"/>
              </w:rPr>
              <w:t>David Robles</w:t>
            </w:r>
          </w:p>
          <w:p w14:paraId="138D2A1C" w14:textId="77777777" w:rsidR="00EE31A8" w:rsidRDefault="00EE31A8" w:rsidP="00EE31A8">
            <w:pPr>
              <w:jc w:val="both"/>
              <w:rPr>
                <w:lang w:val="es-ES_tradnl"/>
              </w:rPr>
            </w:pPr>
          </w:p>
          <w:p w14:paraId="29952AB9" w14:textId="77777777" w:rsidR="00EE31A8" w:rsidRPr="000719D1" w:rsidRDefault="00EE31A8" w:rsidP="000719D1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es-ES_tradnl"/>
              </w:rPr>
            </w:pPr>
            <w:r w:rsidRPr="000719D1">
              <w:rPr>
                <w:lang w:val="es-ES_tradnl"/>
              </w:rPr>
              <w:t xml:space="preserve">Reconoce que ha habido un avance en los procesos que adelanta la dirección de diversidad sexual </w:t>
            </w:r>
          </w:p>
          <w:p w14:paraId="5994836B" w14:textId="77777777" w:rsidR="00952DA7" w:rsidRDefault="00952DA7" w:rsidP="004D2E8C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00110EA" w14:textId="01BA0D15" w:rsidR="00952DA7" w:rsidRDefault="00952DA7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29BDF33F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p w14:paraId="77297F71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25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25"/>
      </w:tblGrid>
      <w:tr w:rsidR="002A12E9" w14:paraId="56B75CBD" w14:textId="77777777">
        <w:trPr>
          <w:trHeight w:val="262"/>
        </w:trPr>
        <w:tc>
          <w:tcPr>
            <w:tcW w:w="10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AFDCD" w14:textId="77777777" w:rsidR="002A12E9" w:rsidRDefault="0076339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RESUMEN EJECUTIVO DE LA REUNIÓN</w:t>
            </w:r>
          </w:p>
        </w:tc>
      </w:tr>
      <w:tr w:rsidR="002A12E9" w14:paraId="4065EC76" w14:textId="77777777">
        <w:trPr>
          <w:trHeight w:val="262"/>
        </w:trPr>
        <w:tc>
          <w:tcPr>
            <w:tcW w:w="101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6DB280" w14:textId="77777777" w:rsidR="002A12E9" w:rsidRDefault="002A12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695170" w14:textId="3A1916D6" w:rsidR="002A12E9" w:rsidRDefault="00763395" w:rsidP="00623F6C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 realiza el espacio de trabajo en el que se aborda la estrategia de cambio cultural, en donde se realizaron cuatro rotaciones y en cada una de ellas, la moderadora </w:t>
            </w:r>
            <w:r w:rsidR="000719D1">
              <w:rPr>
                <w:rFonts w:ascii="Arial" w:eastAsia="Arial" w:hAnsi="Arial" w:cs="Arial"/>
                <w:color w:val="000000"/>
                <w:sz w:val="20"/>
                <w:szCs w:val="20"/>
              </w:rPr>
              <w:t>Mariana Duque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socializa la estrategia</w:t>
            </w:r>
            <w:r w:rsidR="000719D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ALI,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mencionando el objetivo general, el público al cual se quiere llegar, la ruta de acción, entre otros temas claves. </w:t>
            </w:r>
          </w:p>
        </w:tc>
      </w:tr>
    </w:tbl>
    <w:p w14:paraId="212D3C3E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170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0"/>
      </w:tblGrid>
      <w:tr w:rsidR="002A12E9" w14:paraId="6EC72E8E" w14:textId="77777777">
        <w:trPr>
          <w:trHeight w:val="262"/>
        </w:trPr>
        <w:tc>
          <w:tcPr>
            <w:tcW w:w="101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CDF81" w14:textId="77777777" w:rsidR="002A12E9" w:rsidRDefault="0076339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COMPROMISOS </w:t>
            </w:r>
          </w:p>
        </w:tc>
      </w:tr>
      <w:tr w:rsidR="002A12E9" w14:paraId="100FF928" w14:textId="77777777">
        <w:trPr>
          <w:trHeight w:val="262"/>
        </w:trPr>
        <w:tc>
          <w:tcPr>
            <w:tcW w:w="101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1DD7E" w14:textId="77777777" w:rsidR="002A12E9" w:rsidRDefault="002A12E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1AB17CB" w14:textId="77777777" w:rsidR="002A12E9" w:rsidRDefault="00763395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La Oficina de Participación y Diálogo de Ciudad enviará las relatorías correspondientes a los 4 stands</w:t>
            </w:r>
          </w:p>
          <w:p w14:paraId="7BBCAB99" w14:textId="77777777" w:rsidR="002A12E9" w:rsidRDefault="002A12E9">
            <w:pPr>
              <w:ind w:left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D62EA6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10140" w:type="dxa"/>
        <w:tblInd w:w="391" w:type="dxa"/>
        <w:tblLayout w:type="fixed"/>
        <w:tblLook w:val="0400" w:firstRow="0" w:lastRow="0" w:firstColumn="0" w:lastColumn="0" w:noHBand="0" w:noVBand="1"/>
      </w:tblPr>
      <w:tblGrid>
        <w:gridCol w:w="2580"/>
        <w:gridCol w:w="7560"/>
      </w:tblGrid>
      <w:tr w:rsidR="002A12E9" w14:paraId="42E38352" w14:textId="77777777">
        <w:trPr>
          <w:trHeight w:val="32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7C3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Elaboró: </w:t>
            </w:r>
          </w:p>
        </w:tc>
        <w:tc>
          <w:tcPr>
            <w:tcW w:w="7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D84B" w14:textId="147788D4" w:rsidR="002A12E9" w:rsidRDefault="00E53B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Andrés Garzón Gordillo</w:t>
            </w:r>
          </w:p>
        </w:tc>
      </w:tr>
      <w:tr w:rsidR="002A12E9" w14:paraId="5DBD0732" w14:textId="77777777">
        <w:trPr>
          <w:trHeight w:val="320"/>
        </w:trPr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C4F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Dependencia responsable: 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325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DPCP</w:t>
            </w:r>
          </w:p>
        </w:tc>
      </w:tr>
    </w:tbl>
    <w:p w14:paraId="37C9E4BA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p w14:paraId="57588C0F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p w14:paraId="7B020924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p w14:paraId="1825A749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p w14:paraId="778F6313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p w14:paraId="52D8BBA6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  <w:sectPr w:rsidR="002A12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8720"/>
          <w:pgMar w:top="720" w:right="720" w:bottom="720" w:left="720" w:header="709" w:footer="374" w:gutter="0"/>
          <w:pgNumType w:start="1"/>
          <w:cols w:space="720"/>
        </w:sectPr>
      </w:pPr>
    </w:p>
    <w:p w14:paraId="5FA3B0EF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p w14:paraId="25C7B4AA" w14:textId="77777777" w:rsidR="002A12E9" w:rsidRDefault="002A12E9">
      <w:pPr>
        <w:ind w:left="426"/>
        <w:rPr>
          <w:rFonts w:ascii="Arial" w:eastAsia="Arial" w:hAnsi="Arial" w:cs="Arial"/>
          <w:sz w:val="20"/>
          <w:szCs w:val="20"/>
        </w:rPr>
      </w:pPr>
    </w:p>
    <w:p w14:paraId="31541290" w14:textId="77777777" w:rsidR="002A12E9" w:rsidRDefault="002A12E9">
      <w:pPr>
        <w:ind w:left="426"/>
        <w:rPr>
          <w:rFonts w:ascii="Arial" w:eastAsia="Arial" w:hAnsi="Arial" w:cs="Arial"/>
        </w:rPr>
      </w:pPr>
      <w:bookmarkStart w:id="1" w:name="_GoBack"/>
      <w:bookmarkEnd w:id="1"/>
    </w:p>
    <w:p w14:paraId="0158F5C2" w14:textId="77777777" w:rsidR="002A12E9" w:rsidRDefault="002A12E9">
      <w:pPr>
        <w:ind w:left="426"/>
        <w:rPr>
          <w:rFonts w:ascii="Arial" w:eastAsia="Arial" w:hAnsi="Arial" w:cs="Arial"/>
        </w:rPr>
      </w:pPr>
    </w:p>
    <w:p w14:paraId="4CD8C5FA" w14:textId="77777777" w:rsidR="002A12E9" w:rsidRDefault="002A12E9">
      <w:pPr>
        <w:rPr>
          <w:rFonts w:ascii="Arial" w:eastAsia="Arial" w:hAnsi="Arial" w:cs="Arial"/>
        </w:rPr>
      </w:pPr>
    </w:p>
    <w:p w14:paraId="332FF1FF" w14:textId="77777777" w:rsidR="002A12E9" w:rsidRDefault="002A12E9">
      <w:pPr>
        <w:rPr>
          <w:rFonts w:ascii="Arial" w:eastAsia="Arial" w:hAnsi="Arial" w:cs="Arial"/>
        </w:rPr>
      </w:pPr>
    </w:p>
    <w:tbl>
      <w:tblPr>
        <w:tblStyle w:val="a8"/>
        <w:tblW w:w="169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89"/>
        <w:gridCol w:w="2251"/>
        <w:gridCol w:w="2060"/>
        <w:gridCol w:w="2160"/>
        <w:gridCol w:w="1980"/>
        <w:gridCol w:w="1980"/>
        <w:gridCol w:w="1820"/>
        <w:gridCol w:w="2000"/>
      </w:tblGrid>
      <w:tr w:rsidR="002A12E9" w14:paraId="0D9695D0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915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Santiago Cardona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77F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416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3045954266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9DE3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Informa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8B6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69F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405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Fontibón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283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383B0C07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E046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Diego Vargas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09C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F46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3057681195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37A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C6A0823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E8E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C22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1CE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2E4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5CFC37E3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2A0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Santiago Rodríguez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454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5975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3227468336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459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24E783C9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712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319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557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77D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1ECD9CD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8F5E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Brayan</w:t>
            </w:r>
            <w:proofErr w:type="spellEnd"/>
            <w:r>
              <w:rPr>
                <w:rFonts w:ascii="Arial" w:eastAsia="Arial" w:hAnsi="Arial" w:cs="Arial"/>
              </w:rPr>
              <w:t xml:space="preserve"> Duarte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659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C35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3158402215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179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01AD7857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407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5BD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326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9D8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8897AE5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747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Diana Cadena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22F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877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3204612975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E3D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6CF9E7F3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599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3A6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F92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0DE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BB1D566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5A6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Santiago Zuluaga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695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86A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3214268639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2F1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63BFEDC1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E21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C2E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1DD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5EE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755A31A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870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Juan </w:t>
            </w:r>
            <w:proofErr w:type="spellStart"/>
            <w:r>
              <w:rPr>
                <w:rFonts w:ascii="Arial" w:eastAsia="Arial" w:hAnsi="Arial" w:cs="Arial"/>
              </w:rPr>
              <w:t>Sebastian</w:t>
            </w:r>
            <w:proofErr w:type="spellEnd"/>
            <w:r>
              <w:rPr>
                <w:rFonts w:ascii="Arial" w:eastAsia="Arial" w:hAnsi="Arial" w:cs="Arial"/>
              </w:rPr>
              <w:t xml:space="preserve"> Rey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746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8C1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3108684601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DF9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Informa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752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361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801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08F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4E211247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FF3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Luis Miguel Alemán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30C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0A2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3017471681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5B2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Informa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DC3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AC7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B7C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4A3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D6677FD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FAE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Fabián Tello Torres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F98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D3A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3005651231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AF4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5A54B33A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8FE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E3D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6F3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63D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16383F67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FDE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Ivan</w:t>
            </w:r>
            <w:proofErr w:type="spellEnd"/>
            <w:r>
              <w:rPr>
                <w:rFonts w:ascii="Arial" w:eastAsia="Arial" w:hAnsi="Arial" w:cs="Arial"/>
              </w:rPr>
              <w:t xml:space="preserve"> Cardona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3ED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C4D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320482456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C31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79DF4863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ECC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A75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C4E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A854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5B18145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0BE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Luz </w:t>
            </w:r>
            <w:proofErr w:type="spellStart"/>
            <w:r>
              <w:rPr>
                <w:rFonts w:ascii="Arial" w:eastAsia="Arial" w:hAnsi="Arial" w:cs="Arial"/>
              </w:rPr>
              <w:t>Ayda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Villarosa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E98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55E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3107521874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514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Informa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08F2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7E8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B7F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5E0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1FEB9645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138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Germán </w:t>
            </w:r>
            <w:proofErr w:type="spellStart"/>
            <w:r>
              <w:rPr>
                <w:rFonts w:ascii="Arial" w:eastAsia="Arial" w:hAnsi="Arial" w:cs="Arial"/>
              </w:rPr>
              <w:t>Ramon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E54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OPDC 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DC5D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3204522949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405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032019C8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CEC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2F7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A9A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D4F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439BFA9F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91A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Angelica</w:t>
            </w:r>
            <w:proofErr w:type="spellEnd"/>
            <w:r>
              <w:rPr>
                <w:rFonts w:ascii="Arial" w:eastAsia="Arial" w:hAnsi="Arial" w:cs="Arial"/>
              </w:rPr>
              <w:t xml:space="preserve"> Higuera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BE6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OPDC 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D7A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3133522946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B70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4E2A5832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544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BE0A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AE6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Engativá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6F2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1A68986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878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Fernanda Pineda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BAE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OPDC 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4733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</w:p>
          <w:p w14:paraId="64F93F19" w14:textId="77777777" w:rsidR="002A12E9" w:rsidRDefault="00763395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3115804940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69E8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82CE2A9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2EA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C4E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1AD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Cristóbal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BD5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5354C83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A82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González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DAA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OPDC 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D1E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3202934975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067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39A6110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833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D8F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1D6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Engativá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4B4B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17E2B0C8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FF6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Sergio Montaña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5F22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615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3118607546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E0FA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ABBA40E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88D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C06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371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Mártires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52B8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68FB5AC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B5F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Anthony Contreras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496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1E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3107659568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CE1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51D21CA6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1FEE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806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10D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Tunjuelito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053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5DBCB068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706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Andres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44D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621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No Legible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F2F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077E41B5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6AE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424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8DBF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Usaquén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468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0A5CEDC3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753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Jorge Montaña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033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243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3209966572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8C1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4CB5A2C7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2844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BB4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A06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Mártires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751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1617646B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0A7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Julieth Suarez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1D2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10E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3054008225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3C2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tunjuelitolgbti@gmail.com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494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658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27D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37B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30571C36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220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Andrea Correa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A597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B5F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3144047444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C054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1792E150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8B3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659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3D1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FF6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355FEA72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1EE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Maris Castellanos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80B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EAA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3134521658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42AB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49D86A3A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1DB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FB5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5C5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Antonio Nariño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B1A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13A988D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F9A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Jonathan David Hernandez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0DC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49A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3504734152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D09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BA9A518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4FB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178E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AE3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BF8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199CF710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B326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Leonardo Paredes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DFA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8BB6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3203286757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E91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7C4CF370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190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1FC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DB16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Rafael Uribe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Uribe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4DA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CB0A9B7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D50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Yonny</w:t>
            </w:r>
            <w:proofErr w:type="spellEnd"/>
            <w:r>
              <w:rPr>
                <w:rFonts w:ascii="Arial" w:eastAsia="Arial" w:hAnsi="Arial" w:cs="Arial"/>
              </w:rPr>
              <w:t xml:space="preserve"> Ochoa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AB4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9FFE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3246507732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532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2914AEAD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DC7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B53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061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Engativá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F3D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DEFF77B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C22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July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Rincon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F30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C2E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3005201378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320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4309C230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7E6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DD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5AE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Ciudad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Bolivar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3C4C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4C35CA15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FB9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Valentina Hernandez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4B1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966A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3164106000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C7B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22BEEBFC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EC0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8FD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17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355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BC3625D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570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Paula Andrea Bayona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7C3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Ciudadanía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2D4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  <w:r>
              <w:rPr>
                <w:rFonts w:ascii="Arial" w:eastAsia="Arial" w:hAnsi="Arial" w:cs="Arial"/>
                <w:color w:val="3C4042"/>
              </w:rPr>
              <w:t>3173541966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B56C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paulisbayona4@gmail.com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397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DCF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216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Teusaquillo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A02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E0A68E9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691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Andrea </w:t>
            </w:r>
            <w:proofErr w:type="spellStart"/>
            <w:r>
              <w:rPr>
                <w:rFonts w:ascii="Arial" w:eastAsia="Arial" w:hAnsi="Arial" w:cs="Arial"/>
              </w:rPr>
              <w:t>Mejia</w:t>
            </w:r>
            <w:proofErr w:type="spellEnd"/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995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1784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Arial" w:eastAsia="Arial" w:hAnsi="Arial" w:cs="Arial"/>
                <w:color w:val="3C4042"/>
              </w:rPr>
            </w:pPr>
          </w:p>
          <w:p w14:paraId="41CC0C87" w14:textId="77777777" w:rsidR="002A12E9" w:rsidRDefault="00763395">
            <w:pPr>
              <w:shd w:val="clear" w:color="auto" w:fill="FFFFFF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3202212955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6E4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20D7C44D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8E2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08E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F34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Suba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488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A2C4383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89A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Mariana Duque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07A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DDS-SDP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AE6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3182345656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F26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7006CBC7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8F3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4AC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03B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4EE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44725D27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EBC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Edna Triana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2BE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CA4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3213706994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2C4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62CCB739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E33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A93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B26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534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741AFE3C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67E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Mateo Moreno Acosta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CE6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216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3162475462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2EC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15B26C21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F8E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1B6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E62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Teusaquillo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8A4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74A3A30D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321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Adriana Carrillo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849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150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3132479874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AF2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19D6C183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725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2475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50C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Teusaquillo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2FEB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31A29302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165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Viviana Borja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FCA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3B3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3202764231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441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7D34F148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499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4DF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D42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Soacha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74D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62DF2B8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75F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Laura Mayorga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4E1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752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3507920715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978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4CC237D8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2CB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3AC0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C28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Cristóbal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624C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73D603E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796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Nicole Arguello Arenas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2D5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52A7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3102188962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2B2E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496006A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BAB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36D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0A2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Candelaria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8CE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277592BB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EF74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Yeimy</w:t>
            </w:r>
            <w:proofErr w:type="spellEnd"/>
            <w:r>
              <w:rPr>
                <w:rFonts w:ascii="Arial" w:eastAsia="Arial" w:hAnsi="Arial" w:cs="Arial"/>
              </w:rPr>
              <w:t xml:space="preserve"> Moya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8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Funcionarios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3B7A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3203631779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70CB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7379DB6F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1A4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C1E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7C0A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F64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6B337441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AC58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Shannon Lucia Delgadillo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E13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DDS-SDP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1442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3168836929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DA55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3D74A4C1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4A98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71D3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85DE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Puente Aranda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63C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  <w:tr w:rsidR="002A12E9" w14:paraId="510402A1" w14:textId="77777777">
        <w:trPr>
          <w:trHeight w:val="567"/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D814" w14:textId="0CFB58E5" w:rsidR="002A12E9" w:rsidRDefault="00952D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Andrés Garzón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317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OPDC -SDP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410D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3016445879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9C3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Legible</w:t>
            </w:r>
          </w:p>
          <w:p w14:paraId="2455B3A3" w14:textId="77777777" w:rsidR="002A12E9" w:rsidRDefault="002A12E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3CE6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FE5F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72E9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N.I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F371" w14:textId="77777777" w:rsidR="002A12E9" w:rsidRDefault="0076339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 Aplica</w:t>
            </w:r>
          </w:p>
        </w:tc>
      </w:tr>
    </w:tbl>
    <w:p w14:paraId="21E5BD65" w14:textId="77777777" w:rsidR="002A12E9" w:rsidRDefault="002A12E9">
      <w:pPr>
        <w:rPr>
          <w:rFonts w:ascii="Arial" w:eastAsia="Arial" w:hAnsi="Arial" w:cs="Arial"/>
        </w:rPr>
      </w:pPr>
    </w:p>
    <w:p w14:paraId="059F9C8B" w14:textId="77777777" w:rsidR="002A12E9" w:rsidRDefault="002A12E9">
      <w:pPr>
        <w:rPr>
          <w:rFonts w:ascii="Arial" w:eastAsia="Arial" w:hAnsi="Arial" w:cs="Arial"/>
        </w:rPr>
      </w:pPr>
    </w:p>
    <w:p w14:paraId="57453399" w14:textId="77777777" w:rsidR="002A12E9" w:rsidRDefault="002A12E9">
      <w:pPr>
        <w:rPr>
          <w:rFonts w:ascii="Arial" w:eastAsia="Arial" w:hAnsi="Arial" w:cs="Arial"/>
        </w:rPr>
      </w:pPr>
    </w:p>
    <w:p w14:paraId="14D949C7" w14:textId="77777777" w:rsidR="002A12E9" w:rsidRDefault="002A12E9">
      <w:pPr>
        <w:rPr>
          <w:rFonts w:ascii="Arial" w:eastAsia="Arial" w:hAnsi="Arial" w:cs="Arial"/>
        </w:rPr>
      </w:pPr>
    </w:p>
    <w:p w14:paraId="6EF01EEC" w14:textId="77777777" w:rsidR="002A12E9" w:rsidRDefault="002A12E9">
      <w:pPr>
        <w:rPr>
          <w:rFonts w:ascii="Arial" w:eastAsia="Arial" w:hAnsi="Arial" w:cs="Arial"/>
          <w:sz w:val="20"/>
          <w:szCs w:val="20"/>
        </w:rPr>
      </w:pPr>
    </w:p>
    <w:sectPr w:rsidR="002A12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8720" w:h="12240" w:orient="landscape"/>
      <w:pgMar w:top="720" w:right="720" w:bottom="720" w:left="720" w:header="709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12130" w14:textId="77777777" w:rsidR="00BD4AF1" w:rsidRDefault="00BD4AF1">
      <w:r>
        <w:separator/>
      </w:r>
    </w:p>
  </w:endnote>
  <w:endnote w:type="continuationSeparator" w:id="0">
    <w:p w14:paraId="52826B1A" w14:textId="77777777" w:rsidR="00BD4AF1" w:rsidRDefault="00BD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A538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E4198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C166E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7A8D9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FB4C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EE8B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78EF2" w14:textId="77777777" w:rsidR="00BD4AF1" w:rsidRDefault="00BD4AF1">
      <w:r>
        <w:separator/>
      </w:r>
    </w:p>
  </w:footnote>
  <w:footnote w:type="continuationSeparator" w:id="0">
    <w:p w14:paraId="03587511" w14:textId="77777777" w:rsidR="00BD4AF1" w:rsidRDefault="00BD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AD76B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D00D" w14:textId="77777777" w:rsidR="000D3F90" w:rsidRDefault="000D3F90">
    <w:pPr>
      <w:widowControl w:val="0"/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9"/>
      <w:tblW w:w="10050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276"/>
      <w:gridCol w:w="8774"/>
    </w:tblGrid>
    <w:tr w:rsidR="000D3F90" w14:paraId="0634726A" w14:textId="77777777">
      <w:trPr>
        <w:trHeight w:val="1107"/>
        <w:tblHeader/>
        <w:jc w:val="center"/>
      </w:trPr>
      <w:tc>
        <w:tcPr>
          <w:tcW w:w="1276" w:type="dxa"/>
          <w:vAlign w:val="center"/>
        </w:tcPr>
        <w:p w14:paraId="3F164FAD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  <w:lang w:val="en-US" w:eastAsia="en-US"/>
            </w:rPr>
            <w:drawing>
              <wp:inline distT="0" distB="0" distL="0" distR="0" wp14:anchorId="57D72866" wp14:editId="7435AA4B">
                <wp:extent cx="666750" cy="704850"/>
                <wp:effectExtent l="0" t="0" r="0" b="0"/>
                <wp:docPr id="3" name="image1.jpg" descr="escudo_Gris_SD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_Gris_SD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4" w:type="dxa"/>
          <w:vAlign w:val="center"/>
        </w:tcPr>
        <w:p w14:paraId="55FB683A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b/>
              <w:color w:val="000000"/>
            </w:rPr>
          </w:pPr>
          <w:r>
            <w:rPr>
              <w:rFonts w:eastAsia="Times New Roman"/>
              <w:b/>
              <w:color w:val="000000"/>
            </w:rPr>
            <w:t xml:space="preserve">E-FO-093 ACTA DE REUNIÓN </w:t>
          </w:r>
        </w:p>
        <w:p w14:paraId="28DA64BE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Versión 1 Acta de mejoramiento 49 de </w:t>
          </w:r>
          <w:proofErr w:type="gramStart"/>
          <w:r>
            <w:rPr>
              <w:rFonts w:eastAsia="Times New Roman"/>
              <w:b/>
              <w:color w:val="000000"/>
              <w:sz w:val="16"/>
              <w:szCs w:val="16"/>
            </w:rPr>
            <w:t>Marzo</w:t>
          </w:r>
          <w:proofErr w:type="gramEnd"/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 9 de 2022</w:t>
          </w:r>
          <w:r>
            <w:rPr>
              <w:rFonts w:eastAsia="Times New Roman"/>
              <w:b/>
              <w:color w:val="FF0000"/>
              <w:sz w:val="16"/>
              <w:szCs w:val="16"/>
            </w:rPr>
            <w:t xml:space="preserve"> </w:t>
          </w:r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Proceso E-CA-003 </w:t>
          </w:r>
        </w:p>
        <w:p w14:paraId="5D57A789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DIRECCIÓN DE PARTICIPACIÓN Y COMUNICACIÓN PARA LA PLANEACIÓN </w:t>
          </w:r>
        </w:p>
        <w:p w14:paraId="06C31CCC" w14:textId="77777777" w:rsidR="000D3F90" w:rsidRDefault="000D3F90">
          <w:pPr>
            <w:tabs>
              <w:tab w:val="center" w:pos="4419"/>
              <w:tab w:val="right" w:pos="8838"/>
            </w:tabs>
            <w:ind w:left="-57" w:right="-57"/>
            <w:jc w:val="center"/>
            <w:rPr>
              <w:rFonts w:eastAsia="Times New Roman"/>
              <w:color w:val="000000"/>
              <w:sz w:val="16"/>
              <w:szCs w:val="16"/>
            </w:rPr>
          </w:pPr>
        </w:p>
      </w:tc>
    </w:tr>
  </w:tbl>
  <w:p w14:paraId="2515F7BE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  <w:p w14:paraId="56CE0672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A389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55E0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E0D05" w14:textId="77777777" w:rsidR="000D3F90" w:rsidRDefault="000D3F90">
    <w:pPr>
      <w:widowControl w:val="0"/>
      <w:spacing w:line="276" w:lineRule="auto"/>
      <w:rPr>
        <w:rFonts w:eastAsia="Times New Roman"/>
        <w:color w:val="000000"/>
      </w:rPr>
    </w:pPr>
  </w:p>
  <w:tbl>
    <w:tblPr>
      <w:tblStyle w:val="aa"/>
      <w:tblW w:w="10050" w:type="dxa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276"/>
      <w:gridCol w:w="8774"/>
    </w:tblGrid>
    <w:tr w:rsidR="000D3F90" w14:paraId="08A220C3" w14:textId="77777777">
      <w:trPr>
        <w:trHeight w:val="1107"/>
        <w:tblHeader/>
        <w:jc w:val="center"/>
      </w:trPr>
      <w:tc>
        <w:tcPr>
          <w:tcW w:w="1276" w:type="dxa"/>
          <w:vAlign w:val="center"/>
        </w:tcPr>
        <w:p w14:paraId="1C464745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  <w:lang w:val="en-US" w:eastAsia="en-US"/>
            </w:rPr>
            <w:drawing>
              <wp:inline distT="0" distB="0" distL="0" distR="0" wp14:anchorId="49D2E5E6" wp14:editId="3ACA7CB3">
                <wp:extent cx="666750" cy="704850"/>
                <wp:effectExtent l="0" t="0" r="0" b="0"/>
                <wp:docPr id="4" name="image1.jpg" descr="escudo_Gris_SD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_Gris_SD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4" w:type="dxa"/>
          <w:vAlign w:val="center"/>
        </w:tcPr>
        <w:p w14:paraId="4F28DC5C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b/>
              <w:color w:val="000000"/>
            </w:rPr>
          </w:pPr>
          <w:r>
            <w:rPr>
              <w:rFonts w:eastAsia="Times New Roman"/>
              <w:b/>
              <w:color w:val="000000"/>
            </w:rPr>
            <w:t xml:space="preserve">E-FO-093 ACTA DE REUNIÓN </w:t>
          </w:r>
        </w:p>
        <w:p w14:paraId="6D9A9B66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Versión 1 Acta de mejoramiento 49 de </w:t>
          </w:r>
          <w:proofErr w:type="gramStart"/>
          <w:r>
            <w:rPr>
              <w:rFonts w:eastAsia="Times New Roman"/>
              <w:b/>
              <w:color w:val="000000"/>
              <w:sz w:val="16"/>
              <w:szCs w:val="16"/>
            </w:rPr>
            <w:t>Marzo</w:t>
          </w:r>
          <w:proofErr w:type="gramEnd"/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 9 de 2022</w:t>
          </w:r>
          <w:r>
            <w:rPr>
              <w:rFonts w:eastAsia="Times New Roman"/>
              <w:b/>
              <w:color w:val="FF0000"/>
              <w:sz w:val="16"/>
              <w:szCs w:val="16"/>
            </w:rPr>
            <w:t xml:space="preserve"> </w:t>
          </w:r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Proceso E-CA-003 </w:t>
          </w:r>
        </w:p>
        <w:p w14:paraId="5F487A0F" w14:textId="77777777" w:rsidR="000D3F90" w:rsidRDefault="000D3F90">
          <w:pPr>
            <w:tabs>
              <w:tab w:val="center" w:pos="4419"/>
              <w:tab w:val="right" w:pos="8838"/>
            </w:tabs>
            <w:jc w:val="center"/>
            <w:rPr>
              <w:rFonts w:eastAsia="Times New Roman"/>
              <w:b/>
              <w:color w:val="000000"/>
              <w:sz w:val="16"/>
              <w:szCs w:val="16"/>
            </w:rPr>
          </w:pPr>
          <w:r>
            <w:rPr>
              <w:rFonts w:eastAsia="Times New Roman"/>
              <w:b/>
              <w:color w:val="000000"/>
              <w:sz w:val="16"/>
              <w:szCs w:val="16"/>
            </w:rPr>
            <w:t xml:space="preserve">DIRECCIÓN DE PARTICIPACIÓN Y COMUNICACIÓN PARA LA PLANEACIÓN </w:t>
          </w:r>
        </w:p>
        <w:p w14:paraId="7A7F81C3" w14:textId="77777777" w:rsidR="000D3F90" w:rsidRDefault="000D3F90">
          <w:pPr>
            <w:tabs>
              <w:tab w:val="center" w:pos="4419"/>
              <w:tab w:val="right" w:pos="8838"/>
            </w:tabs>
            <w:ind w:left="-57" w:right="-57"/>
            <w:jc w:val="center"/>
            <w:rPr>
              <w:rFonts w:eastAsia="Times New Roman"/>
              <w:color w:val="000000"/>
              <w:sz w:val="16"/>
              <w:szCs w:val="16"/>
            </w:rPr>
          </w:pPr>
        </w:p>
      </w:tc>
    </w:tr>
  </w:tbl>
  <w:p w14:paraId="4ECF8353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  <w:p w14:paraId="09EDE09F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0A2B" w14:textId="77777777" w:rsidR="000D3F90" w:rsidRDefault="000D3F90">
    <w:pPr>
      <w:tabs>
        <w:tab w:val="center" w:pos="4419"/>
        <w:tab w:val="right" w:pos="8838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74E"/>
    <w:multiLevelType w:val="multilevel"/>
    <w:tmpl w:val="654EC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E0E00"/>
    <w:multiLevelType w:val="multilevel"/>
    <w:tmpl w:val="83FCD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F2EB9"/>
    <w:multiLevelType w:val="hybridMultilevel"/>
    <w:tmpl w:val="56EAD2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41DF"/>
    <w:multiLevelType w:val="multilevel"/>
    <w:tmpl w:val="3684EA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9156C"/>
    <w:multiLevelType w:val="multilevel"/>
    <w:tmpl w:val="F0966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BB83C51"/>
    <w:multiLevelType w:val="hybridMultilevel"/>
    <w:tmpl w:val="76A03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61D5D"/>
    <w:multiLevelType w:val="multilevel"/>
    <w:tmpl w:val="642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15880"/>
    <w:multiLevelType w:val="hybridMultilevel"/>
    <w:tmpl w:val="E2F2D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C7663"/>
    <w:multiLevelType w:val="multilevel"/>
    <w:tmpl w:val="F4805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0C42"/>
    <w:multiLevelType w:val="hybridMultilevel"/>
    <w:tmpl w:val="F56E2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747E2"/>
    <w:multiLevelType w:val="hybridMultilevel"/>
    <w:tmpl w:val="FF723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C7C69"/>
    <w:multiLevelType w:val="multilevel"/>
    <w:tmpl w:val="335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5C65B0"/>
    <w:multiLevelType w:val="hybridMultilevel"/>
    <w:tmpl w:val="AABEE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F4665"/>
    <w:multiLevelType w:val="multilevel"/>
    <w:tmpl w:val="A7085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50A4"/>
    <w:multiLevelType w:val="multilevel"/>
    <w:tmpl w:val="F9F85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6769C"/>
    <w:multiLevelType w:val="multilevel"/>
    <w:tmpl w:val="3684EA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93C4E"/>
    <w:multiLevelType w:val="multilevel"/>
    <w:tmpl w:val="59C4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16563"/>
    <w:multiLevelType w:val="hybridMultilevel"/>
    <w:tmpl w:val="97DA2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5"/>
  </w:num>
  <w:num w:numId="5">
    <w:abstractNumId w:val="13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1"/>
  </w:num>
  <w:num w:numId="11">
    <w:abstractNumId w:val="16"/>
  </w:num>
  <w:num w:numId="12">
    <w:abstractNumId w:val="6"/>
  </w:num>
  <w:num w:numId="13">
    <w:abstractNumId w:val="12"/>
  </w:num>
  <w:num w:numId="14">
    <w:abstractNumId w:val="9"/>
  </w:num>
  <w:num w:numId="15">
    <w:abstractNumId w:val="10"/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E9"/>
    <w:rsid w:val="000719D1"/>
    <w:rsid w:val="00074324"/>
    <w:rsid w:val="000B51A4"/>
    <w:rsid w:val="000D30AF"/>
    <w:rsid w:val="000D3F90"/>
    <w:rsid w:val="00184DA9"/>
    <w:rsid w:val="001E75A4"/>
    <w:rsid w:val="002A12E9"/>
    <w:rsid w:val="002B17E5"/>
    <w:rsid w:val="003F3139"/>
    <w:rsid w:val="004814BF"/>
    <w:rsid w:val="004A27F7"/>
    <w:rsid w:val="004D2E8C"/>
    <w:rsid w:val="00623F6C"/>
    <w:rsid w:val="006A2BBE"/>
    <w:rsid w:val="006C26E7"/>
    <w:rsid w:val="00763395"/>
    <w:rsid w:val="00904472"/>
    <w:rsid w:val="00952DA7"/>
    <w:rsid w:val="009C61CE"/>
    <w:rsid w:val="00BD4AF1"/>
    <w:rsid w:val="00BF2C4F"/>
    <w:rsid w:val="00C507BB"/>
    <w:rsid w:val="00CB5185"/>
    <w:rsid w:val="00CF2DB3"/>
    <w:rsid w:val="00DB130B"/>
    <w:rsid w:val="00E53BFE"/>
    <w:rsid w:val="00EE31A8"/>
    <w:rsid w:val="00FF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0F7D"/>
  <w15:docId w15:val="{51A04E74-DCFE-9246-8D20-E55EF57B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1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0818"/>
    <w:pPr>
      <w:keepNext/>
      <w:keepLines/>
      <w:spacing w:before="40"/>
      <w:jc w:val="center"/>
      <w:outlineLvl w:val="1"/>
    </w:pPr>
    <w:rPr>
      <w:rFonts w:ascii="Arial Narrow" w:eastAsiaTheme="majorEastAsia" w:hAnsi="Arial Narrow" w:cstheme="majorBidi"/>
      <w:b/>
      <w:noProof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EF0818"/>
    <w:rPr>
      <w:rFonts w:ascii="Arial Narrow" w:eastAsiaTheme="majorEastAsia" w:hAnsi="Arial Narrow" w:cstheme="majorBidi"/>
      <w:b/>
      <w:noProof/>
      <w:bdr w:val="nil"/>
    </w:rPr>
  </w:style>
  <w:style w:type="table" w:styleId="Tablaconcuadrcula">
    <w:name w:val="Table Grid"/>
    <w:basedOn w:val="Tablanormal"/>
    <w:uiPriority w:val="59"/>
    <w:rsid w:val="00EF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E87E9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003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3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epgina">
    <w:name w:val="footer"/>
    <w:basedOn w:val="Normal"/>
    <w:link w:val="PiedepginaCar"/>
    <w:uiPriority w:val="99"/>
    <w:unhideWhenUsed/>
    <w:rsid w:val="00E003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3EB"/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832E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2E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2EB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E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EB3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E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EB3"/>
    <w:rPr>
      <w:rFonts w:ascii="Segoe UI" w:eastAsia="Arial Unicode MS" w:hAnsi="Segoe UI" w:cs="Segoe UI"/>
      <w:sz w:val="18"/>
      <w:szCs w:val="18"/>
      <w:bdr w:val="nil"/>
    </w:rPr>
  </w:style>
  <w:style w:type="paragraph" w:styleId="Revisin">
    <w:name w:val="Revision"/>
    <w:hidden/>
    <w:uiPriority w:val="99"/>
    <w:semiHidden/>
    <w:rsid w:val="008C7FD9"/>
    <w:rPr>
      <w:rFonts w:eastAsia="Arial Unicode MS"/>
      <w:bdr w:val="nil"/>
    </w:rPr>
  </w:style>
  <w:style w:type="paragraph" w:styleId="NormalWeb">
    <w:name w:val="Normal (Web)"/>
    <w:basedOn w:val="Normal"/>
    <w:uiPriority w:val="99"/>
    <w:semiHidden/>
    <w:unhideWhenUsed/>
    <w:rsid w:val="00896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Prrafodelista">
    <w:name w:val="List Paragraph"/>
    <w:basedOn w:val="Normal"/>
    <w:uiPriority w:val="34"/>
    <w:qFormat/>
    <w:rsid w:val="0089619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A03CB"/>
    <w:rPr>
      <w:color w:val="0563C1"/>
      <w:u w:val="single"/>
    </w:rPr>
  </w:style>
  <w:style w:type="character" w:customStyle="1" w:styleId="adtyne">
    <w:name w:val="adtyne"/>
    <w:basedOn w:val="Fuentedeprrafopredeter"/>
    <w:rsid w:val="000247C8"/>
  </w:style>
  <w:style w:type="character" w:customStyle="1" w:styleId="notranslate">
    <w:name w:val="notranslate"/>
    <w:basedOn w:val="Fuentedeprrafopredeter"/>
    <w:rsid w:val="003537DD"/>
  </w:style>
  <w:style w:type="character" w:customStyle="1" w:styleId="m-2343482254108676443secondary-text">
    <w:name w:val="m_-2343482254108676443secondary-text"/>
    <w:basedOn w:val="Fuentedeprrafopredeter"/>
    <w:rsid w:val="003537D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315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1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08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Wt/LV9xeI4GoYkp55GAP1NyDAA==">AMUW2mXrE54EfUHA+ktou53aXJF+TG1npnetg/11Q6WQjnvx4i/yzQpJipEYfSD2DGKcyEAMS2VXTcvIfwK4RFVD4CY0VaMWvk/FfaaImACPkLimT0axVc9C+JIVDVdHsOQzsuQh2oyR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RODRIGUEZ PAULA ANDREA</dc:creator>
  <cp:lastModifiedBy>Claudia</cp:lastModifiedBy>
  <cp:revision>8</cp:revision>
  <dcterms:created xsi:type="dcterms:W3CDTF">2022-11-16T00:04:00Z</dcterms:created>
  <dcterms:modified xsi:type="dcterms:W3CDTF">2023-12-23T13:23:00Z</dcterms:modified>
</cp:coreProperties>
</file>